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1561" w:rsidP="00521561">
      <w:pPr>
        <w:pStyle w:val="Title"/>
      </w:pPr>
      <w:bookmarkStart w:id="0" w:name="_GoBack"/>
      <w:bookmarkEnd w:id="0"/>
      <w:r>
        <w:fldChar w:fldCharType="begin"/>
      </w:r>
      <w:r>
        <w:instrText xml:space="preserve"> TITLE   \* MERGEFORMAT </w:instrText>
      </w:r>
      <w:r>
        <w:fldChar w:fldCharType="separate"/>
      </w:r>
      <w:r>
        <w:t>MEA134B Establish, maintain and evaluate the organisation's occupational health and safety system</w:t>
      </w:r>
      <w:r>
        <w:fldChar w:fldCharType="end"/>
      </w:r>
    </w:p>
    <w:p w:rsidR="00521561" w:rsidP="00521561">
      <w:pPr>
        <w:pStyle w:val="Version"/>
        <w:sectPr w:rsidSect="00B70D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70D6A" w:rsidP="00B70D6A">
      <w:pPr>
        <w:pStyle w:val="SuperHeading"/>
      </w:pPr>
      <w:r w:rsidRPr="00B70D6A">
        <w:t>MEA134B Establish, maintain and evaluate the organisation's occupational health and safety system</w:t>
      </w:r>
    </w:p>
    <w:p w:rsidR="00000000" w:rsidRPr="00B70D6A" w:rsidP="00B70D6A">
      <w:pPr>
        <w:pStyle w:val="Heading1"/>
      </w:pPr>
      <w:bookmarkStart w:id="1" w:name="O_398608"/>
      <w:bookmarkEnd w:id="1"/>
      <w:r w:rsidRPr="00B70D6A">
        <w:t>Modification History</w:t>
      </w:r>
    </w:p>
    <w:p w:rsidR="00000000" w:rsidRPr="00B70D6A" w:rsidP="00B70D6A">
      <w:pPr>
        <w:pStyle w:val="BodyText"/>
      </w:pPr>
      <w:r w:rsidRPr="00B70D6A">
        <w:t xml:space="preserve">Minor formatting and editorial </w:t>
      </w:r>
      <w:r w:rsidRPr="00B70D6A">
        <w:t>changes made.</w:t>
      </w:r>
    </w:p>
    <w:p w:rsidR="00000000" w:rsidRPr="00B70D6A" w:rsidP="00B70D6A">
      <w:pPr>
        <w:pStyle w:val="AllowPageBreak"/>
      </w:pPr>
    </w:p>
    <w:p w:rsidR="00000000" w:rsidRPr="00B70D6A" w:rsidP="00B70D6A">
      <w:pPr>
        <w:pStyle w:val="Heading1"/>
      </w:pPr>
      <w:bookmarkStart w:id="2" w:name="O_398604"/>
      <w:bookmarkEnd w:id="2"/>
      <w:r w:rsidRPr="00B70D6A">
        <w:t>Unit Descriptor</w:t>
      </w:r>
    </w:p>
    <w:tbl>
      <w:tblPr>
        <w:tblW w:w="0" w:type="auto"/>
        <w:tblLayout w:type="fixed"/>
        <w:tblCellMar>
          <w:left w:w="62" w:type="dxa"/>
          <w:right w:w="62" w:type="dxa"/>
        </w:tblCellMar>
        <w:tblLook w:val="0000"/>
      </w:tblPr>
      <w:tblGrid>
        <w:gridCol w:w="8910"/>
      </w:tblGrid>
      <w:tr w:rsidTr="00521561">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RPr="00B70D6A" w:rsidP="00B70D6A">
            <w:pPr>
              <w:pStyle w:val="BodyText"/>
            </w:pPr>
            <w:r w:rsidRPr="00B70D6A">
              <w:t>This unit of competency is part of the Aeroskills Advanced Diploma training pathways. It covers the competencies required to establish, maintain and evaluate an organisation's OHS system in order to ensure tha</w:t>
            </w:r>
            <w:r w:rsidRPr="00B70D6A">
              <w:t>t the workplace is, so far as is practicable, safe and without risks to the health of employees.</w:t>
            </w:r>
          </w:p>
          <w:p w:rsidR="00000000" w:rsidRPr="00B70D6A" w:rsidP="00B70D6A">
            <w:pPr>
              <w:pStyle w:val="BodyText"/>
            </w:pPr>
            <w:r w:rsidRPr="00B70D6A">
              <w:t>The unit is based on the National Guidelines for integrating OHS competencies into national industry competency standards (NOHSC: 7025, 1998).</w:t>
            </w:r>
          </w:p>
        </w:tc>
      </w:tr>
    </w:tbl>
    <w:p w:rsidR="00000000" w:rsidRPr="00B70D6A" w:rsidP="00B70D6A">
      <w:pPr>
        <w:pStyle w:val="BodyText"/>
      </w:pPr>
    </w:p>
    <w:p w:rsidR="00000000" w:rsidRPr="00B70D6A" w:rsidP="00B70D6A">
      <w:pPr>
        <w:pStyle w:val="AllowPageBreak"/>
      </w:pPr>
    </w:p>
    <w:p w:rsidR="00000000" w:rsidRPr="00B70D6A" w:rsidP="00B70D6A">
      <w:pPr>
        <w:pStyle w:val="Heading1"/>
      </w:pPr>
      <w:bookmarkStart w:id="3" w:name="O_398617"/>
      <w:bookmarkEnd w:id="3"/>
      <w:r w:rsidRPr="00B70D6A">
        <w:t>Application of the Unit</w:t>
      </w:r>
    </w:p>
    <w:tbl>
      <w:tblPr>
        <w:tblW w:w="0" w:type="auto"/>
        <w:tblLayout w:type="fixed"/>
        <w:tblCellMar>
          <w:left w:w="62" w:type="dxa"/>
          <w:right w:w="62" w:type="dxa"/>
        </w:tblCellMar>
        <w:tblLook w:val="0000"/>
      </w:tblPr>
      <w:tblGrid>
        <w:gridCol w:w="8460"/>
      </w:tblGrid>
      <w:tr w:rsidTr="0052156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RPr="00B70D6A" w:rsidP="00B70D6A">
            <w:pPr>
              <w:pStyle w:val="BodyText"/>
            </w:pPr>
            <w:r w:rsidRPr="00B70D6A">
              <w:t>This unit requires application of OHS legislation and principles to establish, maintain and evaluate an OHS system within the maintenance organisation.</w:t>
            </w:r>
          </w:p>
          <w:p w:rsidR="00000000" w:rsidRPr="00B70D6A" w:rsidP="00B70D6A">
            <w:pPr>
              <w:pStyle w:val="BodyText"/>
            </w:pPr>
            <w:r w:rsidRPr="00B70D6A">
              <w:t>Applications include flight lines, hangars and workshops.</w:t>
            </w:r>
          </w:p>
        </w:tc>
      </w:tr>
    </w:tbl>
    <w:p w:rsidR="00000000" w:rsidRPr="00B70D6A" w:rsidP="00B70D6A">
      <w:pPr>
        <w:pStyle w:val="BodyText"/>
      </w:pPr>
    </w:p>
    <w:p w:rsidR="00000000" w:rsidRPr="00B70D6A" w:rsidP="00B70D6A">
      <w:pPr>
        <w:pStyle w:val="AllowPageBreak"/>
      </w:pPr>
    </w:p>
    <w:p w:rsidR="00000000" w:rsidRPr="00B70D6A" w:rsidP="00B70D6A">
      <w:pPr>
        <w:pStyle w:val="Heading1"/>
      </w:pPr>
      <w:bookmarkStart w:id="4" w:name="O_398609"/>
      <w:bookmarkEnd w:id="4"/>
      <w:r w:rsidRPr="00B70D6A">
        <w:t>Licensing/Regulatory Information</w:t>
      </w:r>
    </w:p>
    <w:p w:rsidR="00000000" w:rsidRPr="00B70D6A" w:rsidP="00B70D6A">
      <w:pPr>
        <w:pStyle w:val="BodyText"/>
      </w:pPr>
      <w:r w:rsidRPr="00B70D6A">
        <w:t>Not applicable.</w:t>
      </w:r>
    </w:p>
    <w:p w:rsidR="00000000" w:rsidRPr="00B70D6A" w:rsidP="00B70D6A">
      <w:pPr>
        <w:pStyle w:val="AllowPageBreak"/>
      </w:pPr>
    </w:p>
    <w:p w:rsidR="00000000" w:rsidRPr="00B70D6A" w:rsidP="00B70D6A">
      <w:pPr>
        <w:pStyle w:val="Heading1"/>
      </w:pPr>
      <w:bookmarkStart w:id="5" w:name="O_398607"/>
      <w:bookmarkEnd w:id="5"/>
      <w:r w:rsidRPr="00B70D6A">
        <w:t>Pre-Requisites</w:t>
      </w:r>
    </w:p>
    <w:p w:rsidR="00000000" w:rsidRPr="00B70D6A" w:rsidP="00B70D6A">
      <w:pPr>
        <w:pStyle w:val="BodyText"/>
      </w:pPr>
      <w:r w:rsidRPr="00B70D6A">
        <w:t>Not applicable</w:t>
      </w:r>
    </w:p>
    <w:p w:rsidR="00000000" w:rsidRPr="00B70D6A" w:rsidP="00B70D6A">
      <w:pPr>
        <w:pStyle w:val="AllowPageBreak"/>
      </w:pPr>
    </w:p>
    <w:p w:rsidR="00000000" w:rsidRPr="00B70D6A" w:rsidP="00B70D6A">
      <w:pPr>
        <w:pStyle w:val="Heading1"/>
      </w:pPr>
      <w:bookmarkStart w:id="6" w:name="O_398612"/>
      <w:bookmarkEnd w:id="6"/>
      <w:r w:rsidRPr="00B70D6A">
        <w:t>Employability Skills Information</w:t>
      </w:r>
    </w:p>
    <w:tbl>
      <w:tblPr>
        <w:tblW w:w="0" w:type="auto"/>
        <w:tblLayout w:type="fixed"/>
        <w:tblCellMar>
          <w:left w:w="62" w:type="dxa"/>
          <w:right w:w="62" w:type="dxa"/>
        </w:tblCellMar>
        <w:tblLook w:val="0000"/>
      </w:tblPr>
      <w:tblGrid>
        <w:gridCol w:w="5720"/>
      </w:tblGrid>
      <w:tr w:rsidTr="00521561">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B70D6A" w:rsidP="00B70D6A">
            <w:pPr>
              <w:pStyle w:val="BodyText"/>
            </w:pPr>
            <w:r w:rsidRPr="00B70D6A">
              <w:t>This unit contains employability skills.</w:t>
            </w:r>
          </w:p>
        </w:tc>
      </w:tr>
    </w:tbl>
    <w:p w:rsidR="00000000" w:rsidRPr="00B70D6A" w:rsidP="00B70D6A">
      <w:pPr>
        <w:pStyle w:val="BodyText"/>
      </w:pPr>
    </w:p>
    <w:p w:rsidR="00000000" w:rsidRPr="00B70D6A" w:rsidP="00B70D6A">
      <w:pPr>
        <w:pStyle w:val="AllowPageBreak"/>
      </w:pPr>
    </w:p>
    <w:p w:rsidR="00000000" w:rsidRPr="00B70D6A" w:rsidP="00B70D6A">
      <w:pPr>
        <w:pStyle w:val="Heading1"/>
      </w:pPr>
      <w:bookmarkStart w:id="7" w:name="O_398613"/>
      <w:bookmarkEnd w:id="7"/>
      <w:r w:rsidRPr="00B70D6A">
        <w:t>Elements and Performance Criteria Pre-Content</w:t>
      </w:r>
    </w:p>
    <w:tbl>
      <w:tblPr>
        <w:tblW w:w="9450" w:type="dxa"/>
        <w:tblLayout w:type="fixed"/>
        <w:tblCellMar>
          <w:left w:w="62" w:type="dxa"/>
          <w:right w:w="62" w:type="dxa"/>
        </w:tblCellMar>
        <w:tblLook w:val="0000"/>
      </w:tblPr>
      <w:tblGrid>
        <w:gridCol w:w="2563"/>
        <w:gridCol w:w="6887"/>
      </w:tblGrid>
      <w:tr w:rsidTr="00521561">
        <w:tblPrEx>
          <w:tblW w:w="9450" w:type="dxa"/>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D6A">
            <w:pPr>
              <w:pStyle w:val="BodyText"/>
              <w:rPr>
                <w:lang w:val="en-NZ"/>
              </w:rPr>
            </w:pPr>
            <w:r w:rsidRPr="00B70D6A">
              <w:t>Elements describe the essential outcomes of a unit of competency.</w:t>
            </w:r>
          </w:p>
        </w:tc>
        <w:tc>
          <w:tcPr>
            <w:tcW w:w="6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D6A" w:rsidP="00B70D6A">
            <w:pPr>
              <w:pStyle w:val="BodyText"/>
            </w:pPr>
            <w:r w:rsidRPr="00B70D6A">
              <w:t>Performance criteria describe the performance needed to demonstrate achievement of the element. Where bold italicised text is used, further information is detailed in the required skills an</w:t>
            </w:r>
            <w:r w:rsidRPr="00B70D6A">
              <w:t>d knowledge section and the range statement. Assessment of performance is to be consistent with the evidence guide.</w:t>
            </w:r>
          </w:p>
        </w:tc>
      </w:tr>
    </w:tbl>
    <w:p w:rsidR="00000000" w:rsidRPr="00B70D6A" w:rsidP="00B70D6A">
      <w:pPr>
        <w:pStyle w:val="BodyText"/>
      </w:pPr>
    </w:p>
    <w:p w:rsidR="00000000" w:rsidRPr="00B70D6A" w:rsidP="00B70D6A">
      <w:pPr>
        <w:pStyle w:val="AllowPageBreak"/>
      </w:pPr>
    </w:p>
    <w:p w:rsidR="00000000" w:rsidRPr="00B70D6A" w:rsidP="00B70D6A">
      <w:pPr>
        <w:pStyle w:val="Heading1"/>
      </w:pPr>
      <w:bookmarkStart w:id="8" w:name="O_398614"/>
      <w:bookmarkEnd w:id="8"/>
      <w:r w:rsidRPr="00B70D6A">
        <w:t>Elements and Performance Criteria</w:t>
      </w:r>
    </w:p>
    <w:tbl>
      <w:tblPr>
        <w:tblW w:w="0" w:type="auto"/>
        <w:tblCellMar>
          <w:left w:w="62" w:type="dxa"/>
          <w:right w:w="62" w:type="dxa"/>
        </w:tblCellMar>
        <w:tblLook w:val="0000"/>
      </w:tblPr>
      <w:tblGrid>
        <w:gridCol w:w="1884"/>
        <w:gridCol w:w="7312"/>
      </w:tblGrid>
      <w:tr w:rsidTr="005215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0D6A">
            <w:pPr>
              <w:pStyle w:val="List"/>
              <w:rPr>
                <w:lang w:val="en-NZ"/>
              </w:rPr>
            </w:pPr>
            <w:r w:rsidRPr="00B70D6A">
              <w:t>1.</w:t>
            </w:r>
            <w:r w:rsidRPr="00B70D6A">
              <w:tab/>
              <w:t>Establish and maintain the framework for the OHS system</w:t>
            </w:r>
          </w:p>
        </w:tc>
        <w:tc>
          <w:tcPr>
            <w:tcW w:w="0" w:type="auto"/>
            <w:tcBorders>
              <w:top w:val="nil"/>
              <w:left w:val="nil"/>
              <w:bottom w:val="nil"/>
              <w:right w:val="nil"/>
            </w:tcBorders>
            <w:tcMar>
              <w:top w:w="0" w:type="dxa"/>
              <w:left w:w="62" w:type="dxa"/>
              <w:bottom w:w="0" w:type="dxa"/>
              <w:right w:w="62" w:type="dxa"/>
            </w:tcMar>
          </w:tcPr>
          <w:p w:rsidR="00000000" w:rsidRPr="00B70D6A" w:rsidP="00B70D6A">
            <w:pPr>
              <w:pStyle w:val="List2"/>
            </w:pPr>
            <w:r w:rsidRPr="00B70D6A">
              <w:t>1.1.</w:t>
            </w:r>
            <w:r w:rsidRPr="00B70D6A">
              <w:tab/>
              <w:t>OHS policies are develo</w:t>
            </w:r>
            <w:r w:rsidRPr="00B70D6A">
              <w:t xml:space="preserve">ped which clearly express the organisation's commitment with respect to OHS within the area of managerial responsibility and how </w:t>
            </w:r>
            <w:r w:rsidRPr="00B70D6A">
              <w:rPr>
                <w:rStyle w:val="BoldandItalics"/>
              </w:rPr>
              <w:t>relevant OHS legislation</w:t>
            </w:r>
            <w:r w:rsidRPr="00B70D6A">
              <w:t xml:space="preserve"> will be implemented, consistent with overall organisational policies</w:t>
            </w:r>
          </w:p>
          <w:p w:rsidR="00000000" w:rsidRPr="00B70D6A" w:rsidP="00B70D6A">
            <w:pPr>
              <w:pStyle w:val="List2"/>
            </w:pPr>
            <w:r w:rsidRPr="00B70D6A">
              <w:t>1.2.</w:t>
            </w:r>
            <w:r w:rsidRPr="00B70D6A">
              <w:tab/>
            </w:r>
            <w:r w:rsidRPr="00B70D6A">
              <w:t>OHS responsibilities and duties which will allow implementation and integration of the OHS system are clearly defined, allocated and included in job descriptions and duty statements for all relevant positions</w:t>
            </w:r>
          </w:p>
          <w:p w:rsidR="00000000" w:rsidRPr="00B70D6A" w:rsidP="00B70D6A">
            <w:pPr>
              <w:pStyle w:val="List2"/>
            </w:pPr>
            <w:r w:rsidRPr="00B70D6A">
              <w:t>1.3.</w:t>
            </w:r>
            <w:r w:rsidRPr="00B70D6A">
              <w:tab/>
              <w:t>Financial and human resources for the oper</w:t>
            </w:r>
            <w:r w:rsidRPr="00B70D6A">
              <w:t>ation of the OHS system are identified and sought in a timely and consistent manner</w:t>
            </w:r>
          </w:p>
          <w:p w:rsidR="00000000" w:rsidP="00B70D6A">
            <w:pPr>
              <w:pStyle w:val="List2"/>
              <w:rPr>
                <w:lang w:val="en-NZ"/>
              </w:rPr>
            </w:pPr>
            <w:r w:rsidRPr="00B70D6A">
              <w:t>1.4.</w:t>
            </w:r>
            <w:r w:rsidRPr="00B70D6A">
              <w:tab/>
              <w:t>Information on the OHS system and procedures for the area of managerial responsibility is provided and explained in a form that is readily accessible to employees</w:t>
            </w:r>
          </w:p>
        </w:tc>
      </w:tr>
      <w:tr w:rsidTr="005215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0D6A">
            <w:pPr>
              <w:pStyle w:val="List"/>
              <w:rPr>
                <w:lang w:val="en-NZ"/>
              </w:rPr>
            </w:pPr>
            <w:r w:rsidRPr="00B70D6A">
              <w:t>2.</w:t>
            </w:r>
            <w:r w:rsidRPr="00B70D6A">
              <w:tab/>
            </w:r>
            <w:r w:rsidRPr="00B70D6A">
              <w:t>Establish and maintain participative arrangements for the management of OHS</w:t>
            </w:r>
          </w:p>
        </w:tc>
        <w:tc>
          <w:tcPr>
            <w:tcW w:w="0" w:type="auto"/>
            <w:tcBorders>
              <w:top w:val="nil"/>
              <w:left w:val="nil"/>
              <w:bottom w:val="nil"/>
              <w:right w:val="nil"/>
            </w:tcBorders>
            <w:tcMar>
              <w:top w:w="0" w:type="dxa"/>
              <w:left w:w="62" w:type="dxa"/>
              <w:bottom w:w="0" w:type="dxa"/>
              <w:right w:w="62" w:type="dxa"/>
            </w:tcMar>
          </w:tcPr>
          <w:p w:rsidR="00000000" w:rsidRPr="00B70D6A" w:rsidP="00B70D6A">
            <w:pPr>
              <w:pStyle w:val="List2"/>
            </w:pPr>
            <w:r w:rsidRPr="00B70D6A">
              <w:t>2.1.</w:t>
            </w:r>
            <w:r w:rsidRPr="00B70D6A">
              <w:tab/>
            </w:r>
            <w:r w:rsidRPr="00B70D6A">
              <w:rPr>
                <w:rStyle w:val="BoldandItalics"/>
              </w:rPr>
              <w:t>Appropriate consultative processes</w:t>
            </w:r>
            <w:r w:rsidRPr="00B70D6A">
              <w:t xml:space="preserve"> are established and maintained in consultation with employees and their representatives in accordance with relevant OHS legislation and cons</w:t>
            </w:r>
            <w:r w:rsidRPr="00B70D6A">
              <w:t>istent with the organisation's overall process for consultation</w:t>
            </w:r>
          </w:p>
          <w:p w:rsidR="00000000" w:rsidRPr="00B70D6A" w:rsidP="00B70D6A">
            <w:pPr>
              <w:pStyle w:val="List2"/>
            </w:pPr>
            <w:r w:rsidRPr="00B70D6A">
              <w:t>2.2.</w:t>
            </w:r>
            <w:r w:rsidRPr="00B70D6A">
              <w:tab/>
              <w:t>Issues raised through participation and consultation are dealt with and resolved promptly and effectively in accordance with procedures for issue resolution</w:t>
            </w:r>
          </w:p>
          <w:p w:rsidR="00000000" w:rsidP="00B70D6A">
            <w:pPr>
              <w:pStyle w:val="List2"/>
              <w:rPr>
                <w:lang w:val="en-NZ"/>
              </w:rPr>
            </w:pPr>
            <w:r w:rsidRPr="00B70D6A">
              <w:t>2.3.</w:t>
            </w:r>
            <w:r w:rsidRPr="00B70D6A">
              <w:tab/>
              <w:t>Information about the out</w:t>
            </w:r>
            <w:r w:rsidRPr="00B70D6A">
              <w:t>comes of participation and consultation is provided in a manner accessible to employees</w:t>
            </w:r>
          </w:p>
        </w:tc>
      </w:tr>
      <w:tr w:rsidTr="005215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0D6A">
            <w:pPr>
              <w:pStyle w:val="List"/>
              <w:rPr>
                <w:lang w:val="en-NZ"/>
              </w:rPr>
            </w:pPr>
            <w:r w:rsidRPr="00B70D6A">
              <w:t>3.</w:t>
            </w:r>
            <w:r w:rsidRPr="00B70D6A">
              <w:tab/>
              <w:t>Establish and maintain procedures for identifying hazards</w:t>
            </w:r>
          </w:p>
        </w:tc>
        <w:tc>
          <w:tcPr>
            <w:tcW w:w="0" w:type="auto"/>
            <w:tcBorders>
              <w:top w:val="nil"/>
              <w:left w:val="nil"/>
              <w:bottom w:val="nil"/>
              <w:right w:val="nil"/>
            </w:tcBorders>
            <w:tcMar>
              <w:top w:w="0" w:type="dxa"/>
              <w:left w:w="62" w:type="dxa"/>
              <w:bottom w:w="0" w:type="dxa"/>
              <w:right w:w="62" w:type="dxa"/>
            </w:tcMar>
          </w:tcPr>
          <w:p w:rsidR="00000000" w:rsidRPr="00B70D6A" w:rsidP="00B70D6A">
            <w:pPr>
              <w:pStyle w:val="List2"/>
            </w:pPr>
            <w:r w:rsidRPr="00B70D6A">
              <w:t>3.1.</w:t>
            </w:r>
            <w:r w:rsidRPr="00B70D6A">
              <w:tab/>
              <w:t xml:space="preserve">Existing and potential </w:t>
            </w:r>
            <w:r w:rsidRPr="00B70D6A">
              <w:rPr>
                <w:rStyle w:val="BoldandItalics"/>
              </w:rPr>
              <w:t>hazards</w:t>
            </w:r>
            <w:r w:rsidRPr="00B70D6A">
              <w:t xml:space="preserve"> within the area of managerial responsibility are correctly identified </w:t>
            </w:r>
            <w:r w:rsidRPr="00B70D6A">
              <w:t>and identification confirmed in accordance with OHS legislation, codes of practice and trends identified from the OHS records system</w:t>
            </w:r>
          </w:p>
          <w:p w:rsidR="00000000" w:rsidRPr="00B70D6A" w:rsidP="00B70D6A">
            <w:pPr>
              <w:pStyle w:val="List2"/>
            </w:pPr>
            <w:r w:rsidRPr="00B70D6A">
              <w:t>3.2.</w:t>
            </w:r>
            <w:r w:rsidRPr="00B70D6A">
              <w:tab/>
              <w:t>A procedure for ongoing identification of hazards is developed and integrated within systems of work and procedures</w:t>
            </w:r>
          </w:p>
          <w:p w:rsidR="00000000" w:rsidRPr="00B70D6A" w:rsidP="00B70D6A">
            <w:pPr>
              <w:pStyle w:val="List2"/>
            </w:pPr>
            <w:r w:rsidRPr="00B70D6A">
              <w:t>3.</w:t>
            </w:r>
            <w:r w:rsidRPr="00B70D6A">
              <w:t>3.</w:t>
            </w:r>
            <w:r w:rsidRPr="00B70D6A">
              <w:tab/>
              <w:t>Activities are appropriately monitored to ensure that this procedure is adopted effectively throughout the area of managerial responsibility</w:t>
            </w:r>
          </w:p>
          <w:p w:rsidR="00000000" w:rsidP="00B70D6A">
            <w:pPr>
              <w:pStyle w:val="List2"/>
              <w:rPr>
                <w:lang w:val="en-NZ"/>
              </w:rPr>
            </w:pPr>
            <w:r w:rsidRPr="00B70D6A">
              <w:t>3.4.</w:t>
            </w:r>
            <w:r w:rsidRPr="00B70D6A">
              <w:tab/>
              <w:t>Hazard identification is addressed at the planning, design and evaluation stages of any change in the workp</w:t>
            </w:r>
            <w:r w:rsidRPr="00B70D6A">
              <w:t>lace to ensure that new hazards are not created</w:t>
            </w:r>
          </w:p>
        </w:tc>
      </w:tr>
      <w:tr w:rsidTr="005215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0D6A">
            <w:pPr>
              <w:pStyle w:val="List"/>
              <w:rPr>
                <w:lang w:val="en-NZ"/>
              </w:rPr>
            </w:pPr>
            <w:r w:rsidRPr="00B70D6A">
              <w:t>4.</w:t>
            </w:r>
            <w:r w:rsidRPr="00B70D6A">
              <w:tab/>
              <w:t>Establish and maintain procedures for assessing risks</w:t>
            </w:r>
          </w:p>
        </w:tc>
        <w:tc>
          <w:tcPr>
            <w:tcW w:w="0" w:type="auto"/>
            <w:tcBorders>
              <w:top w:val="nil"/>
              <w:left w:val="nil"/>
              <w:bottom w:val="nil"/>
              <w:right w:val="nil"/>
            </w:tcBorders>
            <w:tcMar>
              <w:top w:w="0" w:type="dxa"/>
              <w:left w:w="62" w:type="dxa"/>
              <w:bottom w:w="0" w:type="dxa"/>
              <w:right w:w="62" w:type="dxa"/>
            </w:tcMar>
          </w:tcPr>
          <w:p w:rsidR="00000000" w:rsidRPr="00B70D6A" w:rsidP="00B70D6A">
            <w:pPr>
              <w:pStyle w:val="List2"/>
            </w:pPr>
            <w:r w:rsidRPr="00B70D6A">
              <w:t>4.1.</w:t>
            </w:r>
            <w:r w:rsidRPr="00B70D6A">
              <w:tab/>
              <w:t>Risks presented by identified hazards are correctly assessed in accordance with OHS legislation and codes of practice</w:t>
            </w:r>
          </w:p>
          <w:p w:rsidR="00000000" w:rsidRPr="00B70D6A" w:rsidP="00B70D6A">
            <w:pPr>
              <w:pStyle w:val="List2"/>
            </w:pPr>
            <w:r w:rsidRPr="00B70D6A">
              <w:t>4.2.</w:t>
            </w:r>
            <w:r w:rsidRPr="00B70D6A">
              <w:tab/>
              <w:t>A procedure for ongoin</w:t>
            </w:r>
            <w:r w:rsidRPr="00B70D6A">
              <w:t xml:space="preserve">g </w:t>
            </w:r>
            <w:r w:rsidRPr="00B70D6A">
              <w:rPr>
                <w:rStyle w:val="SpecialBold"/>
              </w:rPr>
              <w:t>assessment of risks</w:t>
            </w:r>
            <w:r w:rsidRPr="00B70D6A">
              <w:t xml:space="preserve"> is developed and integrated within systems of work and procedures</w:t>
            </w:r>
          </w:p>
          <w:p w:rsidR="00000000" w:rsidRPr="00B70D6A" w:rsidP="00B70D6A">
            <w:pPr>
              <w:pStyle w:val="List2"/>
            </w:pPr>
            <w:r w:rsidRPr="00B70D6A">
              <w:t>4.3.</w:t>
            </w:r>
            <w:r w:rsidRPr="00B70D6A">
              <w:tab/>
              <w:t>Activities are monitored to ensure that this procedure is adopted effectively throughout the area of managerial responsibility</w:t>
            </w:r>
          </w:p>
          <w:p w:rsidR="00000000" w:rsidP="00B70D6A">
            <w:pPr>
              <w:pStyle w:val="List2"/>
              <w:rPr>
                <w:lang w:val="en-NZ"/>
              </w:rPr>
            </w:pPr>
            <w:r w:rsidRPr="00B70D6A">
              <w:t>4.4.</w:t>
            </w:r>
            <w:r w:rsidRPr="00B70D6A">
              <w:tab/>
            </w:r>
            <w:r w:rsidRPr="00B70D6A">
              <w:t>Risk assessment is addressed at the planning, design and evaluation stages of any change within the area of managerial responsibility to ensure that the risk from hazards is not increased</w:t>
            </w:r>
          </w:p>
        </w:tc>
      </w:tr>
      <w:tr w:rsidTr="005215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0D6A">
            <w:pPr>
              <w:pStyle w:val="List"/>
              <w:rPr>
                <w:lang w:val="en-NZ"/>
              </w:rPr>
            </w:pPr>
            <w:r w:rsidRPr="00B70D6A">
              <w:t>5.</w:t>
            </w:r>
            <w:r w:rsidRPr="00B70D6A">
              <w:tab/>
              <w:t>Establish and maintain procedures for controlling risks</w:t>
            </w:r>
          </w:p>
        </w:tc>
        <w:tc>
          <w:tcPr>
            <w:tcW w:w="0" w:type="auto"/>
            <w:tcBorders>
              <w:top w:val="nil"/>
              <w:left w:val="nil"/>
              <w:bottom w:val="nil"/>
              <w:right w:val="nil"/>
            </w:tcBorders>
            <w:tcMar>
              <w:top w:w="0" w:type="dxa"/>
              <w:left w:w="62" w:type="dxa"/>
              <w:bottom w:w="0" w:type="dxa"/>
              <w:right w:w="62" w:type="dxa"/>
            </w:tcMar>
          </w:tcPr>
          <w:p w:rsidR="00000000" w:rsidRPr="00B70D6A" w:rsidP="00B70D6A">
            <w:pPr>
              <w:pStyle w:val="List2"/>
            </w:pPr>
            <w:r w:rsidRPr="00B70D6A">
              <w:t>5.1.</w:t>
            </w:r>
            <w:r w:rsidRPr="00B70D6A">
              <w:tab/>
              <w:t>Mea</w:t>
            </w:r>
            <w:r w:rsidRPr="00B70D6A">
              <w:t>sures to control assessed risks are developed and implemented in accordance with the hierarchy of control, relevant OHS legislation, codes of practice and trends identified from the OHS records system</w:t>
            </w:r>
          </w:p>
          <w:p w:rsidR="00000000" w:rsidRPr="00B70D6A" w:rsidP="00B70D6A">
            <w:pPr>
              <w:pStyle w:val="List2"/>
            </w:pPr>
            <w:r w:rsidRPr="00B70D6A">
              <w:t>5.2.</w:t>
            </w:r>
            <w:r w:rsidRPr="00B70D6A">
              <w:tab/>
              <w:t>When measures that control a risk at its source ar</w:t>
            </w:r>
            <w:r w:rsidRPr="00B70D6A">
              <w:t>e not immediately practicable, interim solutions are implemented until a control measure is developed</w:t>
            </w:r>
          </w:p>
          <w:p w:rsidR="00000000" w:rsidRPr="00B70D6A" w:rsidP="00B70D6A">
            <w:pPr>
              <w:pStyle w:val="List2"/>
            </w:pPr>
            <w:r w:rsidRPr="00B70D6A">
              <w:t>5.3.</w:t>
            </w:r>
            <w:r w:rsidRPr="00B70D6A">
              <w:tab/>
              <w:t>A procedure for ongoing control of risks, based on the hierarchy of control, is developed and integrated within general systems of work and procedure</w:t>
            </w:r>
            <w:r w:rsidRPr="00B70D6A">
              <w:t>s</w:t>
            </w:r>
          </w:p>
          <w:p w:rsidR="00000000" w:rsidRPr="00B70D6A" w:rsidP="00B70D6A">
            <w:pPr>
              <w:pStyle w:val="List2"/>
            </w:pPr>
            <w:r w:rsidRPr="00B70D6A">
              <w:t>5.4.</w:t>
            </w:r>
            <w:r w:rsidRPr="00B70D6A">
              <w:tab/>
              <w:t xml:space="preserve">Activities are monitored to ensure that the </w:t>
            </w:r>
            <w:r w:rsidRPr="00B70D6A">
              <w:rPr>
                <w:rStyle w:val="BoldandItalics"/>
              </w:rPr>
              <w:t>risk control procedure</w:t>
            </w:r>
            <w:r w:rsidRPr="00B70D6A">
              <w:t xml:space="preserve"> is adopted effectively throughout the area of managerial responsibility</w:t>
            </w:r>
          </w:p>
          <w:p w:rsidR="00000000" w:rsidRPr="00B70D6A" w:rsidP="00B70D6A">
            <w:pPr>
              <w:pStyle w:val="List2"/>
            </w:pPr>
            <w:r w:rsidRPr="00B70D6A">
              <w:t>5.5.</w:t>
            </w:r>
            <w:r w:rsidRPr="00B70D6A">
              <w:tab/>
              <w:t xml:space="preserve">Risk control is addressed at the planning, design and evaluation stages of any change within the area of </w:t>
            </w:r>
            <w:r w:rsidRPr="00B70D6A">
              <w:t>managerial responsibility to ensure that adequate risk control measures are included</w:t>
            </w:r>
          </w:p>
          <w:p w:rsidR="00000000" w:rsidP="00B70D6A">
            <w:pPr>
              <w:pStyle w:val="List2"/>
              <w:rPr>
                <w:lang w:val="en-NZ"/>
              </w:rPr>
            </w:pPr>
            <w:r w:rsidRPr="00B70D6A">
              <w:t>5.6.</w:t>
            </w:r>
            <w:r w:rsidRPr="00B70D6A">
              <w:tab/>
              <w:t>Inadequacies in existing risk control measures are identified in accordance with the hierarchy of control, and resources enabling implementation of new measures are s</w:t>
            </w:r>
            <w:r w:rsidRPr="00B70D6A">
              <w:t>ought and/or provided according to appropriate procedures</w:t>
            </w:r>
          </w:p>
        </w:tc>
      </w:tr>
      <w:tr w:rsidTr="005215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0D6A">
            <w:pPr>
              <w:pStyle w:val="List"/>
              <w:rPr>
                <w:lang w:val="en-NZ"/>
              </w:rPr>
            </w:pPr>
            <w:r w:rsidRPr="00B70D6A">
              <w:t>6.</w:t>
            </w:r>
            <w:r w:rsidRPr="00B70D6A">
              <w:tab/>
              <w:t>Establish and maintain organisational procedures for dealing with hazardous events</w:t>
            </w:r>
          </w:p>
        </w:tc>
        <w:tc>
          <w:tcPr>
            <w:tcW w:w="0" w:type="auto"/>
            <w:tcBorders>
              <w:top w:val="nil"/>
              <w:left w:val="nil"/>
              <w:bottom w:val="nil"/>
              <w:right w:val="nil"/>
            </w:tcBorders>
            <w:tcMar>
              <w:top w:w="0" w:type="dxa"/>
              <w:left w:w="62" w:type="dxa"/>
              <w:bottom w:w="0" w:type="dxa"/>
              <w:right w:w="62" w:type="dxa"/>
            </w:tcMar>
          </w:tcPr>
          <w:p w:rsidR="00000000" w:rsidRPr="00B70D6A" w:rsidP="00B70D6A">
            <w:pPr>
              <w:pStyle w:val="List2"/>
            </w:pPr>
            <w:r w:rsidRPr="00B70D6A">
              <w:t>6.1.</w:t>
            </w:r>
            <w:r w:rsidRPr="00B70D6A">
              <w:tab/>
              <w:t>Potential hazardous events are correctly identified</w:t>
            </w:r>
          </w:p>
          <w:p w:rsidR="00000000" w:rsidRPr="00B70D6A" w:rsidP="00B70D6A">
            <w:pPr>
              <w:pStyle w:val="List2"/>
            </w:pPr>
            <w:r w:rsidRPr="00B70D6A">
              <w:t>6.2.</w:t>
            </w:r>
            <w:r w:rsidRPr="00B70D6A">
              <w:tab/>
              <w:t>Procedures which would control the risks associat</w:t>
            </w:r>
            <w:r w:rsidRPr="00B70D6A">
              <w:t xml:space="preserve">ed with </w:t>
            </w:r>
            <w:r w:rsidRPr="00B70D6A">
              <w:rPr>
                <w:rStyle w:val="BoldandItalics"/>
              </w:rPr>
              <w:t>hazardous events</w:t>
            </w:r>
            <w:r w:rsidRPr="00B70D6A">
              <w:t xml:space="preserve"> and meet any legislative requirements as a minimum are developed in consultation with appropriate emergency services</w:t>
            </w:r>
          </w:p>
          <w:p w:rsidR="00000000" w:rsidP="00B70D6A">
            <w:pPr>
              <w:pStyle w:val="List2"/>
              <w:rPr>
                <w:lang w:val="en-NZ"/>
              </w:rPr>
            </w:pPr>
            <w:r w:rsidRPr="00B70D6A">
              <w:t>6.3.</w:t>
            </w:r>
            <w:r w:rsidRPr="00B70D6A">
              <w:tab/>
              <w:t>Appropriate information and training is provided to all employees to enable implementation of the correct pro</w:t>
            </w:r>
            <w:r w:rsidRPr="00B70D6A">
              <w:t>cedures in all relevant circumstances</w:t>
            </w:r>
          </w:p>
        </w:tc>
      </w:tr>
      <w:tr w:rsidTr="005215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0D6A">
            <w:pPr>
              <w:pStyle w:val="List"/>
              <w:rPr>
                <w:lang w:val="en-NZ"/>
              </w:rPr>
            </w:pPr>
            <w:r w:rsidRPr="00B70D6A">
              <w:t>7.</w:t>
            </w:r>
            <w:r w:rsidRPr="00B70D6A">
              <w:tab/>
              <w:t>Establish and maintain an OHS program</w:t>
            </w:r>
          </w:p>
        </w:tc>
        <w:tc>
          <w:tcPr>
            <w:tcW w:w="0" w:type="auto"/>
            <w:tcBorders>
              <w:top w:val="nil"/>
              <w:left w:val="nil"/>
              <w:bottom w:val="nil"/>
              <w:right w:val="nil"/>
            </w:tcBorders>
            <w:tcMar>
              <w:top w:w="0" w:type="dxa"/>
              <w:left w:w="62" w:type="dxa"/>
              <w:bottom w:w="0" w:type="dxa"/>
              <w:right w:w="62" w:type="dxa"/>
            </w:tcMar>
          </w:tcPr>
          <w:p w:rsidR="00000000" w:rsidP="00B70D6A">
            <w:pPr>
              <w:pStyle w:val="List2"/>
              <w:rPr>
                <w:lang w:val="en-NZ"/>
              </w:rPr>
            </w:pPr>
            <w:r w:rsidRPr="00B70D6A">
              <w:t>7.1.</w:t>
            </w:r>
            <w:r w:rsidRPr="00B70D6A">
              <w:tab/>
            </w:r>
            <w:r w:rsidRPr="00B70D6A">
              <w:rPr>
                <w:rStyle w:val="BoldandItalics"/>
              </w:rPr>
              <w:t>An OHS training program</w:t>
            </w:r>
            <w:r w:rsidRPr="00B70D6A">
              <w:t xml:space="preserve"> is developed and implemented to identify and fulfil employees' OHS training needs as part of the organisation's general training program</w:t>
            </w:r>
          </w:p>
        </w:tc>
      </w:tr>
      <w:tr w:rsidTr="005215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0D6A">
            <w:pPr>
              <w:pStyle w:val="List"/>
              <w:rPr>
                <w:lang w:val="en-NZ"/>
              </w:rPr>
            </w:pPr>
            <w:r w:rsidRPr="00B70D6A">
              <w:t>8.</w:t>
            </w:r>
            <w:r w:rsidRPr="00B70D6A">
              <w:tab/>
              <w:t>Establ</w:t>
            </w:r>
            <w:r w:rsidRPr="00B70D6A">
              <w:t>ish and maintain a system for OHS records</w:t>
            </w:r>
          </w:p>
        </w:tc>
        <w:tc>
          <w:tcPr>
            <w:tcW w:w="0" w:type="auto"/>
            <w:tcBorders>
              <w:top w:val="nil"/>
              <w:left w:val="nil"/>
              <w:bottom w:val="nil"/>
              <w:right w:val="nil"/>
            </w:tcBorders>
            <w:tcMar>
              <w:top w:w="0" w:type="dxa"/>
              <w:left w:w="62" w:type="dxa"/>
              <w:bottom w:w="0" w:type="dxa"/>
              <w:right w:w="62" w:type="dxa"/>
            </w:tcMar>
          </w:tcPr>
          <w:p w:rsidR="00000000" w:rsidP="00B70D6A">
            <w:pPr>
              <w:pStyle w:val="List2"/>
              <w:rPr>
                <w:lang w:val="en-NZ"/>
              </w:rPr>
            </w:pPr>
            <w:r w:rsidRPr="00B70D6A">
              <w:t>8.1.</w:t>
            </w:r>
            <w:r w:rsidRPr="00B70D6A">
              <w:tab/>
            </w:r>
            <w:r w:rsidRPr="00B70D6A">
              <w:rPr>
                <w:rStyle w:val="BoldandItalics"/>
              </w:rPr>
              <w:t>A system for keeping occupational health and safety records</w:t>
            </w:r>
            <w:r w:rsidRPr="00B70D6A">
              <w:t xml:space="preserve"> is established and monitored to allow identification of patterns of occupational injury and disease within the area of managerial responsibility.</w:t>
            </w:r>
          </w:p>
        </w:tc>
      </w:tr>
      <w:tr w:rsidTr="005215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0D6A">
            <w:pPr>
              <w:pStyle w:val="List"/>
              <w:rPr>
                <w:lang w:val="en-NZ"/>
              </w:rPr>
            </w:pPr>
            <w:r w:rsidRPr="00B70D6A">
              <w:t>9.</w:t>
            </w:r>
            <w:r w:rsidRPr="00B70D6A">
              <w:tab/>
              <w:t>Evaluate the organisation's OHS system and related policies, procedures and programs</w:t>
            </w:r>
          </w:p>
        </w:tc>
        <w:tc>
          <w:tcPr>
            <w:tcW w:w="0" w:type="auto"/>
            <w:tcBorders>
              <w:top w:val="nil"/>
              <w:left w:val="nil"/>
              <w:bottom w:val="nil"/>
              <w:right w:val="nil"/>
            </w:tcBorders>
            <w:tcMar>
              <w:top w:w="0" w:type="dxa"/>
              <w:left w:w="62" w:type="dxa"/>
              <w:bottom w:w="0" w:type="dxa"/>
              <w:right w:w="62" w:type="dxa"/>
            </w:tcMar>
          </w:tcPr>
          <w:p w:rsidR="00000000" w:rsidRPr="00B70D6A" w:rsidP="00B70D6A">
            <w:pPr>
              <w:pStyle w:val="List2"/>
            </w:pPr>
            <w:r w:rsidRPr="00B70D6A">
              <w:t>9.1.</w:t>
            </w:r>
            <w:r w:rsidRPr="00B70D6A">
              <w:tab/>
              <w:t xml:space="preserve">The </w:t>
            </w:r>
            <w:r w:rsidRPr="00B70D6A">
              <w:rPr>
                <w:rStyle w:val="BoldandItalics"/>
              </w:rPr>
              <w:t>effectiveness of the OHS system and related policies</w:t>
            </w:r>
            <w:r w:rsidRPr="00B70D6A">
              <w:t xml:space="preserve">, </w:t>
            </w:r>
            <w:r w:rsidRPr="00B70D6A">
              <w:rPr>
                <w:rStyle w:val="BoldandItalics"/>
              </w:rPr>
              <w:t>procedures and programs is assessed</w:t>
            </w:r>
            <w:r w:rsidRPr="00B70D6A">
              <w:t xml:space="preserve"> according to the organisation's aims with respect to OHS</w:t>
            </w:r>
          </w:p>
          <w:p w:rsidR="00000000" w:rsidRPr="00B70D6A" w:rsidP="00B70D6A">
            <w:pPr>
              <w:pStyle w:val="List2"/>
            </w:pPr>
            <w:r w:rsidRPr="00B70D6A">
              <w:t>9.2.</w:t>
            </w:r>
            <w:r w:rsidRPr="00B70D6A">
              <w:tab/>
              <w:t>Improveme</w:t>
            </w:r>
            <w:r w:rsidRPr="00B70D6A">
              <w:t>nts to the OHS system are developed and implemented to ensure more effective achievement of the organisation's aims with respect to OHS</w:t>
            </w:r>
          </w:p>
          <w:p w:rsidR="00000000" w:rsidRPr="00B70D6A" w:rsidP="00B70D6A">
            <w:pPr>
              <w:pStyle w:val="List2"/>
            </w:pPr>
            <w:r w:rsidRPr="00B70D6A">
              <w:t>9.3.</w:t>
            </w:r>
            <w:r w:rsidRPr="00B70D6A">
              <w:tab/>
              <w:t>Compliance with OHS legislation and codes of practice is assessed to ensure that legal OHS standards are maintained</w:t>
            </w:r>
            <w:r w:rsidRPr="00B70D6A">
              <w:t xml:space="preserve"> as a minimum</w:t>
            </w:r>
          </w:p>
        </w:tc>
      </w:tr>
    </w:tbl>
    <w:p w:rsidR="00000000" w:rsidRPr="00B70D6A" w:rsidP="00B70D6A">
      <w:pPr>
        <w:pStyle w:val="BodyText"/>
      </w:pPr>
    </w:p>
    <w:p w:rsidR="00000000" w:rsidRPr="00B70D6A" w:rsidP="00B70D6A">
      <w:pPr>
        <w:pStyle w:val="AllowPageBreak"/>
      </w:pPr>
    </w:p>
    <w:p w:rsidR="00000000" w:rsidRPr="00B70D6A" w:rsidP="00B70D6A">
      <w:pPr>
        <w:pStyle w:val="Heading1"/>
      </w:pPr>
      <w:bookmarkStart w:id="9" w:name="O_398605"/>
      <w:bookmarkEnd w:id="9"/>
      <w:r w:rsidRPr="00B70D6A">
        <w:t>Required Skills and Knowledge</w:t>
      </w:r>
    </w:p>
    <w:tbl>
      <w:tblPr>
        <w:tblW w:w="9360" w:type="dxa"/>
        <w:tblLayout w:type="fixed"/>
        <w:tblCellMar>
          <w:left w:w="62" w:type="dxa"/>
          <w:right w:w="62" w:type="dxa"/>
        </w:tblCellMar>
        <w:tblLook w:val="0000"/>
      </w:tblPr>
      <w:tblGrid>
        <w:gridCol w:w="9360"/>
      </w:tblGrid>
      <w:tr w:rsidTr="00521561">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B70D6A">
            <w:pPr>
              <w:pStyle w:val="BodyText"/>
              <w:rPr>
                <w:lang w:val="en-NZ"/>
              </w:rPr>
            </w:pPr>
            <w:r w:rsidRPr="00B70D6A">
              <w:rPr>
                <w:rStyle w:val="SpecialBold"/>
              </w:rPr>
              <w:t>Required skills</w:t>
            </w:r>
          </w:p>
        </w:tc>
      </w:tr>
      <w:tr w:rsidTr="00521561">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B70D6A" w:rsidP="00B70D6A">
            <w:pPr>
              <w:pStyle w:val="BodyText"/>
            </w:pPr>
            <w:r w:rsidRPr="00B70D6A">
              <w:t>Look for evidence that confirms skills in:</w:t>
            </w:r>
          </w:p>
          <w:p w:rsidR="00000000" w:rsidRPr="00B70D6A" w:rsidP="00B70D6A">
            <w:pPr>
              <w:pStyle w:val="ListBullet"/>
            </w:pPr>
            <w:r w:rsidRPr="00B70D6A">
              <w:t>ability to analyse working environment and design appropriate OHS management systems</w:t>
            </w:r>
          </w:p>
          <w:p w:rsidR="00000000" w:rsidRPr="00B70D6A" w:rsidP="00B70D6A">
            <w:pPr>
              <w:pStyle w:val="ListBullet"/>
            </w:pPr>
            <w:r w:rsidRPr="00B70D6A">
              <w:t>ability to analyse relevant data and evaluate OHS system effectiveness</w:t>
            </w:r>
          </w:p>
          <w:p w:rsidR="00000000" w:rsidP="00B70D6A">
            <w:pPr>
              <w:pStyle w:val="ListBullet"/>
              <w:rPr>
                <w:lang w:val="en-NZ"/>
              </w:rPr>
            </w:pPr>
            <w:r w:rsidRPr="00B70D6A">
              <w:t>ability to assess resources to establish and maintain OHS management systems</w:t>
            </w:r>
          </w:p>
        </w:tc>
      </w:tr>
      <w:tr w:rsidTr="00521561">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B70D6A">
            <w:pPr>
              <w:pStyle w:val="BodyText"/>
              <w:rPr>
                <w:lang w:val="en-NZ"/>
              </w:rPr>
            </w:pPr>
            <w:r w:rsidRPr="00B70D6A">
              <w:rPr>
                <w:rStyle w:val="SpecialBold"/>
              </w:rPr>
              <w:t>Required knowledge</w:t>
            </w:r>
          </w:p>
        </w:tc>
      </w:tr>
      <w:tr w:rsidTr="00521561">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B70D6A" w:rsidP="00B70D6A">
            <w:pPr>
              <w:pStyle w:val="BodyText"/>
            </w:pPr>
            <w:r w:rsidRPr="00B70D6A">
              <w:t>Look for evidence that confirms knowledge of:</w:t>
            </w:r>
          </w:p>
          <w:p w:rsidR="00000000" w:rsidRPr="00B70D6A" w:rsidP="00B70D6A">
            <w:pPr>
              <w:pStyle w:val="ListBullet"/>
            </w:pPr>
            <w:r w:rsidRPr="00B70D6A">
              <w:t>provisions of relevant OHS legislation</w:t>
            </w:r>
          </w:p>
          <w:p w:rsidR="00000000" w:rsidRPr="00B70D6A" w:rsidP="00B70D6A">
            <w:pPr>
              <w:pStyle w:val="ListBullet"/>
            </w:pPr>
            <w:r w:rsidRPr="00B70D6A">
              <w:t>pr</w:t>
            </w:r>
            <w:r w:rsidRPr="00B70D6A">
              <w:t>inciples and practice of effective OHS management</w:t>
            </w:r>
          </w:p>
          <w:p w:rsidR="00000000" w:rsidRPr="00B70D6A" w:rsidP="00B70D6A">
            <w:pPr>
              <w:pStyle w:val="ListBullet"/>
            </w:pPr>
            <w:r w:rsidRPr="00B70D6A">
              <w:t>management arrangements relating to regulatory compliance</w:t>
            </w:r>
          </w:p>
          <w:p w:rsidR="00000000" w:rsidRPr="00B70D6A" w:rsidP="00B70D6A">
            <w:pPr>
              <w:pStyle w:val="ListBullet"/>
            </w:pPr>
            <w:r w:rsidRPr="00B70D6A">
              <w:t>enterprise hazards and risks, control measures and relevant expertise required</w:t>
            </w:r>
          </w:p>
          <w:p w:rsidR="00000000" w:rsidRPr="00B70D6A" w:rsidP="00B70D6A">
            <w:pPr>
              <w:pStyle w:val="ListBullet"/>
            </w:pPr>
            <w:r w:rsidRPr="00B70D6A">
              <w:t xml:space="preserve">characteristics and composition of workforce and their impact on OHS </w:t>
            </w:r>
            <w:r w:rsidRPr="00B70D6A">
              <w:t>management</w:t>
            </w:r>
          </w:p>
          <w:p w:rsidR="00000000" w:rsidRPr="00B70D6A" w:rsidP="00B70D6A">
            <w:pPr>
              <w:pStyle w:val="ListBullet"/>
            </w:pPr>
            <w:r w:rsidRPr="00B70D6A">
              <w:t>relevance of enterprise management systems to OHS management</w:t>
            </w:r>
          </w:p>
        </w:tc>
      </w:tr>
    </w:tbl>
    <w:p w:rsidR="00000000" w:rsidRPr="00B70D6A" w:rsidP="00B70D6A">
      <w:pPr>
        <w:pStyle w:val="BodyText"/>
      </w:pPr>
    </w:p>
    <w:p w:rsidR="00000000" w:rsidRPr="00B70D6A" w:rsidP="00B70D6A">
      <w:pPr>
        <w:pStyle w:val="AllowPageBreak"/>
      </w:pPr>
    </w:p>
    <w:p w:rsidR="00000000" w:rsidRPr="00B70D6A" w:rsidP="00B70D6A">
      <w:pPr>
        <w:pStyle w:val="Heading1"/>
      </w:pPr>
      <w:bookmarkStart w:id="10" w:name="O_398611"/>
      <w:bookmarkEnd w:id="10"/>
      <w:r w:rsidRPr="00B70D6A">
        <w:t>Evidence Guide</w:t>
      </w:r>
    </w:p>
    <w:tbl>
      <w:tblPr>
        <w:tblW w:w="9570" w:type="dxa"/>
        <w:tblLayout w:type="fixed"/>
        <w:tblCellMar>
          <w:left w:w="62" w:type="dxa"/>
          <w:right w:w="62" w:type="dxa"/>
        </w:tblCellMar>
        <w:tblLook w:val="0000"/>
      </w:tblPr>
      <w:tblGrid>
        <w:gridCol w:w="3908"/>
        <w:gridCol w:w="5662"/>
      </w:tblGrid>
      <w:tr w:rsidTr="0052156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D6A">
            <w:pPr>
              <w:pStyle w:val="BodyText"/>
              <w:rPr>
                <w:lang w:val="en-NZ"/>
              </w:rPr>
            </w:pPr>
            <w:r w:rsidRPr="00B70D6A">
              <w:t xml:space="preserve">The Evidence Guide provides advice on assessment and must be read in conjunction with the performance criteria, required skills and knowledge, </w:t>
            </w:r>
            <w:r w:rsidRPr="00B70D6A">
              <w:t>range statement and the Assessment Guidelines for the Training Package.</w:t>
            </w:r>
          </w:p>
        </w:tc>
      </w:tr>
      <w:tr w:rsidTr="005215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D6A">
            <w:pPr>
              <w:pStyle w:val="BodyText"/>
              <w:rPr>
                <w:lang w:val="en-NZ"/>
              </w:rPr>
            </w:pPr>
            <w:r w:rsidRPr="00B70D6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D6A">
            <w:pPr>
              <w:pStyle w:val="BodyText"/>
              <w:rPr>
                <w:lang w:val="en-NZ"/>
              </w:rPr>
            </w:pPr>
            <w:r w:rsidRPr="00B70D6A">
              <w:t xml:space="preserve">A person who demonstrates competency in this unit must be able to effectively utilise OHS legislation and organisational policies and procedures to establish, </w:t>
            </w:r>
            <w:r w:rsidRPr="00B70D6A">
              <w:t>maintain and evaluate an OHS system.</w:t>
            </w:r>
          </w:p>
        </w:tc>
      </w:tr>
      <w:tr w:rsidTr="005215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D6A">
            <w:pPr>
              <w:pStyle w:val="BodyText"/>
              <w:rPr>
                <w:lang w:val="en-NZ"/>
              </w:rPr>
            </w:pPr>
            <w:r w:rsidRPr="00B70D6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D6A" w:rsidP="00B70D6A">
            <w:pPr>
              <w:pStyle w:val="BodyText"/>
            </w:pPr>
            <w:r w:rsidRPr="00B70D6A">
              <w:t>Assessors must be satisfied that the candidate can competently and consistently perform all elements of the unit as specified</w:t>
            </w:r>
            <w:r w:rsidRPr="00B70D6A">
              <w:t xml:space="preserve"> by the criteria, including required knowledge, and be capable of applying the competency in new and different situations and contexts.</w:t>
            </w:r>
          </w:p>
          <w:p w:rsidR="00000000" w:rsidP="00B70D6A">
            <w:pPr>
              <w:pStyle w:val="BodyText"/>
              <w:rPr>
                <w:lang w:val="en-NZ"/>
              </w:rPr>
            </w:pPr>
            <w:r w:rsidRPr="00B70D6A">
              <w:t>Assessors should gather a range of evidence that is valid, sufficient, current and authentic. Evidence can be gathered t</w:t>
            </w:r>
            <w:r w:rsidRPr="00B70D6A">
              <w:t>hrough a variety of ways, including direct observation, supervisor's reports, project work, samples and questioning. Questioning techniques should not require language, literacy and numeracy skills beyond those required in this unit of competency.</w:t>
            </w:r>
          </w:p>
        </w:tc>
      </w:tr>
      <w:tr w:rsidTr="005215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D6A">
            <w:pPr>
              <w:pStyle w:val="BodyText"/>
              <w:rPr>
                <w:lang w:val="en-NZ"/>
              </w:rPr>
            </w:pPr>
            <w:r w:rsidRPr="00B70D6A">
              <w:rPr>
                <w:rStyle w:val="SpecialBold"/>
              </w:rPr>
              <w:t>Context</w:t>
            </w:r>
            <w:r w:rsidRPr="00B70D6A">
              <w:rPr>
                <w:rStyle w:val="SpecialBold"/>
              </w:rPr>
              <w:t xml:space="preserve">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D6A">
            <w:pPr>
              <w:pStyle w:val="BodyText"/>
              <w:rPr>
                <w:lang w:val="en-NZ"/>
              </w:rPr>
            </w:pPr>
            <w:r w:rsidRPr="00B70D6A">
              <w:t>This unit may be assessed on the job, off the job or a combination of both on and off the job. Where assessment occurs off the job, that is, the candidate is not in productive work, then an appropriate simulation m</w:t>
            </w:r>
            <w:r w:rsidRPr="00B70D6A">
              <w:t>ust be used where the range of conditions reflects realistic workplace situations. The candidate must have access to all equipment, materials and documentation required and must be permitted to refer to any relevant workplace procedures, product and manufa</w:t>
            </w:r>
            <w:r w:rsidRPr="00B70D6A">
              <w:t>cturing specifications, codes, standards, manuals and reference materials. The assessment environment should not disadvantage the candidate.</w:t>
            </w:r>
          </w:p>
        </w:tc>
      </w:tr>
      <w:tr w:rsidTr="005215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D6A">
            <w:pPr>
              <w:pStyle w:val="BodyText"/>
              <w:rPr>
                <w:lang w:val="en-NZ"/>
              </w:rPr>
            </w:pPr>
            <w:r w:rsidRPr="00B70D6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D6A">
            <w:pPr>
              <w:pStyle w:val="BodyText"/>
              <w:rPr>
                <w:lang w:val="en-NZ"/>
              </w:rPr>
            </w:pPr>
          </w:p>
        </w:tc>
      </w:tr>
      <w:tr w:rsidTr="005215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D6A">
            <w:pPr>
              <w:pStyle w:val="BodyText"/>
              <w:rPr>
                <w:lang w:val="en-NZ"/>
              </w:rPr>
            </w:pPr>
            <w:r w:rsidRPr="00B70D6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D6A" w:rsidP="00B70D6A">
            <w:pPr>
              <w:pStyle w:val="BodyText"/>
            </w:pPr>
          </w:p>
        </w:tc>
      </w:tr>
    </w:tbl>
    <w:p w:rsidR="00000000" w:rsidRPr="00B70D6A" w:rsidP="00B70D6A">
      <w:pPr>
        <w:pStyle w:val="BodyText"/>
      </w:pPr>
    </w:p>
    <w:p w:rsidR="00000000" w:rsidRPr="00B70D6A" w:rsidP="00B70D6A">
      <w:pPr>
        <w:pStyle w:val="AllowPageBreak"/>
      </w:pPr>
    </w:p>
    <w:p w:rsidR="00000000" w:rsidRPr="00B70D6A" w:rsidP="00B70D6A">
      <w:pPr>
        <w:pStyle w:val="Heading1"/>
      </w:pPr>
      <w:bookmarkStart w:id="11" w:name="O_398606"/>
      <w:bookmarkEnd w:id="11"/>
      <w:r w:rsidRPr="00B70D6A">
        <w:t>Range Statement</w:t>
      </w:r>
    </w:p>
    <w:tbl>
      <w:tblPr>
        <w:tblW w:w="9360" w:type="dxa"/>
        <w:tblLayout w:type="fixed"/>
        <w:tblCellMar>
          <w:left w:w="62" w:type="dxa"/>
          <w:right w:w="62" w:type="dxa"/>
        </w:tblCellMar>
        <w:tblLook w:val="0000"/>
      </w:tblPr>
      <w:tblGrid>
        <w:gridCol w:w="3387"/>
        <w:gridCol w:w="5973"/>
      </w:tblGrid>
      <w:tr w:rsidTr="00521561">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D6A">
            <w:pPr>
              <w:pStyle w:val="BodyText"/>
              <w:rPr>
                <w:lang w:val="en-NZ"/>
              </w:rPr>
            </w:pPr>
            <w:r w:rsidRPr="00B70D6A">
              <w:t>The r</w:t>
            </w:r>
            <w:r w:rsidRPr="00B70D6A">
              <w:t>ange statement relates to the unit of competency as a whole. It allows for different work environments and situations that may affect performance. Bold italicised wording, if used in the performance criteria, is detailed below. Essential operating conditio</w:t>
            </w:r>
            <w:r w:rsidRPr="00B70D6A">
              <w:t>ns that may be present with training and assessment (depending on the work situation, needs of the candidate, accessibility of the item, and local industry and regional contexts) may also be included.</w:t>
            </w:r>
          </w:p>
        </w:tc>
      </w:tr>
      <w:tr w:rsidTr="00521561">
        <w:tblPrEx>
          <w:tblW w:w="9360" w:type="dxa"/>
          <w:tblLayout w:type="fixed"/>
          <w:tblCellMar>
            <w:left w:w="62" w:type="dxa"/>
            <w:right w:w="62" w:type="dxa"/>
          </w:tblCellMar>
          <w:tblLook w:val="0000"/>
        </w:tblPrEx>
        <w:tc>
          <w:tcPr>
            <w:tcW w:w="3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D6A" w:rsidP="00B70D6A">
            <w:pPr>
              <w:pStyle w:val="BodyText"/>
            </w:pPr>
            <w:r w:rsidRPr="00B70D6A">
              <w:rPr>
                <w:rStyle w:val="SpecialBold"/>
              </w:rPr>
              <w:t>Application</w:t>
            </w:r>
            <w:r w:rsidRPr="00B70D6A">
              <w:t xml:space="preserve"> </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D6A" w:rsidP="00B70D6A">
            <w:pPr>
              <w:pStyle w:val="BodyText"/>
            </w:pPr>
            <w:r w:rsidRPr="00B70D6A">
              <w:rPr>
                <w:rStyle w:val="Emphasis"/>
              </w:rPr>
              <w:t>Application of this unit may relate to</w:t>
            </w:r>
            <w:r w:rsidRPr="00B70D6A">
              <w:t>:</w:t>
            </w:r>
          </w:p>
          <w:p w:rsidR="00000000" w:rsidRPr="00B70D6A" w:rsidP="00B70D6A">
            <w:pPr>
              <w:pStyle w:val="ListBullet"/>
            </w:pPr>
            <w:r w:rsidRPr="00B70D6A">
              <w:t>scheduled or unscheduled maintenance performed on flight lines, in hangars and in workshops</w:t>
            </w:r>
          </w:p>
          <w:p w:rsidR="00000000" w:rsidP="00B70D6A">
            <w:pPr>
              <w:pStyle w:val="ListBullet"/>
              <w:rPr>
                <w:lang w:val="en-NZ"/>
              </w:rPr>
            </w:pPr>
            <w:r w:rsidRPr="00B70D6A">
              <w:t>individual or team-related activities</w:t>
            </w:r>
          </w:p>
        </w:tc>
      </w:tr>
      <w:tr w:rsidTr="00521561">
        <w:tblPrEx>
          <w:tblW w:w="9360" w:type="dxa"/>
          <w:tblLayout w:type="fixed"/>
          <w:tblCellMar>
            <w:left w:w="62" w:type="dxa"/>
            <w:right w:w="62" w:type="dxa"/>
          </w:tblCellMar>
          <w:tblLook w:val="0000"/>
        </w:tblPrEx>
        <w:tc>
          <w:tcPr>
            <w:tcW w:w="3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D6A">
            <w:pPr>
              <w:pStyle w:val="BodyText"/>
              <w:rPr>
                <w:lang w:val="en-NZ"/>
              </w:rPr>
            </w:pPr>
            <w:r w:rsidRPr="00B70D6A">
              <w:rPr>
                <w:rStyle w:val="SpecialBold"/>
              </w:rPr>
              <w:t>This competency is to be exhibited in accordance with all relevant OHS legislation</w:t>
            </w:r>
            <w:r w:rsidRPr="00B70D6A">
              <w:t xml:space="preserve">, </w:t>
            </w:r>
            <w:r w:rsidRPr="00B70D6A">
              <w:rPr>
                <w:rStyle w:val="SpecialBold"/>
              </w:rPr>
              <w:t>particularly</w:t>
            </w:r>
            <w:r w:rsidRPr="00B70D6A">
              <w: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D6A" w:rsidP="00B70D6A">
            <w:pPr>
              <w:pStyle w:val="ListBullet"/>
            </w:pPr>
            <w:r w:rsidRPr="00B70D6A">
              <w:t>state/terr</w:t>
            </w:r>
            <w:r w:rsidRPr="00B70D6A">
              <w:t>itory/Commonwealth OHS Acts, regulations and codes of practice, including regulations and organisational codes of practice relating to hazards present in the workplace</w:t>
            </w:r>
          </w:p>
          <w:p w:rsidR="00000000" w:rsidRPr="00B70D6A" w:rsidP="00B70D6A">
            <w:pPr>
              <w:pStyle w:val="ListBullet"/>
            </w:pPr>
            <w:r w:rsidRPr="00B70D6A">
              <w:t>general duty of care under OHS legislation and common law; requirements for the maintena</w:t>
            </w:r>
            <w:r w:rsidRPr="00B70D6A">
              <w:t>nce and confidentiality of occupational injury and disease</w:t>
            </w:r>
          </w:p>
          <w:p w:rsidR="00000000" w:rsidRPr="00B70D6A" w:rsidP="00B70D6A">
            <w:pPr>
              <w:pStyle w:val="ListBullet"/>
            </w:pPr>
            <w:r w:rsidRPr="00B70D6A">
              <w:t>requirements for provision of OHS information and training</w:t>
            </w:r>
          </w:p>
          <w:p w:rsidR="00000000" w:rsidRPr="00B70D6A" w:rsidP="00B70D6A">
            <w:pPr>
              <w:pStyle w:val="ListBullet"/>
            </w:pPr>
            <w:r w:rsidRPr="00B70D6A">
              <w:t>provisions relating to health and safety representatives and/or OHS committees</w:t>
            </w:r>
          </w:p>
          <w:p w:rsidR="00000000" w:rsidRPr="00B70D6A" w:rsidP="00B70D6A">
            <w:pPr>
              <w:pStyle w:val="ListBullet"/>
            </w:pPr>
            <w:r w:rsidRPr="00B70D6A">
              <w:t>provisions relating to OHS issue resolution</w:t>
            </w:r>
          </w:p>
          <w:p w:rsidR="00000000" w:rsidP="00B70D6A">
            <w:pPr>
              <w:pStyle w:val="ListBullet"/>
              <w:rPr>
                <w:lang w:val="en-NZ"/>
              </w:rPr>
            </w:pPr>
            <w:r w:rsidRPr="00B70D6A">
              <w:t xml:space="preserve">Civil Aviation </w:t>
            </w:r>
            <w:r w:rsidRPr="00B70D6A">
              <w:t>Safety Regulations (CASRs), Manuals of Standards and associated Acceptable Means of Compliance and Guidance Material</w:t>
            </w:r>
          </w:p>
        </w:tc>
      </w:tr>
      <w:tr w:rsidTr="00521561">
        <w:tblPrEx>
          <w:tblW w:w="9360" w:type="dxa"/>
          <w:tblLayout w:type="fixed"/>
          <w:tblCellMar>
            <w:left w:w="62" w:type="dxa"/>
            <w:right w:w="62" w:type="dxa"/>
          </w:tblCellMar>
          <w:tblLook w:val="0000"/>
        </w:tblPrEx>
        <w:tc>
          <w:tcPr>
            <w:tcW w:w="3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D6A">
            <w:pPr>
              <w:pStyle w:val="BodyText"/>
              <w:rPr>
                <w:lang w:val="en-NZ"/>
              </w:rPr>
            </w:pPr>
            <w:r w:rsidRPr="00B70D6A">
              <w:rPr>
                <w:rStyle w:val="SpecialBold"/>
              </w:rPr>
              <w:t>Establish and maintain the framework for OHS may include</w:t>
            </w:r>
            <w:r w:rsidRPr="00B70D6A">
              <w: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D6A" w:rsidP="00B70D6A">
            <w:pPr>
              <w:pStyle w:val="ListBullet"/>
            </w:pPr>
            <w:r w:rsidRPr="00B70D6A">
              <w:t>policy development and updating</w:t>
            </w:r>
          </w:p>
          <w:p w:rsidR="00000000" w:rsidRPr="00B70D6A" w:rsidP="00B70D6A">
            <w:pPr>
              <w:pStyle w:val="ListBullet"/>
            </w:pPr>
            <w:r w:rsidRPr="00B70D6A">
              <w:t>determining the ways in which OHS functions will</w:t>
            </w:r>
            <w:r w:rsidRPr="00B70D6A">
              <w:t xml:space="preserve"> be managed. This may include distinct OHS management activities, or inclusion of OHS functions within a range of management functions and operations, such as maintenance of plant and equipment; purchasing of materials and equipment</w:t>
            </w:r>
          </w:p>
          <w:p w:rsidR="00000000" w:rsidRPr="00B70D6A" w:rsidP="00B70D6A">
            <w:pPr>
              <w:pStyle w:val="ListBullet"/>
            </w:pPr>
            <w:r w:rsidRPr="00B70D6A">
              <w:t>designing operations, w</w:t>
            </w:r>
            <w:r w:rsidRPr="00B70D6A">
              <w:t>ork flow and materials handling; planning or implementing alterations to site, plant, operations or work systems; mechanisms for review and allocation of human, technical and financial resources needed to manage OHS, including defining and allocating OHS r</w:t>
            </w:r>
            <w:r w:rsidRPr="00B70D6A">
              <w:t>esponsibilities for all relevant positions</w:t>
            </w:r>
          </w:p>
          <w:p w:rsidR="00000000" w:rsidRPr="00B70D6A" w:rsidP="00B70D6A">
            <w:pPr>
              <w:pStyle w:val="ListBullet"/>
            </w:pPr>
            <w:r w:rsidRPr="00B70D6A">
              <w:t>mechanisms for keeping up to date with relevant information and updating the management arrangements for OHS, for example, information on health effects of hazards, technical developments in risk control and envir</w:t>
            </w:r>
            <w:r w:rsidRPr="00B70D6A">
              <w:t>onmental monitoring and changes to legislation</w:t>
            </w:r>
          </w:p>
          <w:p w:rsidR="00000000" w:rsidP="00B70D6A">
            <w:pPr>
              <w:pStyle w:val="ListBullet"/>
              <w:rPr>
                <w:lang w:val="en-NZ"/>
              </w:rPr>
            </w:pPr>
            <w:r w:rsidRPr="00B70D6A">
              <w:t>mechanisms to assess and update OHS arrangements relevant to legislative requirements; a system for communicating OHS information to employees, supervisors and managers within the enterprise</w:t>
            </w:r>
          </w:p>
        </w:tc>
      </w:tr>
      <w:tr w:rsidTr="00521561">
        <w:tblPrEx>
          <w:tblW w:w="9360" w:type="dxa"/>
          <w:tblLayout w:type="fixed"/>
          <w:tblCellMar>
            <w:left w:w="62" w:type="dxa"/>
            <w:right w:w="62" w:type="dxa"/>
          </w:tblCellMar>
          <w:tblLook w:val="0000"/>
        </w:tblPrEx>
        <w:tc>
          <w:tcPr>
            <w:tcW w:w="3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D6A">
            <w:pPr>
              <w:pStyle w:val="BodyText"/>
              <w:rPr>
                <w:lang w:val="en-NZ"/>
              </w:rPr>
            </w:pPr>
            <w:r w:rsidRPr="00B70D6A">
              <w:rPr>
                <w:rStyle w:val="SpecialBold"/>
              </w:rPr>
              <w:t>Appropriate consu</w:t>
            </w:r>
            <w:r w:rsidRPr="00B70D6A">
              <w:rPr>
                <w:rStyle w:val="SpecialBold"/>
              </w:rPr>
              <w:t>ltative processes for management of OHS may cover</w:t>
            </w:r>
            <w:r w:rsidRPr="00B70D6A">
              <w: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D6A" w:rsidP="00B70D6A">
            <w:pPr>
              <w:pStyle w:val="ListBullet"/>
            </w:pPr>
            <w:r w:rsidRPr="00B70D6A">
              <w:t>OHS committees and other committees, for example, consultative, planning and purchasing</w:t>
            </w:r>
          </w:p>
          <w:p w:rsidR="00000000" w:rsidRPr="00B70D6A" w:rsidP="00B70D6A">
            <w:pPr>
              <w:pStyle w:val="ListBullet"/>
            </w:pPr>
            <w:r w:rsidRPr="00B70D6A">
              <w:t>health and safety representatives; employee and supervisor involvement in OHS management activities, for example, OHS inspections, audits, environmental monitoring, risk assessment and risk control</w:t>
            </w:r>
          </w:p>
          <w:p w:rsidR="00000000" w:rsidRPr="00B70D6A" w:rsidP="00B70D6A">
            <w:pPr>
              <w:pStyle w:val="ListBullet"/>
            </w:pPr>
            <w:r w:rsidRPr="00B70D6A">
              <w:t xml:space="preserve">procedures for reporting hazards, risks and OHS issues by </w:t>
            </w:r>
            <w:r w:rsidRPr="00B70D6A">
              <w:t>managers and employees</w:t>
            </w:r>
          </w:p>
          <w:p w:rsidR="00000000" w:rsidP="00B70D6A">
            <w:pPr>
              <w:pStyle w:val="ListBullet"/>
              <w:rPr>
                <w:lang w:val="en-NZ"/>
              </w:rPr>
            </w:pPr>
            <w:r w:rsidRPr="00B70D6A">
              <w:t>inclusion of OHS in consultative or other meetings and processes</w:t>
            </w:r>
          </w:p>
        </w:tc>
      </w:tr>
      <w:tr w:rsidTr="00521561">
        <w:tblPrEx>
          <w:tblW w:w="9360" w:type="dxa"/>
          <w:tblLayout w:type="fixed"/>
          <w:tblCellMar>
            <w:left w:w="62" w:type="dxa"/>
            <w:right w:w="62" w:type="dxa"/>
          </w:tblCellMar>
          <w:tblLook w:val="0000"/>
        </w:tblPrEx>
        <w:tc>
          <w:tcPr>
            <w:tcW w:w="3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D6A">
            <w:pPr>
              <w:pStyle w:val="BodyText"/>
              <w:rPr>
                <w:lang w:val="en-NZ"/>
              </w:rPr>
            </w:pPr>
            <w:r w:rsidRPr="00B70D6A">
              <w:rPr>
                <w:rStyle w:val="SpecialBold"/>
              </w:rPr>
              <w:t>Establish and maintain procedures for identifying hazards may include developing and updating procedures for</w:t>
            </w:r>
            <w:r w:rsidRPr="00B70D6A">
              <w: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D6A" w:rsidP="00B70D6A">
            <w:pPr>
              <w:pStyle w:val="ListBullet"/>
            </w:pPr>
            <w:r w:rsidRPr="00B70D6A">
              <w:t>workplace inspections, including plant and equipment; aud</w:t>
            </w:r>
            <w:r w:rsidRPr="00B70D6A">
              <w:t>its</w:t>
            </w:r>
          </w:p>
          <w:p w:rsidR="00000000" w:rsidRPr="00B70D6A" w:rsidP="00B70D6A">
            <w:pPr>
              <w:pStyle w:val="ListBullet"/>
            </w:pPr>
            <w:r w:rsidRPr="00B70D6A">
              <w:t>maintaining and analysing OHS records, including environmental monitoring and health surveillance reports</w:t>
            </w:r>
          </w:p>
          <w:p w:rsidR="00000000" w:rsidRPr="00B70D6A" w:rsidP="00B70D6A">
            <w:pPr>
              <w:pStyle w:val="ListBullet"/>
            </w:pPr>
            <w:r w:rsidRPr="00B70D6A">
              <w:t>maintenance of plant and equipment</w:t>
            </w:r>
          </w:p>
          <w:p w:rsidR="00000000" w:rsidRPr="00B70D6A" w:rsidP="00B70D6A">
            <w:pPr>
              <w:pStyle w:val="ListBullet"/>
            </w:pPr>
            <w:r w:rsidRPr="00B70D6A">
              <w:t>reviews of materials and equipment purchases, including manufacturers and suppliers information</w:t>
            </w:r>
          </w:p>
          <w:p w:rsidR="00000000" w:rsidP="00B70D6A">
            <w:pPr>
              <w:pStyle w:val="ListBullet"/>
              <w:rPr>
                <w:lang w:val="en-NZ"/>
              </w:rPr>
            </w:pPr>
            <w:r w:rsidRPr="00B70D6A">
              <w:t>employee report</w:t>
            </w:r>
            <w:r w:rsidRPr="00B70D6A">
              <w:t>ing of OHS issues</w:t>
            </w:r>
          </w:p>
        </w:tc>
      </w:tr>
      <w:tr w:rsidTr="00521561">
        <w:tblPrEx>
          <w:tblW w:w="9360" w:type="dxa"/>
          <w:tblLayout w:type="fixed"/>
          <w:tblCellMar>
            <w:left w:w="62" w:type="dxa"/>
            <w:right w:w="62" w:type="dxa"/>
          </w:tblCellMar>
          <w:tblLook w:val="0000"/>
        </w:tblPrEx>
        <w:tc>
          <w:tcPr>
            <w:tcW w:w="3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D6A">
            <w:pPr>
              <w:pStyle w:val="BodyText"/>
              <w:rPr>
                <w:lang w:val="en-NZ"/>
              </w:rPr>
            </w:pPr>
            <w:r w:rsidRPr="00B70D6A">
              <w:rPr>
                <w:rStyle w:val="SpecialBold"/>
              </w:rPr>
              <w:t>Establish and maintain procedures for assessing risks may include developing and updating procedures for</w:t>
            </w:r>
            <w:r w:rsidRPr="00B70D6A">
              <w: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D6A" w:rsidP="00B70D6A">
            <w:pPr>
              <w:pStyle w:val="ListBullet"/>
            </w:pPr>
            <w:r w:rsidRPr="00B70D6A">
              <w:t>determining the likelihood and severity of adverse consequences form hazards</w:t>
            </w:r>
          </w:p>
          <w:p w:rsidR="00000000" w:rsidRPr="00B70D6A" w:rsidP="00B70D6A">
            <w:pPr>
              <w:pStyle w:val="ListBullet"/>
            </w:pPr>
            <w:r w:rsidRPr="00B70D6A">
              <w:t>OHS audits; workplace inspections; maintenance of plan</w:t>
            </w:r>
            <w:r w:rsidRPr="00B70D6A">
              <w:t>t and equipment; purchasing of materials and equipment</w:t>
            </w:r>
          </w:p>
          <w:p w:rsidR="00000000" w:rsidRPr="00B70D6A" w:rsidP="00B70D6A">
            <w:pPr>
              <w:pStyle w:val="ListBullet"/>
            </w:pPr>
            <w:r w:rsidRPr="00B70D6A">
              <w:t>planning or implementing alterations to site, operations or work systems</w:t>
            </w:r>
          </w:p>
          <w:p w:rsidR="00000000" w:rsidP="00B70D6A">
            <w:pPr>
              <w:pStyle w:val="ListBullet"/>
              <w:rPr>
                <w:lang w:val="en-NZ"/>
              </w:rPr>
            </w:pPr>
            <w:r w:rsidRPr="00B70D6A">
              <w:t>analysis of relevant records and reports, for example, injuries and incidents, hazardous substances inventories/registers, audit</w:t>
            </w:r>
            <w:r w:rsidRPr="00B70D6A">
              <w:t xml:space="preserve"> and environmental monitoring reports and OHS committee records</w:t>
            </w:r>
          </w:p>
        </w:tc>
      </w:tr>
      <w:tr w:rsidTr="00521561">
        <w:tblPrEx>
          <w:tblW w:w="9360" w:type="dxa"/>
          <w:tblLayout w:type="fixed"/>
          <w:tblCellMar>
            <w:left w:w="62" w:type="dxa"/>
            <w:right w:w="62" w:type="dxa"/>
          </w:tblCellMar>
          <w:tblLook w:val="0000"/>
        </w:tblPrEx>
        <w:tc>
          <w:tcPr>
            <w:tcW w:w="3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D6A">
            <w:pPr>
              <w:pStyle w:val="BodyText"/>
              <w:rPr>
                <w:lang w:val="en-NZ"/>
              </w:rPr>
            </w:pPr>
            <w:r w:rsidRPr="00B70D6A">
              <w:rPr>
                <w:rStyle w:val="SpecialBold"/>
              </w:rPr>
              <w:t>Establish and maintain procedures for controlling risks may include developing and updating procedures for</w:t>
            </w:r>
            <w:r w:rsidRPr="00B70D6A">
              <w: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D6A" w:rsidP="00B70D6A">
            <w:pPr>
              <w:pStyle w:val="ListBullet"/>
            </w:pPr>
            <w:r w:rsidRPr="00B70D6A">
              <w:t>assessing the OHS consequences of materials, plant or equipment prior to purchase</w:t>
            </w:r>
          </w:p>
          <w:p w:rsidR="00000000" w:rsidRPr="00B70D6A" w:rsidP="00B70D6A">
            <w:pPr>
              <w:pStyle w:val="ListBullet"/>
            </w:pPr>
            <w:r w:rsidRPr="00B70D6A">
              <w:t>obtaining expert advice; appropriate application of measures according to the hierarchy of control, namely: elimination of the risk</w:t>
            </w:r>
          </w:p>
          <w:p w:rsidR="00000000" w:rsidRPr="00B70D6A" w:rsidP="00B70D6A">
            <w:pPr>
              <w:pStyle w:val="ListBullet"/>
            </w:pPr>
            <w:r w:rsidRPr="00B70D6A">
              <w:t>engineering controls</w:t>
            </w:r>
          </w:p>
          <w:p w:rsidR="00000000" w:rsidRPr="00B70D6A" w:rsidP="00B70D6A">
            <w:pPr>
              <w:pStyle w:val="ListBullet"/>
            </w:pPr>
            <w:r w:rsidRPr="00B70D6A">
              <w:t>administrative controls</w:t>
            </w:r>
          </w:p>
          <w:p w:rsidR="00000000" w:rsidRPr="00B70D6A" w:rsidP="00B70D6A">
            <w:pPr>
              <w:pStyle w:val="ListBullet"/>
            </w:pPr>
            <w:r w:rsidRPr="00B70D6A">
              <w:t>personal protective equipment</w:t>
            </w:r>
          </w:p>
          <w:p w:rsidR="00000000" w:rsidRPr="00B70D6A" w:rsidP="00B70D6A">
            <w:pPr>
              <w:pStyle w:val="ListBullet"/>
            </w:pPr>
            <w:r w:rsidRPr="00B70D6A">
              <w:t>designing safe operations and systems of work; in</w:t>
            </w:r>
            <w:r w:rsidRPr="00B70D6A">
              <w:t>clusion of new OHS information into procedures</w:t>
            </w:r>
          </w:p>
          <w:p w:rsidR="00000000" w:rsidP="00B70D6A">
            <w:pPr>
              <w:pStyle w:val="ListBullet"/>
              <w:rPr>
                <w:lang w:val="en-NZ"/>
              </w:rPr>
            </w:pPr>
            <w:r w:rsidRPr="00B70D6A">
              <w:t>checking enterprise compliance with regulatory requirements</w:t>
            </w:r>
          </w:p>
        </w:tc>
      </w:tr>
      <w:tr w:rsidTr="00521561">
        <w:tblPrEx>
          <w:tblW w:w="9360" w:type="dxa"/>
          <w:tblLayout w:type="fixed"/>
          <w:tblCellMar>
            <w:left w:w="62" w:type="dxa"/>
            <w:right w:w="62" w:type="dxa"/>
          </w:tblCellMar>
          <w:tblLook w:val="0000"/>
        </w:tblPrEx>
        <w:tc>
          <w:tcPr>
            <w:tcW w:w="3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D6A">
            <w:pPr>
              <w:pStyle w:val="BodyText"/>
              <w:rPr>
                <w:lang w:val="en-NZ"/>
              </w:rPr>
            </w:pPr>
            <w:r w:rsidRPr="00B70D6A">
              <w:rPr>
                <w:rStyle w:val="SpecialBold"/>
              </w:rPr>
              <w:t>Establish and maintain organisational procedures for hazardous events may include developing and updating procedures for</w:t>
            </w:r>
            <w:r w:rsidRPr="00B70D6A">
              <w: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D6A" w:rsidP="00B70D6A">
            <w:pPr>
              <w:pStyle w:val="ListBullet"/>
            </w:pPr>
            <w:r w:rsidRPr="00B70D6A">
              <w:t>making inventories of, and</w:t>
            </w:r>
            <w:r w:rsidRPr="00B70D6A">
              <w:t xml:space="preserve"> inspecting, high risk operations</w:t>
            </w:r>
          </w:p>
          <w:p w:rsidR="00000000" w:rsidP="00B70D6A">
            <w:pPr>
              <w:pStyle w:val="ListBullet"/>
              <w:rPr>
                <w:lang w:val="en-NZ"/>
              </w:rPr>
            </w:pPr>
            <w:r w:rsidRPr="00B70D6A">
              <w:t>inspecting systems and operations associated with potentially hazardous events, for example, emergency communications, links to emergency services, fire fighting, chemical spill containment, bomb alerts and first aid servi</w:t>
            </w:r>
            <w:r w:rsidRPr="00B70D6A">
              <w:t>ces</w:t>
            </w:r>
          </w:p>
        </w:tc>
      </w:tr>
      <w:tr w:rsidTr="00521561">
        <w:tblPrEx>
          <w:tblW w:w="9360" w:type="dxa"/>
          <w:tblLayout w:type="fixed"/>
          <w:tblCellMar>
            <w:left w:w="62" w:type="dxa"/>
            <w:right w:w="62" w:type="dxa"/>
          </w:tblCellMar>
          <w:tblLook w:val="0000"/>
        </w:tblPrEx>
        <w:tc>
          <w:tcPr>
            <w:tcW w:w="3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D6A">
            <w:pPr>
              <w:pStyle w:val="BodyText"/>
              <w:rPr>
                <w:lang w:val="en-NZ"/>
              </w:rPr>
            </w:pPr>
            <w:r w:rsidRPr="00B70D6A">
              <w:rPr>
                <w:rStyle w:val="SpecialBold"/>
              </w:rPr>
              <w:t>Establish and maintain an OHS training program may include</w:t>
            </w:r>
            <w:r w:rsidRPr="00B70D6A">
              <w: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D6A" w:rsidP="00B70D6A">
            <w:pPr>
              <w:pStyle w:val="ListBullet"/>
            </w:pPr>
            <w:r w:rsidRPr="00B70D6A">
              <w:t>arrangements for ongoing assessment of training needs, for example, relating to supervisors and managers</w:t>
            </w:r>
          </w:p>
          <w:p w:rsidR="00000000" w:rsidRPr="00B70D6A" w:rsidP="00B70D6A">
            <w:pPr>
              <w:pStyle w:val="ListBullet"/>
            </w:pPr>
            <w:r w:rsidRPr="00B70D6A">
              <w:t>specific hazards; specific tasks or equipment</w:t>
            </w:r>
          </w:p>
          <w:p w:rsidR="00000000" w:rsidRPr="00B70D6A" w:rsidP="00B70D6A">
            <w:pPr>
              <w:pStyle w:val="ListBullet"/>
            </w:pPr>
            <w:r w:rsidRPr="00B70D6A">
              <w:t>emergencies and evacuations</w:t>
            </w:r>
          </w:p>
          <w:p w:rsidR="00000000" w:rsidRPr="00B70D6A" w:rsidP="00B70D6A">
            <w:pPr>
              <w:pStyle w:val="ListBullet"/>
            </w:pPr>
            <w:r w:rsidRPr="00B70D6A">
              <w:t>training req</w:t>
            </w:r>
            <w:r w:rsidRPr="00B70D6A">
              <w:t>uired under OHS legislation</w:t>
            </w:r>
          </w:p>
          <w:p w:rsidR="00000000" w:rsidRPr="00B70D6A" w:rsidP="00B70D6A">
            <w:pPr>
              <w:pStyle w:val="ListBullet"/>
            </w:pPr>
            <w:r w:rsidRPr="00B70D6A">
              <w:t>allocation of resources for OHS training, including acquisition of training resources, development of staff training skills and purchase of training services</w:t>
            </w:r>
          </w:p>
          <w:p w:rsidR="00000000" w:rsidP="00B70D6A">
            <w:pPr>
              <w:pStyle w:val="ListBullet"/>
              <w:rPr>
                <w:lang w:val="en-NZ"/>
              </w:rPr>
            </w:pPr>
            <w:r w:rsidRPr="00B70D6A">
              <w:t>induction training; training for new operations, materials or equipmen</w:t>
            </w:r>
            <w:r w:rsidRPr="00B70D6A">
              <w:t>t</w:t>
            </w:r>
          </w:p>
        </w:tc>
      </w:tr>
      <w:tr w:rsidTr="00521561">
        <w:tblPrEx>
          <w:tblW w:w="9360" w:type="dxa"/>
          <w:tblLayout w:type="fixed"/>
          <w:tblCellMar>
            <w:left w:w="62" w:type="dxa"/>
            <w:right w:w="62" w:type="dxa"/>
          </w:tblCellMar>
          <w:tblLook w:val="0000"/>
        </w:tblPrEx>
        <w:tc>
          <w:tcPr>
            <w:tcW w:w="3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D6A">
            <w:pPr>
              <w:pStyle w:val="BodyText"/>
              <w:rPr>
                <w:lang w:val="en-NZ"/>
              </w:rPr>
            </w:pPr>
            <w:r w:rsidRPr="00B70D6A">
              <w:rPr>
                <w:rStyle w:val="SpecialBold"/>
              </w:rPr>
              <w:t>Establish and maintain a system for keeping OHS records may cover</w:t>
            </w:r>
            <w:r w:rsidRPr="00B70D6A">
              <w: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D6A" w:rsidP="00B70D6A">
            <w:pPr>
              <w:pStyle w:val="ListBullet"/>
            </w:pPr>
            <w:r w:rsidRPr="00B70D6A">
              <w:t>identifying records required under OHS legislation, for example, worker's compensation and rehabilitation records</w:t>
            </w:r>
          </w:p>
          <w:p w:rsidR="00000000" w:rsidRPr="00B70D6A" w:rsidP="00B70D6A">
            <w:pPr>
              <w:pStyle w:val="ListBullet"/>
            </w:pPr>
            <w:r w:rsidRPr="00B70D6A">
              <w:t>hazardous substances registers; material safety data sheets (MSDS)</w:t>
            </w:r>
          </w:p>
          <w:p w:rsidR="00000000" w:rsidRPr="00B70D6A" w:rsidP="00B70D6A">
            <w:pPr>
              <w:pStyle w:val="ListBullet"/>
            </w:pPr>
            <w:r w:rsidRPr="00B70D6A">
              <w:t>major accident/injury notifications</w:t>
            </w:r>
          </w:p>
          <w:p w:rsidR="00000000" w:rsidRPr="00B70D6A" w:rsidP="00B70D6A">
            <w:pPr>
              <w:pStyle w:val="ListBullet"/>
            </w:pPr>
            <w:r w:rsidRPr="00B70D6A">
              <w:t>certificates or licences</w:t>
            </w:r>
          </w:p>
          <w:p w:rsidR="00000000" w:rsidRPr="00B70D6A" w:rsidP="00B70D6A">
            <w:pPr>
              <w:pStyle w:val="ListBullet"/>
            </w:pPr>
            <w:r w:rsidRPr="00B70D6A">
              <w:t>manufacturers and suppliers OHS information</w:t>
            </w:r>
          </w:p>
          <w:p w:rsidR="00000000" w:rsidRPr="00B70D6A" w:rsidP="00B70D6A">
            <w:pPr>
              <w:pStyle w:val="ListBullet"/>
            </w:pPr>
            <w:r w:rsidRPr="00B70D6A">
              <w:t>OHS audits and inspection reports</w:t>
            </w:r>
          </w:p>
          <w:p w:rsidR="00000000" w:rsidRPr="00B70D6A" w:rsidP="00B70D6A">
            <w:pPr>
              <w:pStyle w:val="ListBullet"/>
            </w:pPr>
            <w:r w:rsidRPr="00B70D6A">
              <w:t>maintenance and testing reports</w:t>
            </w:r>
          </w:p>
          <w:p w:rsidR="00000000" w:rsidRPr="00B70D6A" w:rsidP="00B70D6A">
            <w:pPr>
              <w:pStyle w:val="ListBullet"/>
            </w:pPr>
            <w:r w:rsidRPr="00B70D6A">
              <w:t>workplace environmental monitoring and health surveillance records</w:t>
            </w:r>
          </w:p>
          <w:p w:rsidR="00000000" w:rsidRPr="00B70D6A" w:rsidP="00B70D6A">
            <w:pPr>
              <w:pStyle w:val="ListBullet"/>
            </w:pPr>
            <w:r w:rsidRPr="00B70D6A">
              <w:t>records of instruc</w:t>
            </w:r>
            <w:r w:rsidRPr="00B70D6A">
              <w:t>tion and training</w:t>
            </w:r>
          </w:p>
          <w:p w:rsidR="00000000" w:rsidP="00B70D6A">
            <w:pPr>
              <w:pStyle w:val="ListBullet"/>
              <w:rPr>
                <w:lang w:val="en-NZ"/>
              </w:rPr>
            </w:pPr>
            <w:r w:rsidRPr="00B70D6A">
              <w:t>first aid/medical post records</w:t>
            </w:r>
          </w:p>
        </w:tc>
      </w:tr>
      <w:tr w:rsidTr="00521561">
        <w:tblPrEx>
          <w:tblW w:w="9360" w:type="dxa"/>
          <w:tblLayout w:type="fixed"/>
          <w:tblCellMar>
            <w:left w:w="62" w:type="dxa"/>
            <w:right w:w="62" w:type="dxa"/>
          </w:tblCellMar>
          <w:tblLook w:val="0000"/>
        </w:tblPrEx>
        <w:tc>
          <w:tcPr>
            <w:tcW w:w="3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D6A">
            <w:pPr>
              <w:pStyle w:val="BodyText"/>
              <w:rPr>
                <w:lang w:val="en-NZ"/>
              </w:rPr>
            </w:pPr>
            <w:r w:rsidRPr="00B70D6A">
              <w:rPr>
                <w:rStyle w:val="SpecialBold"/>
              </w:rPr>
              <w:t>Effectiveness of the OHS system and related policies</w:t>
            </w:r>
            <w:r w:rsidRPr="00B70D6A">
              <w:t xml:space="preserve">, </w:t>
            </w:r>
            <w:r w:rsidRPr="00B70D6A">
              <w:rPr>
                <w:rStyle w:val="SpecialBold"/>
              </w:rPr>
              <w:t>procedures and programs is assessed through</w:t>
            </w:r>
            <w:r w:rsidRPr="00B70D6A">
              <w: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D6A" w:rsidP="00B70D6A">
            <w:pPr>
              <w:pStyle w:val="ListBullet"/>
            </w:pPr>
            <w:r w:rsidRPr="00B70D6A">
              <w:t>reviewing the effectiveness of the OHS management system</w:t>
            </w:r>
          </w:p>
          <w:p w:rsidR="00000000" w:rsidRPr="00B70D6A" w:rsidP="00B70D6A">
            <w:pPr>
              <w:pStyle w:val="ListBullet"/>
            </w:pPr>
            <w:r w:rsidRPr="00B70D6A">
              <w:t>regular review of operating procedures</w:t>
            </w:r>
          </w:p>
          <w:p w:rsidR="00000000" w:rsidRPr="00B70D6A" w:rsidP="00B70D6A">
            <w:pPr>
              <w:pStyle w:val="ListBullet"/>
            </w:pPr>
            <w:r w:rsidRPr="00B70D6A">
              <w:t>regular ana</w:t>
            </w:r>
            <w:r w:rsidRPr="00B70D6A">
              <w:t>lysis of OHS records</w:t>
            </w:r>
          </w:p>
          <w:p w:rsidR="00000000" w:rsidRPr="00B70D6A" w:rsidP="00B70D6A">
            <w:pPr>
              <w:pStyle w:val="ListBullet"/>
            </w:pPr>
            <w:r w:rsidRPr="00B70D6A">
              <w:t>audits against OHS legislative requirements</w:t>
            </w:r>
          </w:p>
        </w:tc>
      </w:tr>
    </w:tbl>
    <w:p w:rsidR="00000000" w:rsidRPr="00B70D6A" w:rsidP="00B70D6A">
      <w:pPr>
        <w:pStyle w:val="BodyText"/>
      </w:pPr>
    </w:p>
    <w:p w:rsidR="00000000" w:rsidRPr="00B70D6A" w:rsidP="00B70D6A">
      <w:pPr>
        <w:pStyle w:val="AllowPageBreak"/>
      </w:pPr>
    </w:p>
    <w:p w:rsidR="00000000" w:rsidRPr="00B70D6A" w:rsidP="00B70D6A">
      <w:pPr>
        <w:pStyle w:val="Heading1"/>
      </w:pPr>
      <w:bookmarkStart w:id="12" w:name="O_398603"/>
      <w:bookmarkEnd w:id="12"/>
      <w:r w:rsidRPr="00B70D6A">
        <w:t>Unit Sector(s)</w:t>
      </w:r>
    </w:p>
    <w:p w:rsidR="00000000" w:rsidRPr="00B70D6A" w:rsidP="00B70D6A">
      <w:pPr>
        <w:pStyle w:val="BodyText"/>
      </w:pPr>
      <w:r w:rsidRPr="00B70D6A">
        <w:t xml:space="preserve">Occupational health and safety </w:t>
      </w:r>
    </w:p>
    <w:p w:rsidR="00000000" w:rsidRPr="00B70D6A" w:rsidP="00B70D6A">
      <w:pPr>
        <w:pStyle w:val="AllowPageBreak"/>
      </w:pPr>
    </w:p>
    <w:p w:rsidR="00000000" w:rsidRPr="00B70D6A" w:rsidP="00B70D6A">
      <w:pPr>
        <w:pStyle w:val="Heading1"/>
      </w:pPr>
      <w:bookmarkStart w:id="13" w:name="O_398616"/>
      <w:bookmarkEnd w:id="13"/>
      <w:r w:rsidRPr="00B70D6A">
        <w:t>Competency field</w:t>
      </w:r>
    </w:p>
    <w:p w:rsidR="00000000" w:rsidRPr="00B70D6A" w:rsidP="00B70D6A">
      <w:pPr>
        <w:pStyle w:val="Heading1"/>
      </w:pPr>
      <w:bookmarkStart w:id="14" w:name="O_398615"/>
      <w:bookmarkEnd w:id="14"/>
      <w:r w:rsidRPr="00B70D6A">
        <w:t>Co-requisite units</w:t>
      </w:r>
    </w:p>
    <w:p w:rsidR="00000000" w:rsidRPr="00B70D6A" w:rsidP="00B70D6A">
      <w:pPr>
        <w:pStyle w:val="BodyText"/>
      </w:pPr>
      <w:r w:rsidRPr="00B70D6A">
        <w:t>Not applicable</w:t>
      </w:r>
    </w:p>
    <w:p w:rsidR="00000000" w:rsidRPr="00B70D6A" w:rsidP="00B70D6A"/>
    <w:sectPr w:rsidSect="00B70D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D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1561" w:rsidP="0052156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D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561" w:rsidP="00B70D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21561" w:rsidP="00B70D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21561" w:rsidP="00B70D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D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D6A" w:rsidRPr="00521561" w:rsidP="005215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D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561" w:rsidRPr="002D2AF8" w:rsidP="00B70D6A">
    <w:pPr>
      <w:pStyle w:val="Header"/>
      <w:framePr w:wrap="around"/>
    </w:pPr>
    <w:r>
      <w:fldChar w:fldCharType="begin"/>
    </w:r>
    <w:r>
      <w:instrText xml:space="preserve"> TITLE   \* MERGEFORMAT </w:instrText>
    </w:r>
    <w:r>
      <w:fldChar w:fldCharType="separate"/>
    </w:r>
    <w:r>
      <w:t>MEA134B Establish, maintain and evaluate the organisation's occupational health and safety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21561" w:rsidP="00B70D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DA4B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D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0D6A"/>
    <w:pPr>
      <w:spacing w:before="360" w:after="60"/>
      <w:outlineLvl w:val="0"/>
    </w:pPr>
    <w:rPr>
      <w:sz w:val="32"/>
    </w:rPr>
  </w:style>
  <w:style w:type="paragraph" w:styleId="Heading2">
    <w:name w:val="heading 2"/>
    <w:basedOn w:val="HeadingBase"/>
    <w:next w:val="BodyText"/>
    <w:link w:val="Heading2Char"/>
    <w:qFormat/>
    <w:rsid w:val="00B70D6A"/>
    <w:pPr>
      <w:keepLines/>
      <w:spacing w:before="240" w:after="120"/>
      <w:outlineLvl w:val="1"/>
    </w:pPr>
    <w:rPr>
      <w:sz w:val="28"/>
      <w:szCs w:val="40"/>
    </w:rPr>
  </w:style>
  <w:style w:type="paragraph" w:styleId="Heading3">
    <w:name w:val="heading 3"/>
    <w:basedOn w:val="HeadingBase"/>
    <w:next w:val="BodyText"/>
    <w:link w:val="Heading3Char"/>
    <w:qFormat/>
    <w:rsid w:val="00B70D6A"/>
    <w:pPr>
      <w:spacing w:before="180" w:after="120"/>
      <w:outlineLvl w:val="2"/>
    </w:pPr>
    <w:rPr>
      <w:spacing w:val="-10"/>
      <w:kern w:val="32"/>
    </w:rPr>
  </w:style>
  <w:style w:type="paragraph" w:styleId="Heading4">
    <w:name w:val="heading 4"/>
    <w:basedOn w:val="HeadingBase"/>
    <w:next w:val="BodyText"/>
    <w:link w:val="Heading4Char"/>
    <w:qFormat/>
    <w:rsid w:val="00B70D6A"/>
    <w:pPr>
      <w:spacing w:before="160" w:after="120"/>
      <w:outlineLvl w:val="3"/>
    </w:pPr>
    <w:rPr>
      <w:sz w:val="22"/>
    </w:rPr>
  </w:style>
  <w:style w:type="paragraph" w:styleId="Heading5">
    <w:name w:val="heading 5"/>
    <w:basedOn w:val="HeadingBase"/>
    <w:next w:val="Normal"/>
    <w:link w:val="Heading5Char"/>
    <w:qFormat/>
    <w:rsid w:val="00B70D6A"/>
    <w:pPr>
      <w:spacing w:before="80"/>
      <w:outlineLvl w:val="4"/>
    </w:pPr>
    <w:rPr>
      <w:color w:val="918585"/>
      <w:sz w:val="20"/>
    </w:rPr>
  </w:style>
  <w:style w:type="paragraph" w:styleId="Heading6">
    <w:name w:val="heading 6"/>
    <w:basedOn w:val="HeadingBase"/>
    <w:next w:val="Normal"/>
    <w:link w:val="Heading6Char"/>
    <w:qFormat/>
    <w:rsid w:val="00B70D6A"/>
    <w:pPr>
      <w:spacing w:before="60"/>
      <w:outlineLvl w:val="5"/>
    </w:pPr>
    <w:rPr>
      <w:color w:val="918585"/>
      <w:sz w:val="20"/>
    </w:rPr>
  </w:style>
  <w:style w:type="paragraph" w:styleId="Heading7">
    <w:name w:val="heading 7"/>
    <w:basedOn w:val="Normal"/>
    <w:next w:val="Normal"/>
    <w:link w:val="Heading7Char"/>
    <w:qFormat/>
    <w:rsid w:val="00B70D6A"/>
    <w:pPr>
      <w:ind w:left="720"/>
      <w:outlineLvl w:val="6"/>
    </w:pPr>
    <w:rPr>
      <w:i/>
    </w:rPr>
  </w:style>
  <w:style w:type="paragraph" w:styleId="Heading8">
    <w:name w:val="heading 8"/>
    <w:basedOn w:val="Normal"/>
    <w:next w:val="Normal"/>
    <w:link w:val="Heading8Char"/>
    <w:qFormat/>
    <w:rsid w:val="00B70D6A"/>
    <w:pPr>
      <w:ind w:left="720"/>
      <w:outlineLvl w:val="7"/>
    </w:pPr>
    <w:rPr>
      <w:i/>
    </w:rPr>
  </w:style>
  <w:style w:type="paragraph" w:styleId="Heading9">
    <w:name w:val="heading 9"/>
    <w:basedOn w:val="Normal"/>
    <w:next w:val="Normal"/>
    <w:link w:val="Heading9Char"/>
    <w:qFormat/>
    <w:rsid w:val="00B70D6A"/>
    <w:pPr>
      <w:ind w:left="720"/>
      <w:outlineLvl w:val="8"/>
    </w:pPr>
    <w:rPr>
      <w:i/>
    </w:rPr>
  </w:style>
  <w:style w:type="character" w:default="1" w:styleId="DefaultParagraphFont">
    <w:name w:val="Default Paragraph Font"/>
    <w:uiPriority w:val="1"/>
    <w:unhideWhenUsed/>
    <w:rsid w:val="00B70D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0D6A"/>
  </w:style>
  <w:style w:type="character" w:customStyle="1" w:styleId="Heading1Char">
    <w:name w:val="Heading 1 Char"/>
    <w:basedOn w:val="DefaultParagraphFont"/>
    <w:link w:val="Heading1"/>
    <w:rsid w:val="00B70D6A"/>
    <w:rPr>
      <w:rFonts w:ascii="Times New Roman" w:eastAsia="Times New Roman" w:hAnsi="Times New Roman" w:cs="Times New Roman"/>
      <w:b/>
      <w:sz w:val="32"/>
      <w:szCs w:val="20"/>
      <w:lang w:eastAsia="en-US"/>
    </w:rPr>
  </w:style>
  <w:style w:type="paragraph" w:styleId="BodyText">
    <w:name w:val="Body Text"/>
    <w:basedOn w:val="Normal"/>
    <w:link w:val="BodyTextChar"/>
    <w:rsid w:val="00B70D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0D6A"/>
    <w:rPr>
      <w:rFonts w:ascii="Times New Roman" w:eastAsia="Times New Roman" w:hAnsi="Times New Roman" w:cs="Times New Roman"/>
      <w:sz w:val="24"/>
      <w:lang w:eastAsia="en-US"/>
    </w:rPr>
  </w:style>
  <w:style w:type="paragraph" w:styleId="Footer">
    <w:name w:val="footer"/>
    <w:basedOn w:val="Normal"/>
    <w:link w:val="FooterChar"/>
    <w:rsid w:val="00B70D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0D6A"/>
    <w:rPr>
      <w:rFonts w:ascii="Times New Roman" w:eastAsia="Times New Roman" w:hAnsi="Times New Roman" w:cs="Times New Roman"/>
      <w:sz w:val="16"/>
      <w:lang w:eastAsia="en-US"/>
    </w:rPr>
  </w:style>
  <w:style w:type="paragraph" w:styleId="List">
    <w:name w:val="List"/>
    <w:basedOn w:val="BodyText"/>
    <w:next w:val="BodyText"/>
    <w:rsid w:val="00B70D6A"/>
    <w:pPr>
      <w:tabs>
        <w:tab w:val="left" w:pos="340"/>
      </w:tabs>
      <w:spacing w:before="60" w:after="60"/>
      <w:ind w:left="340" w:hanging="340"/>
    </w:pPr>
  </w:style>
  <w:style w:type="paragraph" w:styleId="ListBullet">
    <w:name w:val="List Bullet"/>
    <w:basedOn w:val="List"/>
    <w:rsid w:val="00B70D6A"/>
    <w:pPr>
      <w:numPr>
        <w:numId w:val="12"/>
      </w:numPr>
      <w:tabs>
        <w:tab w:val="clear" w:pos="340"/>
      </w:tabs>
      <w:spacing w:before="40" w:after="40"/>
    </w:pPr>
  </w:style>
  <w:style w:type="character" w:customStyle="1" w:styleId="SpecialBold">
    <w:name w:val="Special Bold"/>
    <w:basedOn w:val="DefaultParagraphFont"/>
    <w:rsid w:val="00B70D6A"/>
    <w:rPr>
      <w:b/>
      <w:spacing w:val="0"/>
    </w:rPr>
  </w:style>
  <w:style w:type="character" w:styleId="Emphasis">
    <w:name w:val="Emphasis"/>
    <w:basedOn w:val="DefaultParagraphFont"/>
    <w:qFormat/>
    <w:rsid w:val="00B70D6A"/>
    <w:rPr>
      <w:i/>
    </w:rPr>
  </w:style>
  <w:style w:type="paragraph" w:customStyle="1" w:styleId="SuperHeading">
    <w:name w:val="SuperHeading"/>
    <w:basedOn w:val="Normal"/>
    <w:rsid w:val="00B70D6A"/>
    <w:pPr>
      <w:spacing w:before="240" w:after="120"/>
      <w:outlineLvl w:val="0"/>
    </w:pPr>
    <w:rPr>
      <w:rFonts w:ascii="Times New Roman" w:hAnsi="Times New Roman"/>
      <w:b/>
      <w:sz w:val="28"/>
    </w:rPr>
  </w:style>
  <w:style w:type="paragraph" w:customStyle="1" w:styleId="AllowPageBreak">
    <w:name w:val="AllowPageBreak"/>
    <w:rsid w:val="00B70D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0D6A"/>
    <w:pPr>
      <w:tabs>
        <w:tab w:val="left" w:pos="680"/>
      </w:tabs>
      <w:spacing w:before="60" w:after="60"/>
      <w:ind w:left="680" w:hanging="340"/>
    </w:pPr>
  </w:style>
  <w:style w:type="character" w:customStyle="1" w:styleId="BoldandItalics">
    <w:name w:val="Bold and Italics"/>
    <w:qFormat/>
    <w:rsid w:val="00B70D6A"/>
    <w:rPr>
      <w:b/>
      <w:i/>
      <w:u w:val="none"/>
    </w:rPr>
  </w:style>
  <w:style w:type="character" w:customStyle="1" w:styleId="Heading2Char">
    <w:name w:val="Heading 2 Char"/>
    <w:basedOn w:val="DefaultParagraphFont"/>
    <w:link w:val="Heading2"/>
    <w:rsid w:val="00B70D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0D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0D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0D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0D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0D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0D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0D6A"/>
    <w:rPr>
      <w:rFonts w:ascii="Courier New" w:eastAsia="Times New Roman" w:hAnsi="Courier New" w:cs="Times New Roman"/>
      <w:i/>
      <w:szCs w:val="20"/>
      <w:lang w:eastAsia="en-US"/>
    </w:rPr>
  </w:style>
  <w:style w:type="paragraph" w:customStyle="1" w:styleId="HeadingBase">
    <w:name w:val="Heading Base"/>
    <w:rsid w:val="00B70D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0D6A"/>
    <w:pPr>
      <w:tabs>
        <w:tab w:val="right" w:leader="dot" w:pos="9072"/>
      </w:tabs>
      <w:ind w:left="567"/>
    </w:pPr>
    <w:rPr>
      <w:szCs w:val="22"/>
    </w:rPr>
  </w:style>
  <w:style w:type="paragraph" w:customStyle="1" w:styleId="TOCBase">
    <w:name w:val="TOC Base"/>
    <w:rsid w:val="00B70D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0D6A"/>
    <w:pPr>
      <w:tabs>
        <w:tab w:val="right" w:leader="dot" w:pos="9072"/>
      </w:tabs>
      <w:spacing w:before="40" w:after="40"/>
      <w:ind w:left="284"/>
    </w:pPr>
    <w:rPr>
      <w:rFonts w:ascii="Times New Roman" w:hAnsi="Times New Roman"/>
    </w:rPr>
  </w:style>
  <w:style w:type="paragraph" w:styleId="TOC1">
    <w:name w:val="toc 1"/>
    <w:basedOn w:val="TOCBase"/>
    <w:next w:val="Normal"/>
    <w:rsid w:val="00B70D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0D6A"/>
    <w:pPr>
      <w:spacing w:before="5040"/>
      <w:jc w:val="center"/>
    </w:pPr>
    <w:rPr>
      <w:sz w:val="48"/>
      <w:szCs w:val="72"/>
      <w:lang w:val="en-US"/>
    </w:rPr>
  </w:style>
  <w:style w:type="character" w:customStyle="1" w:styleId="TitleChar">
    <w:name w:val="Title Char"/>
    <w:basedOn w:val="DefaultParagraphFont"/>
    <w:link w:val="Title"/>
    <w:rsid w:val="00B70D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0D6A"/>
    <w:pPr>
      <w:tabs>
        <w:tab w:val="left" w:pos="3600"/>
        <w:tab w:val="left" w:pos="3958"/>
      </w:tabs>
    </w:pPr>
  </w:style>
  <w:style w:type="paragraph" w:customStyle="1" w:styleId="Note">
    <w:name w:val="Note"/>
    <w:basedOn w:val="BodyText"/>
    <w:rsid w:val="00B70D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0D6A"/>
    <w:pPr>
      <w:framePr w:wrap="auto" w:hAnchor="text" w:y="6049"/>
    </w:pPr>
    <w:rPr>
      <w:color w:val="000000"/>
      <w:sz w:val="40"/>
    </w:rPr>
  </w:style>
  <w:style w:type="paragraph" w:customStyle="1" w:styleId="TOCTitle">
    <w:name w:val="TOCTitle"/>
    <w:basedOn w:val="Heading1"/>
    <w:rsid w:val="00B70D6A"/>
    <w:pPr>
      <w:spacing w:after="240"/>
      <w:jc w:val="center"/>
      <w:outlineLvl w:val="9"/>
    </w:pPr>
    <w:rPr>
      <w:caps/>
    </w:rPr>
  </w:style>
  <w:style w:type="paragraph" w:customStyle="1" w:styleId="Version">
    <w:name w:val="Version"/>
    <w:rsid w:val="00B70D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0D6A"/>
    <w:pPr>
      <w:numPr>
        <w:numId w:val="13"/>
      </w:numPr>
      <w:tabs>
        <w:tab w:val="clear" w:pos="680"/>
      </w:tabs>
    </w:pPr>
  </w:style>
  <w:style w:type="paragraph" w:styleId="Index1">
    <w:name w:val="index 1"/>
    <w:basedOn w:val="Normal"/>
    <w:next w:val="Normal"/>
    <w:semiHidden/>
    <w:rsid w:val="00B70D6A"/>
    <w:pPr>
      <w:keepNext w:val="0"/>
      <w:tabs>
        <w:tab w:val="right" w:pos="4176"/>
      </w:tabs>
      <w:ind w:left="198" w:hanging="198"/>
    </w:pPr>
    <w:rPr>
      <w:rFonts w:ascii="Garamond" w:hAnsi="Garamond"/>
    </w:rPr>
  </w:style>
  <w:style w:type="paragraph" w:styleId="IndexHeading">
    <w:name w:val="index heading"/>
    <w:basedOn w:val="Normal"/>
    <w:next w:val="Index1"/>
    <w:semiHidden/>
    <w:rsid w:val="00B70D6A"/>
    <w:pPr>
      <w:spacing w:before="120" w:after="120"/>
    </w:pPr>
    <w:rPr>
      <w:rFonts w:ascii="Arial" w:hAnsi="Arial"/>
      <w:b/>
      <w:color w:val="918585"/>
      <w:sz w:val="24"/>
    </w:rPr>
  </w:style>
  <w:style w:type="paragraph" w:styleId="Header">
    <w:name w:val="header"/>
    <w:basedOn w:val="Normal"/>
    <w:link w:val="HeaderChar"/>
    <w:rsid w:val="00B70D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0D6A"/>
    <w:rPr>
      <w:rFonts w:ascii="Times New Roman" w:eastAsia="Times New Roman" w:hAnsi="Times New Roman" w:cs="Times New Roman"/>
      <w:sz w:val="16"/>
      <w:szCs w:val="20"/>
      <w:lang w:val="en-GB" w:eastAsia="en-US"/>
    </w:rPr>
  </w:style>
  <w:style w:type="paragraph" w:customStyle="1" w:styleId="Chapter">
    <w:name w:val="Chapter"/>
    <w:basedOn w:val="Normal"/>
    <w:rsid w:val="00B70D6A"/>
    <w:pPr>
      <w:spacing w:before="240"/>
    </w:pPr>
    <w:rPr>
      <w:rFonts w:ascii="Times New Roman" w:hAnsi="Times New Roman"/>
      <w:smallCaps/>
      <w:spacing w:val="80"/>
      <w:sz w:val="28"/>
    </w:rPr>
  </w:style>
  <w:style w:type="paragraph" w:customStyle="1" w:styleId="InChapter">
    <w:name w:val="InChapter"/>
    <w:basedOn w:val="Heading3"/>
    <w:rsid w:val="00B70D6A"/>
    <w:pPr>
      <w:spacing w:after="240"/>
      <w:outlineLvl w:val="9"/>
    </w:pPr>
    <w:rPr>
      <w:noProof/>
    </w:rPr>
  </w:style>
  <w:style w:type="paragraph" w:styleId="Index2">
    <w:name w:val="index 2"/>
    <w:basedOn w:val="Normal"/>
    <w:next w:val="Normal"/>
    <w:semiHidden/>
    <w:rsid w:val="00B70D6A"/>
    <w:pPr>
      <w:tabs>
        <w:tab w:val="right" w:pos="4176"/>
      </w:tabs>
      <w:ind w:left="568" w:hanging="284"/>
    </w:pPr>
    <w:rPr>
      <w:rFonts w:ascii="Garamond" w:hAnsi="Garamond"/>
    </w:rPr>
  </w:style>
  <w:style w:type="paragraph" w:customStyle="1" w:styleId="Byline">
    <w:name w:val="Byline"/>
    <w:rsid w:val="00B70D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0D6A"/>
    <w:pPr>
      <w:tabs>
        <w:tab w:val="clear" w:pos="3600"/>
        <w:tab w:val="clear" w:pos="3958"/>
      </w:tabs>
      <w:jc w:val="right"/>
    </w:pPr>
  </w:style>
  <w:style w:type="paragraph" w:styleId="Caption">
    <w:name w:val="caption"/>
    <w:basedOn w:val="BodyText"/>
    <w:next w:val="Normal"/>
    <w:qFormat/>
    <w:rsid w:val="00B70D6A"/>
    <w:pPr>
      <w:framePr w:w="2268" w:hSpace="181" w:vSpace="181" w:wrap="around" w:vAnchor="text" w:hAnchor="page" w:x="1135" w:y="285" w:anchorLock="1"/>
    </w:pPr>
    <w:rPr>
      <w:i/>
    </w:rPr>
  </w:style>
  <w:style w:type="paragraph" w:customStyle="1" w:styleId="MiniTOCTitle">
    <w:name w:val="MiniTOCTitle"/>
    <w:basedOn w:val="Heading4"/>
    <w:rsid w:val="00B70D6A"/>
    <w:pPr>
      <w:spacing w:before="240"/>
      <w:outlineLvl w:val="9"/>
    </w:pPr>
    <w:rPr>
      <w:noProof/>
      <w:sz w:val="24"/>
    </w:rPr>
  </w:style>
  <w:style w:type="paragraph" w:customStyle="1" w:styleId="MiniTOCItem">
    <w:name w:val="MiniTOCItem"/>
    <w:basedOn w:val="ListBullet"/>
    <w:rsid w:val="00B70D6A"/>
    <w:pPr>
      <w:numPr>
        <w:numId w:val="0"/>
      </w:numPr>
      <w:tabs>
        <w:tab w:val="right" w:leader="dot" w:pos="6521"/>
      </w:tabs>
      <w:spacing w:before="0" w:after="0"/>
    </w:pPr>
  </w:style>
  <w:style w:type="paragraph" w:customStyle="1" w:styleId="TOFTitle">
    <w:name w:val="TOFTitle"/>
    <w:basedOn w:val="TOCTitle"/>
    <w:rsid w:val="00B70D6A"/>
  </w:style>
  <w:style w:type="paragraph" w:styleId="TableofFigures">
    <w:name w:val="table of figures"/>
    <w:basedOn w:val="Normal"/>
    <w:next w:val="Normal"/>
    <w:semiHidden/>
    <w:rsid w:val="00B70D6A"/>
    <w:pPr>
      <w:tabs>
        <w:tab w:val="right" w:leader="dot" w:pos="9072"/>
      </w:tabs>
      <w:ind w:left="970" w:hanging="403"/>
    </w:pPr>
    <w:rPr>
      <w:rFonts w:ascii="Times New Roman" w:hAnsi="Times New Roman"/>
      <w:b/>
    </w:rPr>
  </w:style>
  <w:style w:type="paragraph" w:styleId="ListNumber">
    <w:name w:val="List Number"/>
    <w:basedOn w:val="List"/>
    <w:rsid w:val="00B70D6A"/>
    <w:pPr>
      <w:numPr>
        <w:numId w:val="10"/>
      </w:numPr>
    </w:pPr>
  </w:style>
  <w:style w:type="character" w:customStyle="1" w:styleId="WingdingSymbols">
    <w:name w:val="Wingding Symbols"/>
    <w:rsid w:val="00B70D6A"/>
    <w:rPr>
      <w:rFonts w:ascii="Wingdings" w:hAnsi="Wingdings"/>
    </w:rPr>
  </w:style>
  <w:style w:type="paragraph" w:customStyle="1" w:styleId="TableHeading">
    <w:name w:val="Table Heading"/>
    <w:basedOn w:val="HeadingBase"/>
    <w:rsid w:val="00B70D6A"/>
    <w:pPr>
      <w:keepLines/>
      <w:pBdr>
        <w:bottom w:val="single" w:sz="6" w:space="1" w:color="918585"/>
      </w:pBdr>
      <w:spacing w:before="240"/>
    </w:pPr>
  </w:style>
  <w:style w:type="character" w:customStyle="1" w:styleId="HotSpot">
    <w:name w:val="HotSpot"/>
    <w:rsid w:val="00B70D6A"/>
    <w:rPr>
      <w:color w:val="0033CC"/>
      <w:u w:val="none"/>
    </w:rPr>
  </w:style>
  <w:style w:type="paragraph" w:customStyle="1" w:styleId="BodyTextRight">
    <w:name w:val="Body Text Right"/>
    <w:basedOn w:val="BodyText"/>
    <w:rsid w:val="00B70D6A"/>
    <w:pPr>
      <w:spacing w:before="0" w:after="0"/>
      <w:jc w:val="right"/>
    </w:pPr>
  </w:style>
  <w:style w:type="paragraph" w:styleId="Index3">
    <w:name w:val="index 3"/>
    <w:basedOn w:val="ListNumber2"/>
    <w:next w:val="Normal"/>
    <w:semiHidden/>
    <w:rsid w:val="00B70D6A"/>
    <w:pPr>
      <w:numPr>
        <w:numId w:val="0"/>
      </w:numPr>
      <w:tabs>
        <w:tab w:val="right" w:leader="dot" w:pos="4176"/>
      </w:tabs>
    </w:pPr>
  </w:style>
  <w:style w:type="paragraph" w:styleId="ListNumber2">
    <w:name w:val="List Number 2"/>
    <w:basedOn w:val="List2"/>
    <w:rsid w:val="00B70D6A"/>
    <w:pPr>
      <w:numPr>
        <w:numId w:val="9"/>
      </w:numPr>
      <w:tabs>
        <w:tab w:val="clear" w:pos="1060"/>
      </w:tabs>
    </w:pPr>
  </w:style>
  <w:style w:type="paragraph" w:customStyle="1" w:styleId="MarginNote">
    <w:name w:val="Margin Note"/>
    <w:basedOn w:val="BodyText"/>
    <w:rsid w:val="00B70D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0D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0D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0D6A"/>
    <w:rPr>
      <w:sz w:val="32"/>
    </w:rPr>
  </w:style>
  <w:style w:type="paragraph" w:customStyle="1" w:styleId="HeadingProcedure">
    <w:name w:val="Heading Procedure"/>
    <w:basedOn w:val="HeadingBase"/>
    <w:next w:val="Normal"/>
    <w:rsid w:val="00B70D6A"/>
    <w:pPr>
      <w:tabs>
        <w:tab w:val="left" w:pos="0"/>
      </w:tabs>
      <w:spacing w:before="120" w:after="60"/>
    </w:pPr>
    <w:rPr>
      <w:i/>
      <w:color w:val="918585"/>
      <w:sz w:val="22"/>
    </w:rPr>
  </w:style>
  <w:style w:type="paragraph" w:customStyle="1" w:styleId="TableBodyText">
    <w:name w:val="Table Body Text"/>
    <w:basedOn w:val="BodyText"/>
    <w:rsid w:val="00B70D6A"/>
    <w:pPr>
      <w:spacing w:before="60" w:after="60"/>
    </w:pPr>
  </w:style>
  <w:style w:type="paragraph" w:styleId="ListContinue">
    <w:name w:val="List Continue"/>
    <w:basedOn w:val="List"/>
    <w:rsid w:val="00B70D6A"/>
    <w:pPr>
      <w:ind w:firstLine="0"/>
    </w:pPr>
  </w:style>
  <w:style w:type="paragraph" w:customStyle="1" w:styleId="ListNote">
    <w:name w:val="List Note"/>
    <w:basedOn w:val="List"/>
    <w:rsid w:val="00B70D6A"/>
    <w:pPr>
      <w:pBdr>
        <w:top w:val="single" w:sz="6" w:space="2" w:color="918585"/>
        <w:bottom w:val="single" w:sz="6" w:space="2" w:color="918585"/>
      </w:pBdr>
      <w:tabs>
        <w:tab w:val="left" w:pos="1021"/>
      </w:tabs>
      <w:ind w:firstLine="0"/>
    </w:pPr>
  </w:style>
  <w:style w:type="paragraph" w:customStyle="1" w:styleId="Warning">
    <w:name w:val="Warning"/>
    <w:basedOn w:val="BodyText"/>
    <w:rsid w:val="00B70D6A"/>
    <w:pPr>
      <w:shd w:val="clear" w:color="auto" w:fill="D9D9D9"/>
      <w:tabs>
        <w:tab w:val="left" w:pos="992"/>
      </w:tabs>
      <w:ind w:left="119" w:right="119"/>
    </w:pPr>
    <w:rPr>
      <w:sz w:val="20"/>
    </w:rPr>
  </w:style>
  <w:style w:type="paragraph" w:customStyle="1" w:styleId="MarginIcons">
    <w:name w:val="Margin Icons"/>
    <w:basedOn w:val="BodyText"/>
    <w:rsid w:val="00B70D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0D6A"/>
    <w:rPr>
      <w:rFonts w:ascii="Courier New" w:hAnsi="Courier New"/>
    </w:rPr>
  </w:style>
  <w:style w:type="paragraph" w:customStyle="1" w:styleId="NoteBullet">
    <w:name w:val="Note Bullet"/>
    <w:basedOn w:val="Note"/>
    <w:rsid w:val="00B70D6A"/>
    <w:pPr>
      <w:tabs>
        <w:tab w:val="clear" w:pos="680"/>
      </w:tabs>
      <w:spacing w:before="60" w:after="60"/>
    </w:pPr>
  </w:style>
  <w:style w:type="paragraph" w:customStyle="1" w:styleId="SubHeading2">
    <w:name w:val="SubHeading2"/>
    <w:basedOn w:val="HeadingBase"/>
    <w:rsid w:val="00B70D6A"/>
    <w:pPr>
      <w:spacing w:before="240" w:after="60"/>
    </w:pPr>
    <w:rPr>
      <w:sz w:val="20"/>
    </w:rPr>
  </w:style>
  <w:style w:type="paragraph" w:customStyle="1" w:styleId="SubHeading1">
    <w:name w:val="SubHeading1"/>
    <w:basedOn w:val="HeadingBase"/>
    <w:rsid w:val="00B70D6A"/>
    <w:pPr>
      <w:spacing w:before="240" w:after="60"/>
    </w:pPr>
    <w:rPr>
      <w:color w:val="918585"/>
      <w:sz w:val="22"/>
    </w:rPr>
  </w:style>
  <w:style w:type="paragraph" w:customStyle="1" w:styleId="SideHeading">
    <w:name w:val="Side Heading"/>
    <w:basedOn w:val="HeadingBase"/>
    <w:rsid w:val="00B70D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0D6A"/>
    <w:pPr>
      <w:tabs>
        <w:tab w:val="num" w:pos="360"/>
      </w:tabs>
    </w:pPr>
  </w:style>
  <w:style w:type="paragraph" w:styleId="PlainText">
    <w:name w:val="Plain Text"/>
    <w:basedOn w:val="Normal"/>
    <w:link w:val="PlainTextChar"/>
    <w:rsid w:val="00B70D6A"/>
    <w:rPr>
      <w:sz w:val="20"/>
    </w:rPr>
  </w:style>
  <w:style w:type="character" w:customStyle="1" w:styleId="PlainTextChar">
    <w:name w:val="Plain Text Char"/>
    <w:basedOn w:val="DefaultParagraphFont"/>
    <w:link w:val="PlainText"/>
    <w:rsid w:val="00B70D6A"/>
    <w:rPr>
      <w:rFonts w:ascii="Courier New" w:eastAsia="Times New Roman" w:hAnsi="Courier New" w:cs="Times New Roman"/>
      <w:sz w:val="20"/>
      <w:szCs w:val="20"/>
      <w:lang w:eastAsia="en-US"/>
    </w:rPr>
  </w:style>
  <w:style w:type="character" w:customStyle="1" w:styleId="MenuOption">
    <w:name w:val="Menu Option"/>
    <w:basedOn w:val="DefaultParagraphFont"/>
    <w:rsid w:val="00B70D6A"/>
    <w:rPr>
      <w:b/>
      <w:smallCaps/>
    </w:rPr>
  </w:style>
  <w:style w:type="paragraph" w:customStyle="1" w:styleId="TableListNumber">
    <w:name w:val="Table List Number"/>
    <w:basedOn w:val="ListNumber"/>
    <w:rsid w:val="00B70D6A"/>
    <w:pPr>
      <w:numPr>
        <w:numId w:val="0"/>
      </w:numPr>
    </w:pPr>
  </w:style>
  <w:style w:type="paragraph" w:styleId="TOC4">
    <w:name w:val="toc 4"/>
    <w:basedOn w:val="TOCBase"/>
    <w:next w:val="Normal"/>
    <w:semiHidden/>
    <w:rsid w:val="00B70D6A"/>
    <w:pPr>
      <w:tabs>
        <w:tab w:val="right" w:leader="dot" w:pos="9071"/>
      </w:tabs>
      <w:ind w:left="1701"/>
    </w:pPr>
  </w:style>
  <w:style w:type="paragraph" w:customStyle="1" w:styleId="ListAlpha">
    <w:name w:val="List Alpha"/>
    <w:basedOn w:val="List"/>
    <w:rsid w:val="00B70D6A"/>
    <w:pPr>
      <w:numPr>
        <w:numId w:val="8"/>
      </w:numPr>
    </w:pPr>
  </w:style>
  <w:style w:type="paragraph" w:customStyle="1" w:styleId="ListAlpha2">
    <w:name w:val="List Alpha 2"/>
    <w:basedOn w:val="List2"/>
    <w:rsid w:val="00B70D6A"/>
    <w:pPr>
      <w:numPr>
        <w:numId w:val="7"/>
      </w:numPr>
    </w:pPr>
  </w:style>
  <w:style w:type="paragraph" w:styleId="List3">
    <w:name w:val="List 3"/>
    <w:basedOn w:val="BodyText"/>
    <w:rsid w:val="00B70D6A"/>
    <w:pPr>
      <w:tabs>
        <w:tab w:val="left" w:pos="1021"/>
      </w:tabs>
      <w:spacing w:before="60" w:after="60"/>
      <w:ind w:left="1020" w:hanging="340"/>
    </w:pPr>
  </w:style>
  <w:style w:type="paragraph" w:styleId="List4">
    <w:name w:val="List 4"/>
    <w:basedOn w:val="BodyText"/>
    <w:rsid w:val="00B70D6A"/>
    <w:pPr>
      <w:tabs>
        <w:tab w:val="left" w:pos="1361"/>
      </w:tabs>
      <w:spacing w:before="60" w:after="60"/>
      <w:ind w:left="1361" w:hanging="340"/>
    </w:pPr>
  </w:style>
  <w:style w:type="paragraph" w:styleId="List5">
    <w:name w:val="List 5"/>
    <w:basedOn w:val="BodyText"/>
    <w:rsid w:val="00B70D6A"/>
    <w:pPr>
      <w:tabs>
        <w:tab w:val="left" w:pos="1701"/>
      </w:tabs>
      <w:spacing w:before="60" w:after="60"/>
      <w:ind w:left="1701" w:hanging="340"/>
    </w:pPr>
  </w:style>
  <w:style w:type="paragraph" w:styleId="ListBullet3">
    <w:name w:val="List Bullet 3"/>
    <w:basedOn w:val="List3"/>
    <w:rsid w:val="00B70D6A"/>
    <w:pPr>
      <w:numPr>
        <w:numId w:val="14"/>
      </w:numPr>
      <w:tabs>
        <w:tab w:val="clear" w:pos="1021"/>
      </w:tabs>
      <w:ind w:left="1037" w:hanging="357"/>
    </w:pPr>
  </w:style>
  <w:style w:type="paragraph" w:styleId="ListBullet4">
    <w:name w:val="List Bullet 4"/>
    <w:basedOn w:val="List4"/>
    <w:rsid w:val="00B70D6A"/>
    <w:pPr>
      <w:numPr>
        <w:numId w:val="2"/>
      </w:numPr>
    </w:pPr>
  </w:style>
  <w:style w:type="paragraph" w:styleId="ListBullet5">
    <w:name w:val="List Bullet 5"/>
    <w:basedOn w:val="List5"/>
    <w:rsid w:val="00B70D6A"/>
    <w:pPr>
      <w:numPr>
        <w:numId w:val="3"/>
      </w:numPr>
    </w:pPr>
  </w:style>
  <w:style w:type="paragraph" w:styleId="ListContinue2">
    <w:name w:val="List Continue 2"/>
    <w:basedOn w:val="List2"/>
    <w:rsid w:val="00B70D6A"/>
    <w:pPr>
      <w:ind w:firstLine="0"/>
    </w:pPr>
  </w:style>
  <w:style w:type="paragraph" w:styleId="ListContinue3">
    <w:name w:val="List Continue 3"/>
    <w:basedOn w:val="List3"/>
    <w:rsid w:val="00B70D6A"/>
    <w:pPr>
      <w:ind w:left="1021" w:firstLine="0"/>
    </w:pPr>
  </w:style>
  <w:style w:type="paragraph" w:styleId="ListContinue4">
    <w:name w:val="List Continue 4"/>
    <w:basedOn w:val="List4"/>
    <w:rsid w:val="00B70D6A"/>
    <w:pPr>
      <w:ind w:firstLine="0"/>
    </w:pPr>
  </w:style>
  <w:style w:type="paragraph" w:styleId="ListContinue5">
    <w:name w:val="List Continue 5"/>
    <w:basedOn w:val="List5"/>
    <w:rsid w:val="00B70D6A"/>
    <w:pPr>
      <w:ind w:firstLine="0"/>
    </w:pPr>
  </w:style>
  <w:style w:type="paragraph" w:styleId="ListNumber3">
    <w:name w:val="List Number 3"/>
    <w:basedOn w:val="List3"/>
    <w:rsid w:val="00B70D6A"/>
    <w:pPr>
      <w:numPr>
        <w:numId w:val="4"/>
      </w:numPr>
    </w:pPr>
  </w:style>
  <w:style w:type="paragraph" w:styleId="ListNumber4">
    <w:name w:val="List Number 4"/>
    <w:basedOn w:val="List4"/>
    <w:rsid w:val="00B70D6A"/>
    <w:pPr>
      <w:numPr>
        <w:numId w:val="5"/>
      </w:numPr>
    </w:pPr>
  </w:style>
  <w:style w:type="paragraph" w:styleId="ListNumber5">
    <w:name w:val="List Number 5"/>
    <w:basedOn w:val="List5"/>
    <w:rsid w:val="00B70D6A"/>
    <w:pPr>
      <w:numPr>
        <w:numId w:val="6"/>
      </w:numPr>
    </w:pPr>
  </w:style>
  <w:style w:type="paragraph" w:styleId="BlockText">
    <w:name w:val="Block Text"/>
    <w:basedOn w:val="Normal"/>
    <w:rsid w:val="00B70D6A"/>
    <w:pPr>
      <w:spacing w:after="120"/>
      <w:ind w:left="1440" w:right="1440"/>
    </w:pPr>
  </w:style>
  <w:style w:type="character" w:customStyle="1" w:styleId="Subscript">
    <w:name w:val="Subscript"/>
    <w:basedOn w:val="DefaultParagraphFont"/>
    <w:rsid w:val="00B70D6A"/>
    <w:rPr>
      <w:sz w:val="16"/>
      <w:vertAlign w:val="subscript"/>
    </w:rPr>
  </w:style>
  <w:style w:type="character" w:customStyle="1" w:styleId="Superscript">
    <w:name w:val="Superscript"/>
    <w:basedOn w:val="DefaultParagraphFont"/>
    <w:rsid w:val="00B70D6A"/>
    <w:rPr>
      <w:sz w:val="16"/>
      <w:vertAlign w:val="superscript"/>
    </w:rPr>
  </w:style>
  <w:style w:type="character" w:customStyle="1" w:styleId="Symbols">
    <w:name w:val="Symbols"/>
    <w:basedOn w:val="DefaultParagraphFont"/>
    <w:rsid w:val="00B70D6A"/>
    <w:rPr>
      <w:rFonts w:ascii="Symbol" w:hAnsi="Symbol"/>
    </w:rPr>
  </w:style>
  <w:style w:type="character" w:customStyle="1" w:styleId="MenuOptions">
    <w:name w:val="Menu Options"/>
    <w:basedOn w:val="DefaultParagraphFont"/>
    <w:rsid w:val="00B70D6A"/>
    <w:rPr>
      <w:rFonts w:ascii="Arial Narrow" w:hAnsi="Arial Narrow"/>
      <w:smallCaps/>
    </w:rPr>
  </w:style>
  <w:style w:type="character" w:customStyle="1" w:styleId="Buttons">
    <w:name w:val="Buttons"/>
    <w:basedOn w:val="DefaultParagraphFont"/>
    <w:rsid w:val="00B70D6A"/>
    <w:rPr>
      <w:b/>
    </w:rPr>
  </w:style>
  <w:style w:type="character" w:customStyle="1" w:styleId="Underlined">
    <w:name w:val="Underlined"/>
    <w:basedOn w:val="DefaultParagraphFont"/>
    <w:rsid w:val="00B70D6A"/>
    <w:rPr>
      <w:u w:val="single"/>
    </w:rPr>
  </w:style>
  <w:style w:type="paragraph" w:customStyle="1" w:styleId="TableBodyTextRight">
    <w:name w:val="Table Body Text Right"/>
    <w:basedOn w:val="TableBodyText"/>
    <w:rsid w:val="00B70D6A"/>
    <w:pPr>
      <w:widowControl w:val="0"/>
      <w:autoSpaceDE w:val="0"/>
      <w:autoSpaceDN w:val="0"/>
      <w:adjustRightInd w:val="0"/>
      <w:jc w:val="right"/>
    </w:pPr>
    <w:rPr>
      <w:rFonts w:cs="Arial"/>
      <w:szCs w:val="18"/>
    </w:rPr>
  </w:style>
  <w:style w:type="paragraph" w:customStyle="1" w:styleId="CopyrightText">
    <w:name w:val="Copyright Text"/>
    <w:basedOn w:val="BodyText"/>
    <w:rsid w:val="00B70D6A"/>
    <w:rPr>
      <w:sz w:val="18"/>
    </w:rPr>
  </w:style>
  <w:style w:type="paragraph" w:customStyle="1" w:styleId="BodySmallRight">
    <w:name w:val="Body Small Right"/>
    <w:basedOn w:val="BodyTextRight"/>
    <w:rsid w:val="00B70D6A"/>
    <w:rPr>
      <w:sz w:val="18"/>
      <w:szCs w:val="18"/>
    </w:rPr>
  </w:style>
  <w:style w:type="paragraph" w:customStyle="1" w:styleId="MarginEdition">
    <w:name w:val="Margin Edition"/>
    <w:basedOn w:val="MarginNote"/>
    <w:rsid w:val="00B70D6A"/>
    <w:pPr>
      <w:spacing w:before="0" w:after="0"/>
    </w:pPr>
    <w:rPr>
      <w:rFonts w:ascii="Times New Roman" w:hAnsi="Times New Roman"/>
      <w:color w:val="999999"/>
    </w:rPr>
  </w:style>
  <w:style w:type="paragraph" w:customStyle="1" w:styleId="Spacer">
    <w:name w:val="Spacer"/>
    <w:basedOn w:val="Normal"/>
    <w:rsid w:val="00B70D6A"/>
    <w:rPr>
      <w:sz w:val="2"/>
      <w:szCs w:val="2"/>
    </w:rPr>
  </w:style>
  <w:style w:type="character" w:customStyle="1" w:styleId="Small">
    <w:name w:val="Small"/>
    <w:basedOn w:val="DefaultParagraphFont"/>
    <w:rsid w:val="00B70D6A"/>
    <w:rPr>
      <w:sz w:val="16"/>
    </w:rPr>
  </w:style>
  <w:style w:type="paragraph" w:customStyle="1" w:styleId="WideTable">
    <w:name w:val="Wide Table"/>
    <w:basedOn w:val="Normal"/>
    <w:rsid w:val="00B70D6A"/>
    <w:pPr>
      <w:ind w:left="-1418"/>
    </w:pPr>
    <w:rPr>
      <w:sz w:val="2"/>
      <w:szCs w:val="2"/>
    </w:rPr>
  </w:style>
  <w:style w:type="character" w:styleId="PageNumber">
    <w:name w:val="page number"/>
    <w:basedOn w:val="DefaultParagraphFont"/>
    <w:rsid w:val="00B70D6A"/>
  </w:style>
  <w:style w:type="paragraph" w:styleId="Quote">
    <w:name w:val="Quote"/>
    <w:basedOn w:val="Heading1"/>
    <w:link w:val="QuoteChar"/>
    <w:qFormat/>
    <w:rsid w:val="00B70D6A"/>
    <w:rPr>
      <w:b w:val="0"/>
      <w:sz w:val="72"/>
      <w:szCs w:val="72"/>
      <w:lang w:val="en-NZ"/>
    </w:rPr>
  </w:style>
  <w:style w:type="character" w:customStyle="1" w:styleId="QuoteChar">
    <w:name w:val="Quote Char"/>
    <w:basedOn w:val="DefaultParagraphFont"/>
    <w:link w:val="Quote"/>
    <w:rsid w:val="00B70D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0D6A"/>
    <w:pPr>
      <w:pageBreakBefore/>
    </w:pPr>
  </w:style>
  <w:style w:type="paragraph" w:customStyle="1" w:styleId="Border">
    <w:name w:val="Border"/>
    <w:basedOn w:val="Normal"/>
    <w:qFormat/>
    <w:rsid w:val="00B70D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0D6A"/>
    <w:rPr>
      <w:b/>
      <w:bCs/>
      <w:i/>
      <w:iCs/>
      <w:color w:val="auto"/>
    </w:rPr>
  </w:style>
  <w:style w:type="paragraph" w:styleId="IntenseQuote">
    <w:name w:val="Intense Quote"/>
    <w:basedOn w:val="Normal"/>
    <w:next w:val="Normal"/>
    <w:link w:val="IntenseQuoteChar"/>
    <w:uiPriority w:val="30"/>
    <w:qFormat/>
    <w:rsid w:val="00B70D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0D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0D6A"/>
    <w:rPr>
      <w:smallCaps/>
      <w:color w:val="auto"/>
      <w:u w:val="single"/>
    </w:rPr>
  </w:style>
  <w:style w:type="character" w:styleId="IntenseReference">
    <w:name w:val="Intense Reference"/>
    <w:basedOn w:val="DefaultParagraphFont"/>
    <w:uiPriority w:val="32"/>
    <w:qFormat/>
    <w:rsid w:val="00B70D6A"/>
    <w:rPr>
      <w:b/>
      <w:bCs/>
      <w:smallCaps/>
      <w:color w:val="auto"/>
      <w:spacing w:val="5"/>
      <w:u w:val="single"/>
    </w:rPr>
  </w:style>
  <w:style w:type="paragraph" w:customStyle="1" w:styleId="2ColumnHeading">
    <w:name w:val="2Column Heading"/>
    <w:basedOn w:val="BodyText"/>
    <w:qFormat/>
    <w:rsid w:val="00B70D6A"/>
    <w:pPr>
      <w:spacing w:after="60"/>
      <w:ind w:left="-2268"/>
    </w:pPr>
    <w:rPr>
      <w:b/>
    </w:rPr>
  </w:style>
  <w:style w:type="paragraph" w:customStyle="1" w:styleId="Heading1TOC">
    <w:name w:val="Heading1 TOC"/>
    <w:basedOn w:val="Normal"/>
    <w:qFormat/>
    <w:rsid w:val="00B70D6A"/>
    <w:pPr>
      <w:spacing w:before="240" w:after="120"/>
    </w:pPr>
    <w:rPr>
      <w:rFonts w:ascii="Times New Roman" w:hAnsi="Times New Roman"/>
      <w:b/>
      <w:sz w:val="32"/>
    </w:rPr>
  </w:style>
  <w:style w:type="paragraph" w:customStyle="1" w:styleId="Heading2TOC">
    <w:name w:val="Heading2 TOC"/>
    <w:basedOn w:val="Normal"/>
    <w:qFormat/>
    <w:rsid w:val="00B70D6A"/>
    <w:pPr>
      <w:spacing w:before="240" w:after="60"/>
    </w:pPr>
    <w:rPr>
      <w:rFonts w:ascii="Times New Roman" w:hAnsi="Times New Roman"/>
      <w:b/>
      <w:sz w:val="28"/>
    </w:rPr>
  </w:style>
  <w:style w:type="character" w:customStyle="1" w:styleId="Underline">
    <w:name w:val="Underline"/>
    <w:basedOn w:val="DefaultParagraphFont"/>
    <w:qFormat/>
    <w:rsid w:val="00B70D6A"/>
    <w:rPr>
      <w:u w:val="single"/>
    </w:rPr>
  </w:style>
  <w:style w:type="paragraph" w:styleId="BalloonText">
    <w:name w:val="Balloon Text"/>
    <w:basedOn w:val="Normal"/>
    <w:link w:val="BalloonTextChar"/>
    <w:rsid w:val="00B70D6A"/>
    <w:rPr>
      <w:rFonts w:ascii="Tahoma" w:hAnsi="Tahoma" w:cs="Tahoma"/>
      <w:sz w:val="16"/>
      <w:szCs w:val="16"/>
    </w:rPr>
  </w:style>
  <w:style w:type="character" w:customStyle="1" w:styleId="BalloonTextChar">
    <w:name w:val="Balloon Text Char"/>
    <w:basedOn w:val="DefaultParagraphFont"/>
    <w:link w:val="BalloonText"/>
    <w:rsid w:val="00B70D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0D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0D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0D6A"/>
    <w:rPr>
      <w:b/>
      <w:color w:val="660033"/>
      <w:spacing w:val="0"/>
    </w:rPr>
  </w:style>
  <w:style w:type="paragraph" w:customStyle="1" w:styleId="Nameditemlist">
    <w:name w:val="Named item list"/>
    <w:basedOn w:val="BodyText"/>
    <w:qFormat/>
    <w:rsid w:val="00B70D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2230</Words>
  <Characters>13894</Characters>
  <Application>Microsoft Office Word</Application>
  <DocSecurity>0</DocSecurity>
  <Lines>383</Lines>
  <Paragraphs>158</Paragraphs>
  <ScaleCrop>false</ScaleCrop>
  <Company>Author-it Software Corporation Ltd.</Company>
  <LinksUpToDate>false</LinksUpToDate>
  <CharactersWithSpaces>16031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MEA134B Establish, maintain and evaluate the organisation's occupational health and safety system</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2012-10-05T05:56:00Z</dcterms:created>
  <dcterms:modified xsi:type="dcterms:W3CDTF">2012-10-05T05:56:00Z</dcterms:modified>
</cp:coreProperties>
</file>