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0FB" w:rsidP="00B270FB">
      <w:pPr>
        <w:pStyle w:val="Title"/>
      </w:pPr>
      <w:r>
        <w:fldChar w:fldCharType="begin"/>
      </w:r>
      <w:r>
        <w:instrText xml:space="preserve"> TITLE   \* MERGEFORMAT </w:instrText>
      </w:r>
      <w:r>
        <w:fldChar w:fldCharType="separate"/>
      </w:r>
      <w:r>
        <w:t>MEA114A Certify aeronautical product maintenance</w:t>
      </w:r>
      <w:r>
        <w:fldChar w:fldCharType="end"/>
      </w:r>
    </w:p>
    <w:p w:rsidR="00B270FB" w:rsidP="00B270FB">
      <w:pPr>
        <w:pStyle w:val="Version"/>
        <w:sectPr w:rsidSect="00CF16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F16C0" w:rsidP="00CF16C0">
      <w:pPr>
        <w:pStyle w:val="SuperHeading"/>
      </w:pPr>
      <w:r w:rsidRPr="00CF16C0">
        <w:t>MEA114A Certify aeronautical product maintenance</w:t>
      </w:r>
    </w:p>
    <w:p w:rsidR="00000000" w:rsidRPr="00CF16C0" w:rsidP="00CF16C0">
      <w:pPr>
        <w:pStyle w:val="SuperHeading"/>
      </w:pPr>
    </w:p>
    <w:p w:rsidR="00000000" w:rsidRPr="00CF16C0" w:rsidP="00CF16C0">
      <w:pPr>
        <w:pStyle w:val="Heading1"/>
      </w:pPr>
      <w:bookmarkStart w:id="1" w:name="O_398069"/>
      <w:bookmarkEnd w:id="1"/>
      <w:r w:rsidRPr="00CF16C0">
        <w:t>Modification History</w:t>
      </w:r>
    </w:p>
    <w:p w:rsidR="00000000" w:rsidRPr="00CF16C0" w:rsidP="00CF16C0">
      <w:pPr>
        <w:pStyle w:val="BodyText"/>
      </w:pPr>
      <w:r w:rsidRPr="00CF16C0">
        <w:t>Minor formatting and editorial changes made.</w:t>
      </w:r>
    </w:p>
    <w:p w:rsidR="00000000" w:rsidRPr="00CF16C0" w:rsidP="00CF16C0">
      <w:pPr>
        <w:pStyle w:val="AllowPageBreak"/>
      </w:pPr>
    </w:p>
    <w:p w:rsidR="00000000" w:rsidRPr="00CF16C0" w:rsidP="00CF16C0">
      <w:pPr>
        <w:pStyle w:val="Heading1"/>
      </w:pPr>
      <w:bookmarkStart w:id="2" w:name="O_398065"/>
      <w:bookmarkEnd w:id="2"/>
      <w:r w:rsidRPr="00CF16C0">
        <w:t>Unit Descriptor</w:t>
      </w:r>
    </w:p>
    <w:tbl>
      <w:tblPr>
        <w:tblW w:w="0" w:type="auto"/>
        <w:tblLayout w:type="fixed"/>
        <w:tblCellMar>
          <w:left w:w="62" w:type="dxa"/>
          <w:right w:w="62" w:type="dxa"/>
        </w:tblCellMar>
        <w:tblLook w:val="0000"/>
      </w:tblPr>
      <w:tblGrid>
        <w:gridCol w:w="8550"/>
      </w:tblGrid>
      <w:tr w:rsidTr="00B270FB">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CF16C0" w:rsidP="00CF16C0">
            <w:pPr>
              <w:pStyle w:val="BodyText"/>
            </w:pPr>
            <w:r w:rsidRPr="00CF16C0">
              <w:t>This unit of competency must be attained by individuals working in CASR Par</w:t>
            </w:r>
            <w:r w:rsidRPr="00CF16C0">
              <w:t>t 42 Sub-Part F and Part 145 maintenance organisations who are authorised to return items of aeronautical product to service after the completion of maintenance. It covers the competencies required to correctly interpret and apply CASA airworthiness and ce</w:t>
            </w:r>
            <w:r w:rsidRPr="00CF16C0">
              <w:t>rtification requirements during aircraft component maintenance.</w:t>
            </w:r>
          </w:p>
          <w:p w:rsidR="00000000" w:rsidRPr="00CF16C0" w:rsidP="00CF16C0">
            <w:pPr>
              <w:pStyle w:val="BodyText"/>
            </w:pPr>
            <w:r w:rsidRPr="00CF16C0">
              <w:t>The units of competency that are specified by the maintenance organisation for the repair, overhaul or modification of the item of aeronautical product being certified for return to service ar</w:t>
            </w:r>
            <w:r w:rsidRPr="00CF16C0">
              <w:t>e co-requisites to this unit.</w:t>
            </w: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3" w:name="O_398078"/>
      <w:bookmarkEnd w:id="3"/>
      <w:r w:rsidRPr="00CF16C0">
        <w:t>Application of the Unit</w:t>
      </w:r>
    </w:p>
    <w:tbl>
      <w:tblPr>
        <w:tblW w:w="0" w:type="auto"/>
        <w:tblLayout w:type="fixed"/>
        <w:tblCellMar>
          <w:left w:w="62" w:type="dxa"/>
          <w:right w:w="62" w:type="dxa"/>
        </w:tblCellMar>
        <w:tblLook w:val="0000"/>
      </w:tblPr>
      <w:tblGrid>
        <w:gridCol w:w="8460"/>
      </w:tblGrid>
      <w:tr w:rsidTr="00B270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CF16C0" w:rsidP="00CF16C0">
            <w:pPr>
              <w:pStyle w:val="BodyText"/>
            </w:pPr>
            <w:r w:rsidRPr="00CF16C0">
              <w:t>This unit requires application of legislative and regulatory requirements relating to the certification of aviation maintenance.</w:t>
            </w:r>
          </w:p>
          <w:p w:rsidR="00000000" w:rsidRPr="00CF16C0" w:rsidP="00CF16C0">
            <w:pPr>
              <w:pStyle w:val="BodyText"/>
            </w:pPr>
            <w:r w:rsidRPr="00CF16C0">
              <w:t>Applications include all aeronautical product maintenance tasks that require certification following completion of maintenance.</w:t>
            </w: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4" w:name="O_398070"/>
      <w:bookmarkEnd w:id="4"/>
      <w:r w:rsidRPr="00CF16C0">
        <w:t>Licensing/Regulatory Information</w:t>
      </w:r>
    </w:p>
    <w:p w:rsidR="00000000" w:rsidRPr="00CF16C0" w:rsidP="00CF16C0">
      <w:pPr>
        <w:pStyle w:val="BodyText"/>
      </w:pPr>
      <w:r w:rsidRPr="00CF16C0">
        <w:t>Not applicable.</w:t>
      </w:r>
    </w:p>
    <w:p w:rsidR="00000000" w:rsidRPr="00CF16C0" w:rsidP="00CF16C0">
      <w:pPr>
        <w:pStyle w:val="AllowPageBreak"/>
      </w:pPr>
    </w:p>
    <w:p w:rsidR="00000000" w:rsidRPr="00CF16C0" w:rsidP="00CF16C0">
      <w:pPr>
        <w:pStyle w:val="Heading1"/>
      </w:pPr>
      <w:bookmarkStart w:id="5" w:name="O_398068"/>
      <w:bookmarkEnd w:id="5"/>
      <w:r w:rsidRPr="00CF16C0">
        <w:t>Pre-Requisites</w:t>
      </w:r>
    </w:p>
    <w:p w:rsidR="00000000" w:rsidRPr="00CF16C0" w:rsidP="00CF16C0">
      <w:pPr>
        <w:pStyle w:val="BodyText"/>
      </w:pPr>
      <w:r w:rsidRPr="00CF16C0">
        <w:t>Not applicable</w:t>
      </w:r>
    </w:p>
    <w:p w:rsidR="00000000" w:rsidRPr="00CF16C0" w:rsidP="00CF16C0">
      <w:pPr>
        <w:pStyle w:val="AllowPageBreak"/>
      </w:pPr>
    </w:p>
    <w:p w:rsidR="00000000" w:rsidRPr="00CF16C0" w:rsidP="00CF16C0">
      <w:pPr>
        <w:pStyle w:val="Heading1"/>
      </w:pPr>
      <w:bookmarkStart w:id="6" w:name="O_398073"/>
      <w:bookmarkEnd w:id="6"/>
      <w:r w:rsidRPr="00CF16C0">
        <w:t>Employability Skills Information</w:t>
      </w:r>
    </w:p>
    <w:tbl>
      <w:tblPr>
        <w:tblW w:w="0" w:type="auto"/>
        <w:tblLayout w:type="fixed"/>
        <w:tblCellMar>
          <w:left w:w="62" w:type="dxa"/>
          <w:right w:w="62" w:type="dxa"/>
        </w:tblCellMar>
        <w:tblLook w:val="0000"/>
      </w:tblPr>
      <w:tblGrid>
        <w:gridCol w:w="5720"/>
      </w:tblGrid>
      <w:tr w:rsidTr="00B270F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F16C0" w:rsidP="00CF16C0">
            <w:pPr>
              <w:pStyle w:val="BodyText"/>
            </w:pPr>
            <w:r w:rsidRPr="00CF16C0">
              <w:t>This unit contains employability skills.</w:t>
            </w: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7" w:name="O_398074"/>
      <w:bookmarkEnd w:id="7"/>
      <w:r w:rsidRPr="00CF16C0">
        <w:t>Elements and Performance Criteria Pre-Content</w:t>
      </w:r>
    </w:p>
    <w:tbl>
      <w:tblPr>
        <w:tblW w:w="9360" w:type="dxa"/>
        <w:tblLayout w:type="fixed"/>
        <w:tblCellMar>
          <w:left w:w="62" w:type="dxa"/>
          <w:right w:w="62" w:type="dxa"/>
        </w:tblCellMar>
        <w:tblLook w:val="0000"/>
      </w:tblPr>
      <w:tblGrid>
        <w:gridCol w:w="2560"/>
        <w:gridCol w:w="6800"/>
      </w:tblGrid>
      <w:tr w:rsidTr="00B270FB">
        <w:tblPrEx>
          <w:tblW w:w="9360" w:type="dxa"/>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t>Elements describe the essential outcomes of a unit of competency.</w:t>
            </w:r>
          </w:p>
        </w:tc>
        <w:tc>
          <w:tcPr>
            <w:tcW w:w="6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6C0" w:rsidP="00CF16C0">
            <w:pPr>
              <w:pStyle w:val="BodyText"/>
            </w:pPr>
            <w:r w:rsidRPr="00CF16C0">
              <w:t>Performance criteria describe the performance needed to demonstrate achievement of the element. Where bold italicised text is used, further information is detailed in the required skills and knowledge section and the range statement. Assessment of performa</w:t>
            </w:r>
            <w:r w:rsidRPr="00CF16C0">
              <w:t>nce is to be consistent with the evidence guide.</w:t>
            </w: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8" w:name="O_398075"/>
      <w:bookmarkEnd w:id="8"/>
      <w:r w:rsidRPr="00CF16C0">
        <w:t>Elements and Performance Criteria</w:t>
      </w:r>
    </w:p>
    <w:tbl>
      <w:tblPr>
        <w:tblW w:w="0" w:type="auto"/>
        <w:tblCellMar>
          <w:left w:w="62" w:type="dxa"/>
          <w:right w:w="62" w:type="dxa"/>
        </w:tblCellMar>
        <w:tblLook w:val="0000"/>
      </w:tblPr>
      <w:tblGrid>
        <w:gridCol w:w="1895"/>
        <w:gridCol w:w="7301"/>
      </w:tblGrid>
      <w:tr w:rsidTr="00B27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16C0">
            <w:pPr>
              <w:pStyle w:val="List"/>
              <w:rPr>
                <w:lang w:val="en-NZ"/>
              </w:rPr>
            </w:pPr>
            <w:r w:rsidRPr="00CF16C0">
              <w:t>1.</w:t>
            </w:r>
            <w:r w:rsidRPr="00CF16C0">
              <w:tab/>
              <w:t>Comply with airworthiness regulations</w:t>
            </w:r>
          </w:p>
        </w:tc>
        <w:tc>
          <w:tcPr>
            <w:tcW w:w="0" w:type="auto"/>
            <w:tcBorders>
              <w:top w:val="nil"/>
              <w:left w:val="nil"/>
              <w:bottom w:val="nil"/>
              <w:right w:val="nil"/>
            </w:tcBorders>
            <w:tcMar>
              <w:top w:w="0" w:type="dxa"/>
              <w:left w:w="62" w:type="dxa"/>
              <w:bottom w:w="0" w:type="dxa"/>
              <w:right w:w="62" w:type="dxa"/>
            </w:tcMar>
          </w:tcPr>
          <w:p w:rsidR="00000000" w:rsidRPr="00CF16C0" w:rsidP="00CF16C0">
            <w:pPr>
              <w:pStyle w:val="List2"/>
            </w:pPr>
            <w:r w:rsidRPr="00CF16C0">
              <w:t>1.1.</w:t>
            </w:r>
            <w:r w:rsidRPr="00CF16C0">
              <w:tab/>
              <w:t>The status of aircraft components and component parts is determined</w:t>
            </w:r>
          </w:p>
          <w:p w:rsidR="00000000" w:rsidRPr="00CF16C0" w:rsidP="00CF16C0">
            <w:pPr>
              <w:pStyle w:val="List2"/>
            </w:pPr>
            <w:r w:rsidRPr="00CF16C0">
              <w:t>1.2.</w:t>
            </w:r>
            <w:r w:rsidRPr="00CF16C0">
              <w:tab/>
            </w:r>
            <w:r w:rsidRPr="00CF16C0">
              <w:t>Eligibility to certify the completion of maintenance activities is determined</w:t>
            </w:r>
          </w:p>
          <w:p w:rsidR="00000000" w:rsidRPr="00CF16C0" w:rsidP="00CF16C0">
            <w:pPr>
              <w:pStyle w:val="List2"/>
            </w:pPr>
            <w:r w:rsidRPr="00CF16C0">
              <w:t>1.3.</w:t>
            </w:r>
            <w:r w:rsidRPr="00CF16C0">
              <w:tab/>
              <w:t>Item of aeronautical product is released to service</w:t>
            </w:r>
          </w:p>
          <w:p w:rsidR="00000000" w:rsidRPr="00CF16C0" w:rsidP="00CF16C0">
            <w:pPr>
              <w:pStyle w:val="List2"/>
            </w:pPr>
            <w:r w:rsidRPr="00CF16C0">
              <w:t>1.4.</w:t>
            </w:r>
            <w:r w:rsidRPr="00CF16C0">
              <w:tab/>
              <w:t>Maintenance documentation required for certification is raised and compiled</w:t>
            </w:r>
          </w:p>
          <w:p w:rsidR="00000000" w:rsidRPr="00CF16C0" w:rsidP="00CF16C0">
            <w:pPr>
              <w:pStyle w:val="List2"/>
            </w:pPr>
            <w:r w:rsidRPr="00CF16C0">
              <w:t>1.5.</w:t>
            </w:r>
            <w:r w:rsidRPr="00CF16C0">
              <w:tab/>
              <w:t>Configuration management procedures</w:t>
            </w:r>
            <w:r w:rsidRPr="00CF16C0">
              <w:t xml:space="preserve"> are applied</w:t>
            </w:r>
          </w:p>
          <w:p w:rsidR="00000000" w:rsidRPr="00CF16C0" w:rsidP="00CF16C0">
            <w:pPr>
              <w:pStyle w:val="List2"/>
            </w:pPr>
            <w:r w:rsidRPr="00CF16C0">
              <w:t>1.6.</w:t>
            </w:r>
            <w:r w:rsidRPr="00CF16C0">
              <w:tab/>
              <w:t>Maintenance-related reports are compiled and processed</w:t>
            </w:r>
          </w:p>
          <w:p w:rsidR="00000000" w:rsidRPr="00CF16C0" w:rsidP="00CF16C0">
            <w:pPr>
              <w:pStyle w:val="List2"/>
            </w:pPr>
            <w:r w:rsidRPr="00CF16C0">
              <w:t>1.7.</w:t>
            </w:r>
            <w:r w:rsidRPr="00CF16C0">
              <w:tab/>
              <w:t>Technical communication activities, both oral and written, are performed</w:t>
            </w: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9" w:name="O_398066"/>
      <w:bookmarkEnd w:id="9"/>
      <w:r w:rsidRPr="00CF16C0">
        <w:t>Required Skills and Knowledge</w:t>
      </w:r>
    </w:p>
    <w:tbl>
      <w:tblPr>
        <w:tblW w:w="0" w:type="auto"/>
        <w:tblLayout w:type="fixed"/>
        <w:tblCellMar>
          <w:left w:w="62" w:type="dxa"/>
          <w:right w:w="62" w:type="dxa"/>
        </w:tblCellMar>
        <w:tblLook w:val="0000"/>
      </w:tblPr>
      <w:tblGrid>
        <w:gridCol w:w="8522"/>
      </w:tblGrid>
      <w:tr w:rsidTr="00B270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6C0">
            <w:pPr>
              <w:pStyle w:val="BodyText"/>
              <w:rPr>
                <w:lang w:val="en-NZ"/>
              </w:rPr>
            </w:pPr>
            <w:r w:rsidRPr="00CF16C0">
              <w:rPr>
                <w:rStyle w:val="SpecialBold"/>
              </w:rPr>
              <w:t>Required skills</w:t>
            </w:r>
          </w:p>
        </w:tc>
      </w:tr>
      <w:tr w:rsidTr="00B270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16C0" w:rsidP="00CF16C0">
            <w:pPr>
              <w:pStyle w:val="BodyText"/>
            </w:pPr>
            <w:r w:rsidRPr="00CF16C0">
              <w:t xml:space="preserve">Look for evidence that confirms skills </w:t>
            </w:r>
            <w:r w:rsidRPr="00CF16C0">
              <w:t>in:</w:t>
            </w:r>
          </w:p>
          <w:p w:rsidR="00000000" w:rsidRPr="00CF16C0" w:rsidP="00CF16C0">
            <w:pPr>
              <w:pStyle w:val="ListBullet"/>
            </w:pPr>
            <w:r w:rsidRPr="00CF16C0">
              <w:t>describing and applying the requirements applicable to the privileges of their authority</w:t>
            </w:r>
          </w:p>
          <w:p w:rsidR="00000000" w:rsidRPr="00CF16C0" w:rsidP="00CF16C0">
            <w:pPr>
              <w:pStyle w:val="ListBullet"/>
            </w:pPr>
            <w:r w:rsidRPr="00CF16C0">
              <w:t>application of Airworthiness Directive requirements under CASR Part 39</w:t>
            </w:r>
          </w:p>
          <w:p w:rsidR="00000000" w:rsidRPr="00CF16C0" w:rsidP="00CF16C0">
            <w:pPr>
              <w:pStyle w:val="ListBullet"/>
            </w:pPr>
            <w:r w:rsidRPr="00CF16C0">
              <w:t>application of Aviation Maintenance Personnel Licensing Requirements under CASR Part 66</w:t>
            </w:r>
          </w:p>
          <w:p w:rsidR="00000000" w:rsidRPr="00CF16C0" w:rsidP="00CF16C0">
            <w:pPr>
              <w:pStyle w:val="ListBullet"/>
            </w:pPr>
            <w:r w:rsidRPr="00CF16C0">
              <w:t>application of requirements related to conduct and certification of maintenance under CASR Part 145 and CASR Part 42 Subpart F</w:t>
            </w:r>
          </w:p>
          <w:p w:rsidR="00000000" w:rsidRPr="00CF16C0" w:rsidP="00CF16C0">
            <w:pPr>
              <w:pStyle w:val="ListBullet"/>
            </w:pPr>
            <w:r w:rsidRPr="00CF16C0">
              <w:t>demonstrating a familiarity with requirements related to the tasks and functions they may perform</w:t>
            </w:r>
          </w:p>
          <w:p w:rsidR="00000000" w:rsidP="00CF16C0">
            <w:pPr>
              <w:pStyle w:val="ListBullet"/>
              <w:rPr>
                <w:lang w:val="en-NZ"/>
              </w:rPr>
            </w:pPr>
            <w:r w:rsidRPr="00CF16C0">
              <w:t>demonstration of literacy and o</w:t>
            </w:r>
            <w:r w:rsidRPr="00CF16C0">
              <w:t>ral expression skills required for clear written and oral communication</w:t>
            </w:r>
          </w:p>
        </w:tc>
      </w:tr>
      <w:tr w:rsidTr="00B270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6C0">
            <w:pPr>
              <w:pStyle w:val="BodyText"/>
              <w:rPr>
                <w:lang w:val="en-NZ"/>
              </w:rPr>
            </w:pPr>
            <w:r w:rsidRPr="00CF16C0">
              <w:rPr>
                <w:rStyle w:val="SpecialBold"/>
              </w:rPr>
              <w:t>Required knowledge</w:t>
            </w:r>
          </w:p>
        </w:tc>
      </w:tr>
      <w:tr w:rsidTr="00B270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16C0" w:rsidP="00CF16C0">
            <w:pPr>
              <w:pStyle w:val="BodyText"/>
            </w:pPr>
            <w:r w:rsidRPr="00CF16C0">
              <w:t>Look for evidence that confirms knowledge of:</w:t>
            </w:r>
          </w:p>
          <w:p w:rsidR="00000000" w:rsidRPr="00CF16C0" w:rsidP="00CF16C0">
            <w:pPr>
              <w:pStyle w:val="ListBullet"/>
            </w:pPr>
            <w:r w:rsidRPr="00CF16C0">
              <w:t>Airworthiness Directive requirements under CASR Part 39</w:t>
            </w:r>
          </w:p>
          <w:p w:rsidR="00000000" w:rsidRPr="00CF16C0" w:rsidP="00CF16C0">
            <w:pPr>
              <w:pStyle w:val="ListBullet"/>
            </w:pPr>
            <w:r w:rsidRPr="00CF16C0">
              <w:t>Maintainers' Responsibilities under CASR Parts 66, 145 and 4</w:t>
            </w:r>
            <w:r w:rsidRPr="00CF16C0">
              <w:t>2 Subpart F</w:t>
            </w:r>
          </w:p>
          <w:p w:rsidR="00000000" w:rsidRPr="00CF16C0" w:rsidP="00CF16C0">
            <w:pPr>
              <w:pStyle w:val="ListBullet"/>
            </w:pPr>
            <w:r w:rsidRPr="00CF16C0">
              <w:t>Aviation Maintenance Personnel Licensing Requirements under CASR Part 66</w:t>
            </w:r>
          </w:p>
          <w:p w:rsidR="00000000" w:rsidRPr="00CF16C0" w:rsidP="00CF16C0">
            <w:pPr>
              <w:pStyle w:val="ListBullet"/>
            </w:pPr>
            <w:r w:rsidRPr="00CF16C0">
              <w:t>Maintenance Organisations Requirements under CASR Part 145 and 42 Subpart F</w:t>
            </w:r>
          </w:p>
          <w:p w:rsidR="00000000" w:rsidRPr="00CF16C0" w:rsidP="00CF16C0">
            <w:pPr>
              <w:pStyle w:val="ListBullet"/>
            </w:pPr>
            <w:r w:rsidRPr="00CF16C0">
              <w:t>Design Organisations under CASR Part 21J</w:t>
            </w:r>
          </w:p>
          <w:p w:rsidR="00000000" w:rsidRPr="00CF16C0" w:rsidP="00CF16C0">
            <w:pPr>
              <w:pStyle w:val="ListBullet"/>
            </w:pPr>
            <w:r w:rsidRPr="00CF16C0">
              <w:t>Maintenance Training Organisations under CASR Part 147</w:t>
            </w: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10" w:name="O_398072"/>
      <w:bookmarkEnd w:id="10"/>
      <w:r w:rsidRPr="00CF16C0">
        <w:t>Evidence Guide</w:t>
      </w:r>
    </w:p>
    <w:tbl>
      <w:tblPr>
        <w:tblW w:w="9570" w:type="dxa"/>
        <w:tblLayout w:type="fixed"/>
        <w:tblCellMar>
          <w:left w:w="62" w:type="dxa"/>
          <w:right w:w="62" w:type="dxa"/>
        </w:tblCellMar>
        <w:tblLook w:val="0000"/>
      </w:tblPr>
      <w:tblGrid>
        <w:gridCol w:w="3908"/>
        <w:gridCol w:w="5662"/>
      </w:tblGrid>
      <w:tr w:rsidTr="00B270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t>The Evidence Guide provides advice on assessment and must be read in conjunction with the performance criteria, required skills and knowledge, range statement and the Assessment Guidelines for the Training Package.</w:t>
            </w:r>
          </w:p>
        </w:tc>
      </w:tr>
      <w:tr w:rsidTr="00B2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t>A person who demonstrates competency in this unit must be able to apply without error legislative and regulatory requirements relating to the certification of aeronautical product maintenance.</w:t>
            </w:r>
          </w:p>
        </w:tc>
      </w:tr>
      <w:tr w:rsidTr="00B2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6C0" w:rsidP="00CF16C0">
            <w:pPr>
              <w:pStyle w:val="BodyText"/>
            </w:pPr>
            <w:r w:rsidRPr="00CF16C0">
              <w:t>It is essential that airworthiness compliance requirements are interpreted and fully applied without error.</w:t>
            </w:r>
          </w:p>
          <w:p w:rsidR="00000000" w:rsidRPr="00CF16C0" w:rsidP="00CF16C0">
            <w:pPr>
              <w:pStyle w:val="BodyText"/>
            </w:pPr>
            <w:r w:rsidRPr="00CF16C0">
              <w:t>Evidence is required of underlying knowledge and skills</w:t>
            </w:r>
            <w:r w:rsidRPr="00CF16C0">
              <w:t xml:space="preserve"> associated with the application of airworthiness legislation and compliance requirements, along with evidence of appropriate levels of literacy and oral expression associated with presenting clear and concise information.</w:t>
            </w:r>
          </w:p>
          <w:p w:rsidR="00000000" w:rsidRPr="00CF16C0" w:rsidP="00CF16C0">
            <w:pPr>
              <w:pStyle w:val="BodyText"/>
            </w:pPr>
            <w:r w:rsidRPr="00CF16C0">
              <w:t>A person cannot be assessed as co</w:t>
            </w:r>
            <w:r w:rsidRPr="00CF16C0">
              <w:t xml:space="preserve">mpetent until it can be demonstrated to the satisfaction of the workplace assessor that the relevant elements of the unit of competency are being achieved under supervision without intervention on a range of tasks fully representative of Groups 1 to 18 in </w:t>
            </w:r>
            <w:r w:rsidRPr="00CF16C0">
              <w:t>the Range Statement. The body of evidence for this unit may be collected and logged during simulated activities at the CASR Part 147 MTO and/or performance during supervised workplace activities.</w:t>
            </w:r>
          </w:p>
          <w:p w:rsidR="00000000" w:rsidP="00CF16C0">
            <w:pPr>
              <w:pStyle w:val="BodyText"/>
              <w:rPr>
                <w:lang w:val="en-NZ"/>
              </w:rPr>
            </w:pPr>
            <w:r w:rsidRPr="00CF16C0">
              <w:t>Knowledge must also be demonstrated of the concept of airwor</w:t>
            </w:r>
            <w:r w:rsidRPr="00CF16C0">
              <w:t>thiness that underpins the legislative framework and compliance requirements.</w:t>
            </w:r>
          </w:p>
        </w:tc>
      </w:tr>
      <w:tr w:rsidTr="00B2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t>Competency should be assessed in the work environment under supervision but without intervention for the purpose of Journal entr</w:t>
            </w:r>
            <w:r w:rsidRPr="00CF16C0">
              <w:t>ies, and/or by use of simulated activities in a CASR Part 147 MTO, covering the interpretation and application of airworthiness control and certification requirements.</w:t>
            </w:r>
          </w:p>
        </w:tc>
      </w:tr>
      <w:tr w:rsidTr="00B2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t>This unit must be linked in its assessment and application to thos</w:t>
            </w:r>
            <w:r w:rsidRPr="00CF16C0">
              <w:t>e that apply to the performance of maintenance on the applicable items of aeronautical product.</w:t>
            </w:r>
          </w:p>
        </w:tc>
      </w:tr>
      <w:tr w:rsidTr="00B2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6C0" w:rsidP="00CF16C0">
            <w:pPr>
              <w:pStyle w:val="BodyText"/>
            </w:pP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11" w:name="O_398067"/>
      <w:bookmarkEnd w:id="11"/>
      <w:r w:rsidRPr="00CF16C0">
        <w:t>Range Statement</w:t>
      </w:r>
    </w:p>
    <w:tbl>
      <w:tblPr>
        <w:tblW w:w="9360" w:type="dxa"/>
        <w:tblLayout w:type="fixed"/>
        <w:tblCellMar>
          <w:left w:w="62" w:type="dxa"/>
          <w:right w:w="62" w:type="dxa"/>
        </w:tblCellMar>
        <w:tblLook w:val="0000"/>
      </w:tblPr>
      <w:tblGrid>
        <w:gridCol w:w="3500"/>
        <w:gridCol w:w="5860"/>
      </w:tblGrid>
      <w:tr w:rsidTr="00B270FB">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t>The range statement relates to the unit of competency as a whole. It allows for differe</w:t>
            </w:r>
            <w:r w:rsidRPr="00CF16C0">
              <w:t>nt work environments and situations that may affect performance. Bold italicised wording, if used in the performance criteria, is detailed below. Essential operating conditions that may be present with training and assessment (depending on the work situati</w:t>
            </w:r>
            <w:r w:rsidRPr="00CF16C0">
              <w:t>on, needs of the candidate, accessibility of the item, and local industry and regional contexts) may also be included.</w:t>
            </w:r>
          </w:p>
        </w:tc>
      </w:tr>
      <w:tr w:rsidTr="00B270FB">
        <w:tblPrEx>
          <w:tblW w:w="9360" w:type="dxa"/>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rPr>
                <w:rStyle w:val="SpecialBold"/>
              </w:rPr>
              <w:t>Note</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t>Range statements listed below are numbered to facilitate specification of the assessment requirements included in the Evidence Guide</w:t>
            </w:r>
          </w:p>
        </w:tc>
      </w:tr>
      <w:tr w:rsidTr="00B270FB">
        <w:tblPrEx>
          <w:tblW w:w="9360" w:type="dxa"/>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6C0">
            <w:pPr>
              <w:pStyle w:val="BodyText"/>
              <w:rPr>
                <w:lang w:val="en-NZ"/>
              </w:rPr>
            </w:pPr>
            <w:r w:rsidRPr="00CF16C0">
              <w:rPr>
                <w:rStyle w:val="SpecialBold"/>
              </w:rPr>
              <w:t>Application</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6C0" w:rsidP="00CF16C0">
            <w:pPr>
              <w:pStyle w:val="BodyText"/>
            </w:pPr>
            <w:r w:rsidRPr="00CF16C0">
              <w:t>The competency applies to the certification of aircraft maintenance activities, including:</w:t>
            </w:r>
          </w:p>
          <w:p w:rsidR="00000000" w:rsidRPr="00CF16C0" w:rsidP="00CF16C0">
            <w:pPr>
              <w:pStyle w:val="BodyText"/>
            </w:pPr>
            <w:r w:rsidRPr="00CF16C0">
              <w:t>1.  Scheduled maint</w:t>
            </w:r>
            <w:r w:rsidRPr="00CF16C0">
              <w:t>enance</w:t>
            </w:r>
          </w:p>
          <w:p w:rsidR="00000000" w:rsidRPr="00CF16C0" w:rsidP="00CF16C0">
            <w:pPr>
              <w:pStyle w:val="BodyText"/>
            </w:pPr>
            <w:r w:rsidRPr="00CF16C0">
              <w:t>2.  Unscheduled maintenance</w:t>
            </w:r>
          </w:p>
          <w:p w:rsidR="00000000" w:rsidRPr="00CF16C0" w:rsidP="00CF16C0">
            <w:pPr>
              <w:pStyle w:val="BodyText"/>
            </w:pPr>
            <w:r w:rsidRPr="00CF16C0">
              <w:t>3.  Configuration changes</w:t>
            </w:r>
          </w:p>
          <w:p w:rsidR="00000000" w:rsidRPr="00CF16C0" w:rsidP="00CF16C0">
            <w:pPr>
              <w:pStyle w:val="BodyText"/>
            </w:pPr>
            <w:r w:rsidRPr="00CF16C0">
              <w:t xml:space="preserve">4.  Modification incorporation </w:t>
            </w:r>
          </w:p>
          <w:p w:rsidR="00000000" w:rsidRPr="00CF16C0" w:rsidP="00CF16C0">
            <w:pPr>
              <w:pStyle w:val="BodyText"/>
            </w:pPr>
            <w:r w:rsidRPr="00CF16C0">
              <w:t>5.  Repairs</w:t>
            </w:r>
          </w:p>
          <w:p w:rsidR="00000000" w:rsidRPr="00CF16C0" w:rsidP="00CF16C0">
            <w:pPr>
              <w:pStyle w:val="BodyText"/>
            </w:pPr>
            <w:r w:rsidRPr="00CF16C0">
              <w:t xml:space="preserve">In performing Tasks 1 to 5, knowledge is to be applied with regard to airworthiness regulatory systems and Australian legislation, and the application </w:t>
            </w:r>
            <w:r w:rsidRPr="00CF16C0">
              <w:t>of compliance requirements in the performance, recording and certification of maintenance activities, as follows:</w:t>
            </w:r>
          </w:p>
          <w:p w:rsidR="00000000" w:rsidRPr="00CF16C0" w:rsidP="00CF16C0">
            <w:pPr>
              <w:pStyle w:val="BodyText"/>
            </w:pPr>
            <w:r w:rsidRPr="00CF16C0">
              <w:t xml:space="preserve">6.  </w:t>
            </w:r>
            <w:r w:rsidRPr="00CF16C0">
              <w:tab/>
              <w:t>International and national regulatory bodies and recognition agreements, including bilateral agreements</w:t>
            </w:r>
          </w:p>
          <w:p w:rsidR="00000000" w:rsidRPr="00CF16C0" w:rsidP="00CF16C0">
            <w:pPr>
              <w:pStyle w:val="BodyText"/>
            </w:pPr>
            <w:r w:rsidRPr="00CF16C0">
              <w:t xml:space="preserve">7.  </w:t>
            </w:r>
            <w:r w:rsidRPr="00CF16C0">
              <w:tab/>
              <w:t>Australian airworthiness reg</w:t>
            </w:r>
            <w:r w:rsidRPr="00CF16C0">
              <w:t>ulatory bodies and the legislative framework</w:t>
            </w:r>
          </w:p>
          <w:p w:rsidR="00000000" w:rsidRPr="00CF16C0" w:rsidP="00CF16C0">
            <w:pPr>
              <w:pStyle w:val="BodyText"/>
            </w:pPr>
            <w:r w:rsidRPr="00CF16C0">
              <w:t xml:space="preserve">8.  </w:t>
            </w:r>
            <w:r w:rsidRPr="00CF16C0">
              <w:tab/>
              <w:t>The basis of airworthiness certification and determination of non-conformity</w:t>
            </w:r>
          </w:p>
          <w:p w:rsidR="00000000" w:rsidRPr="00CF16C0" w:rsidP="00CF16C0">
            <w:pPr>
              <w:pStyle w:val="BodyText"/>
            </w:pPr>
            <w:r w:rsidRPr="00CF16C0">
              <w:t xml:space="preserve">9.  </w:t>
            </w:r>
            <w:r w:rsidRPr="00CF16C0">
              <w:tab/>
              <w:t>Procedures for release of aeronautical product to service following maintenance</w:t>
            </w:r>
          </w:p>
          <w:p w:rsidR="00000000" w:rsidRPr="00CF16C0" w:rsidP="00CF16C0">
            <w:pPr>
              <w:pStyle w:val="BodyText"/>
            </w:pPr>
            <w:r w:rsidRPr="00CF16C0">
              <w:t>10.  Procedures for certification of scheduled and unscheduled maintenance activities</w:t>
            </w:r>
          </w:p>
          <w:p w:rsidR="00000000" w:rsidRPr="00CF16C0" w:rsidP="00CF16C0">
            <w:pPr>
              <w:pStyle w:val="BodyText"/>
            </w:pPr>
            <w:r w:rsidRPr="00CF16C0">
              <w:t>11.  Procedures for certification of the incorporation of modifications</w:t>
            </w:r>
          </w:p>
          <w:p w:rsidR="00000000" w:rsidRPr="00CF16C0" w:rsidP="00CF16C0">
            <w:pPr>
              <w:pStyle w:val="BodyText"/>
            </w:pPr>
            <w:r w:rsidRPr="00CF16C0">
              <w:t>12.  Procedures for certifying the completion of repairs</w:t>
            </w:r>
          </w:p>
          <w:p w:rsidR="00000000" w:rsidRPr="00CF16C0" w:rsidP="00CF16C0">
            <w:pPr>
              <w:pStyle w:val="BodyText"/>
            </w:pPr>
            <w:r w:rsidRPr="00CF16C0">
              <w:t>13.  Determining and applying configurati</w:t>
            </w:r>
            <w:r w:rsidRPr="00CF16C0">
              <w:t>on management procedures</w:t>
            </w:r>
          </w:p>
          <w:p w:rsidR="00000000" w:rsidRPr="00CF16C0" w:rsidP="00CF16C0">
            <w:pPr>
              <w:pStyle w:val="BodyText"/>
            </w:pPr>
            <w:r w:rsidRPr="00CF16C0">
              <w:t>14.  Compiling and processing service difficulty reports</w:t>
            </w:r>
          </w:p>
          <w:p w:rsidR="00000000" w:rsidRPr="00CF16C0" w:rsidP="00CF16C0">
            <w:pPr>
              <w:pStyle w:val="BodyText"/>
            </w:pPr>
            <w:r w:rsidRPr="00CF16C0">
              <w:t>15.  Compiling and processing technical investigation reports</w:t>
            </w:r>
          </w:p>
          <w:p w:rsidR="00000000" w:rsidRPr="00CF16C0" w:rsidP="00CF16C0">
            <w:pPr>
              <w:pStyle w:val="BodyText"/>
            </w:pPr>
            <w:r w:rsidRPr="00CF16C0">
              <w:t>16.  Compiling and processing condition reports</w:t>
            </w:r>
          </w:p>
          <w:p w:rsidR="00000000" w:rsidRPr="00CF16C0" w:rsidP="00CF16C0">
            <w:pPr>
              <w:pStyle w:val="BodyText"/>
            </w:pPr>
            <w:r w:rsidRPr="00CF16C0">
              <w:t>17.  Orally communicating on technical and airworthiness complia</w:t>
            </w:r>
            <w:r w:rsidRPr="00CF16C0">
              <w:t>nce topics</w:t>
            </w:r>
          </w:p>
          <w:p w:rsidR="00000000" w:rsidRPr="00CF16C0" w:rsidP="00CF16C0">
            <w:pPr>
              <w:pStyle w:val="BodyText"/>
            </w:pPr>
            <w:r w:rsidRPr="00CF16C0">
              <w:t>18.  Communicating in writing on technical and airworthiness compliance issues</w:t>
            </w:r>
          </w:p>
        </w:tc>
      </w:tr>
    </w:tbl>
    <w:p w:rsidR="00000000" w:rsidRPr="00CF16C0" w:rsidP="00CF16C0">
      <w:pPr>
        <w:pStyle w:val="BodyText"/>
      </w:pPr>
    </w:p>
    <w:p w:rsidR="00000000" w:rsidRPr="00CF16C0" w:rsidP="00CF16C0">
      <w:pPr>
        <w:pStyle w:val="AllowPageBreak"/>
      </w:pPr>
    </w:p>
    <w:p w:rsidR="00000000" w:rsidRPr="00CF16C0" w:rsidP="00CF16C0">
      <w:pPr>
        <w:pStyle w:val="Heading1"/>
      </w:pPr>
      <w:bookmarkStart w:id="12" w:name="O_398064"/>
      <w:bookmarkEnd w:id="12"/>
      <w:r w:rsidRPr="00CF16C0">
        <w:t>Unit Sector(s)</w:t>
      </w:r>
    </w:p>
    <w:p w:rsidR="00000000" w:rsidRPr="00CF16C0" w:rsidP="00CF16C0">
      <w:pPr>
        <w:pStyle w:val="BodyText"/>
      </w:pPr>
      <w:r w:rsidRPr="00CF16C0">
        <w:t>Aviation maintenance</w:t>
      </w:r>
    </w:p>
    <w:p w:rsidR="00000000" w:rsidRPr="00CF16C0" w:rsidP="00CF16C0">
      <w:pPr>
        <w:pStyle w:val="AllowPageBreak"/>
      </w:pPr>
    </w:p>
    <w:p w:rsidR="00000000" w:rsidRPr="00CF16C0" w:rsidP="00CF16C0">
      <w:pPr>
        <w:pStyle w:val="Heading1"/>
      </w:pPr>
      <w:bookmarkStart w:id="13" w:name="O_398077"/>
      <w:bookmarkEnd w:id="13"/>
      <w:r w:rsidRPr="00CF16C0">
        <w:t>Competency field</w:t>
      </w:r>
    </w:p>
    <w:p w:rsidR="00000000" w:rsidRPr="00CF16C0" w:rsidP="00CF16C0">
      <w:pPr>
        <w:pStyle w:val="Heading1"/>
      </w:pPr>
      <w:bookmarkStart w:id="14" w:name="O_398076"/>
      <w:bookmarkEnd w:id="14"/>
      <w:r w:rsidRPr="00CF16C0">
        <w:t>Co-requisite units</w:t>
      </w:r>
    </w:p>
    <w:p w:rsidR="00000000" w:rsidRPr="00CF16C0" w:rsidP="00CF16C0">
      <w:pPr>
        <w:pStyle w:val="BodyText"/>
      </w:pPr>
      <w:r w:rsidRPr="00CF16C0">
        <w:t>Not applicable</w:t>
      </w:r>
    </w:p>
    <w:p w:rsidR="00000000" w:rsidRPr="00CF16C0" w:rsidP="00CF16C0"/>
    <w:sectPr w:rsidSect="00CF16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0FB" w:rsidP="00B27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FB" w:rsidP="00CF1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70FB" w:rsidP="00CF16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70FB" w:rsidP="00CF16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0FB" w:rsidP="00B270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FB" w:rsidP="00CF16C0">
    <w:pPr>
      <w:pStyle w:val="Header"/>
      <w:framePr w:wrap="around"/>
    </w:pPr>
    <w:r>
      <w:fldChar w:fldCharType="begin"/>
    </w:r>
    <w:r>
      <w:instrText xml:space="preserve"> TITLE   \* MERGEFORMAT </w:instrText>
    </w:r>
    <w:r>
      <w:fldChar w:fldCharType="separate"/>
    </w:r>
    <w:r>
      <w:t>MEA114A Certify aeronautical product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70FB" w:rsidP="00CF16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D02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D4D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6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6C0"/>
    <w:pPr>
      <w:spacing w:before="360" w:after="60"/>
      <w:outlineLvl w:val="0"/>
    </w:pPr>
    <w:rPr>
      <w:sz w:val="32"/>
    </w:rPr>
  </w:style>
  <w:style w:type="paragraph" w:styleId="Heading2">
    <w:name w:val="heading 2"/>
    <w:basedOn w:val="HeadingBase"/>
    <w:next w:val="BodyText"/>
    <w:link w:val="Heading2Char"/>
    <w:qFormat/>
    <w:rsid w:val="00CF16C0"/>
    <w:pPr>
      <w:keepLines/>
      <w:spacing w:before="240" w:after="120"/>
      <w:outlineLvl w:val="1"/>
    </w:pPr>
    <w:rPr>
      <w:sz w:val="28"/>
      <w:szCs w:val="40"/>
    </w:rPr>
  </w:style>
  <w:style w:type="paragraph" w:styleId="Heading3">
    <w:name w:val="heading 3"/>
    <w:basedOn w:val="HeadingBase"/>
    <w:next w:val="BodyText"/>
    <w:link w:val="Heading3Char"/>
    <w:qFormat/>
    <w:rsid w:val="00CF16C0"/>
    <w:pPr>
      <w:spacing w:before="180" w:after="120"/>
      <w:outlineLvl w:val="2"/>
    </w:pPr>
    <w:rPr>
      <w:spacing w:val="-10"/>
      <w:kern w:val="32"/>
    </w:rPr>
  </w:style>
  <w:style w:type="paragraph" w:styleId="Heading4">
    <w:name w:val="heading 4"/>
    <w:basedOn w:val="HeadingBase"/>
    <w:next w:val="BodyText"/>
    <w:link w:val="Heading4Char"/>
    <w:qFormat/>
    <w:rsid w:val="00CF16C0"/>
    <w:pPr>
      <w:spacing w:before="160" w:after="120"/>
      <w:outlineLvl w:val="3"/>
    </w:pPr>
    <w:rPr>
      <w:sz w:val="22"/>
    </w:rPr>
  </w:style>
  <w:style w:type="paragraph" w:styleId="Heading5">
    <w:name w:val="heading 5"/>
    <w:basedOn w:val="HeadingBase"/>
    <w:next w:val="Normal"/>
    <w:link w:val="Heading5Char"/>
    <w:qFormat/>
    <w:rsid w:val="00CF16C0"/>
    <w:pPr>
      <w:spacing w:before="80"/>
      <w:outlineLvl w:val="4"/>
    </w:pPr>
    <w:rPr>
      <w:color w:val="918585"/>
      <w:sz w:val="20"/>
    </w:rPr>
  </w:style>
  <w:style w:type="paragraph" w:styleId="Heading6">
    <w:name w:val="heading 6"/>
    <w:basedOn w:val="HeadingBase"/>
    <w:next w:val="Normal"/>
    <w:link w:val="Heading6Char"/>
    <w:qFormat/>
    <w:rsid w:val="00CF16C0"/>
    <w:pPr>
      <w:spacing w:before="60"/>
      <w:outlineLvl w:val="5"/>
    </w:pPr>
    <w:rPr>
      <w:color w:val="918585"/>
      <w:sz w:val="20"/>
    </w:rPr>
  </w:style>
  <w:style w:type="paragraph" w:styleId="Heading7">
    <w:name w:val="heading 7"/>
    <w:basedOn w:val="Normal"/>
    <w:next w:val="Normal"/>
    <w:link w:val="Heading7Char"/>
    <w:qFormat/>
    <w:rsid w:val="00CF16C0"/>
    <w:pPr>
      <w:ind w:left="720"/>
      <w:outlineLvl w:val="6"/>
    </w:pPr>
    <w:rPr>
      <w:i/>
    </w:rPr>
  </w:style>
  <w:style w:type="paragraph" w:styleId="Heading8">
    <w:name w:val="heading 8"/>
    <w:basedOn w:val="Normal"/>
    <w:next w:val="Normal"/>
    <w:link w:val="Heading8Char"/>
    <w:qFormat/>
    <w:rsid w:val="00CF16C0"/>
    <w:pPr>
      <w:ind w:left="720"/>
      <w:outlineLvl w:val="7"/>
    </w:pPr>
    <w:rPr>
      <w:i/>
    </w:rPr>
  </w:style>
  <w:style w:type="paragraph" w:styleId="Heading9">
    <w:name w:val="heading 9"/>
    <w:basedOn w:val="Normal"/>
    <w:next w:val="Normal"/>
    <w:link w:val="Heading9Char"/>
    <w:qFormat/>
    <w:rsid w:val="00CF16C0"/>
    <w:pPr>
      <w:ind w:left="720"/>
      <w:outlineLvl w:val="8"/>
    </w:pPr>
    <w:rPr>
      <w:i/>
    </w:rPr>
  </w:style>
  <w:style w:type="character" w:default="1" w:styleId="DefaultParagraphFont">
    <w:name w:val="Default Paragraph Font"/>
    <w:uiPriority w:val="1"/>
    <w:unhideWhenUsed/>
    <w:rsid w:val="00CF1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6C0"/>
  </w:style>
  <w:style w:type="character" w:customStyle="1" w:styleId="Heading1Char">
    <w:name w:val="Heading 1 Char"/>
    <w:link w:val="Heading1"/>
    <w:rsid w:val="00CF16C0"/>
    <w:rPr>
      <w:rFonts w:ascii="Times New Roman" w:eastAsia="Times New Roman" w:hAnsi="Times New Roman" w:cs="Times New Roman"/>
      <w:b/>
      <w:sz w:val="32"/>
      <w:szCs w:val="20"/>
      <w:lang w:eastAsia="en-US"/>
    </w:rPr>
  </w:style>
  <w:style w:type="paragraph" w:styleId="BodyText">
    <w:name w:val="Body Text"/>
    <w:basedOn w:val="Normal"/>
    <w:link w:val="BodyTextChar"/>
    <w:rsid w:val="00CF16C0"/>
    <w:pPr>
      <w:spacing w:before="120" w:after="120"/>
      <w:contextualSpacing/>
    </w:pPr>
    <w:rPr>
      <w:rFonts w:ascii="Times New Roman" w:hAnsi="Times New Roman"/>
      <w:sz w:val="24"/>
      <w:szCs w:val="22"/>
    </w:rPr>
  </w:style>
  <w:style w:type="character" w:customStyle="1" w:styleId="BodyTextChar">
    <w:name w:val="Body Text Char"/>
    <w:link w:val="BodyText"/>
    <w:rsid w:val="00CF16C0"/>
    <w:rPr>
      <w:rFonts w:ascii="Times New Roman" w:eastAsia="Times New Roman" w:hAnsi="Times New Roman" w:cs="Times New Roman"/>
      <w:sz w:val="24"/>
      <w:lang w:val="en-US" w:eastAsia="en-US"/>
    </w:rPr>
  </w:style>
  <w:style w:type="paragraph" w:styleId="Footer">
    <w:name w:val="footer"/>
    <w:basedOn w:val="Normal"/>
    <w:link w:val="FooterChar"/>
    <w:rsid w:val="00CF1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16C0"/>
    <w:rPr>
      <w:rFonts w:ascii="Times New Roman" w:eastAsia="Times New Roman" w:hAnsi="Times New Roman" w:cs="Times New Roman"/>
      <w:sz w:val="16"/>
      <w:lang w:val="en-US" w:eastAsia="en-US"/>
    </w:rPr>
  </w:style>
  <w:style w:type="paragraph" w:styleId="List">
    <w:name w:val="List"/>
    <w:basedOn w:val="BodyText"/>
    <w:next w:val="BodyText"/>
    <w:rsid w:val="00CF16C0"/>
    <w:pPr>
      <w:tabs>
        <w:tab w:val="left" w:pos="340"/>
      </w:tabs>
      <w:spacing w:before="60" w:after="60"/>
      <w:ind w:left="340" w:hanging="340"/>
    </w:pPr>
  </w:style>
  <w:style w:type="paragraph" w:styleId="ListBullet">
    <w:name w:val="List Bullet"/>
    <w:basedOn w:val="List"/>
    <w:rsid w:val="00CF16C0"/>
    <w:pPr>
      <w:numPr>
        <w:numId w:val="12"/>
      </w:numPr>
      <w:tabs>
        <w:tab w:val="clear" w:pos="340"/>
      </w:tabs>
      <w:spacing w:before="40" w:after="40"/>
    </w:pPr>
  </w:style>
  <w:style w:type="character" w:customStyle="1" w:styleId="SpecialBold">
    <w:name w:val="Special Bold"/>
    <w:rsid w:val="00CF16C0"/>
    <w:rPr>
      <w:b/>
      <w:spacing w:val="0"/>
    </w:rPr>
  </w:style>
  <w:style w:type="paragraph" w:styleId="Header">
    <w:name w:val="header"/>
    <w:basedOn w:val="Normal"/>
    <w:link w:val="HeaderChar"/>
    <w:rsid w:val="00CF1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16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6C0"/>
    <w:pPr>
      <w:spacing w:before="240" w:after="120"/>
      <w:outlineLvl w:val="0"/>
    </w:pPr>
    <w:rPr>
      <w:rFonts w:ascii="Times New Roman" w:hAnsi="Times New Roman"/>
      <w:b/>
      <w:sz w:val="28"/>
    </w:rPr>
  </w:style>
  <w:style w:type="paragraph" w:customStyle="1" w:styleId="AllowPageBreak">
    <w:name w:val="AllowPageBreak"/>
    <w:rsid w:val="00CF16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16C0"/>
    <w:pPr>
      <w:tabs>
        <w:tab w:val="left" w:pos="680"/>
      </w:tabs>
      <w:spacing w:before="60" w:after="60"/>
      <w:ind w:left="680" w:hanging="340"/>
    </w:pPr>
  </w:style>
  <w:style w:type="character" w:customStyle="1" w:styleId="Heading2Char">
    <w:name w:val="Heading 2 Char"/>
    <w:link w:val="Heading2"/>
    <w:rsid w:val="00CF16C0"/>
    <w:rPr>
      <w:rFonts w:ascii="Times New Roman" w:eastAsia="Times New Roman" w:hAnsi="Times New Roman" w:cs="Times New Roman"/>
      <w:b/>
      <w:sz w:val="28"/>
      <w:szCs w:val="40"/>
      <w:lang w:eastAsia="en-US"/>
    </w:rPr>
  </w:style>
  <w:style w:type="character" w:customStyle="1" w:styleId="Heading3Char">
    <w:name w:val="Heading 3 Char"/>
    <w:link w:val="Heading3"/>
    <w:rsid w:val="00CF16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16C0"/>
    <w:rPr>
      <w:rFonts w:ascii="Times New Roman" w:eastAsia="Times New Roman" w:hAnsi="Times New Roman" w:cs="Times New Roman"/>
      <w:b/>
      <w:szCs w:val="20"/>
      <w:lang w:eastAsia="en-US"/>
    </w:rPr>
  </w:style>
  <w:style w:type="character" w:customStyle="1" w:styleId="Heading5Char">
    <w:name w:val="Heading 5 Char"/>
    <w:link w:val="Heading5"/>
    <w:rsid w:val="00CF16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1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6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6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6C0"/>
    <w:rPr>
      <w:rFonts w:ascii="Courier New" w:eastAsia="Times New Roman" w:hAnsi="Courier New" w:cs="Times New Roman"/>
      <w:i/>
      <w:szCs w:val="20"/>
      <w:lang w:val="en-US" w:eastAsia="en-US"/>
    </w:rPr>
  </w:style>
  <w:style w:type="paragraph" w:customStyle="1" w:styleId="HeadingBase">
    <w:name w:val="Heading Base"/>
    <w:rsid w:val="00CF1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6C0"/>
    <w:pPr>
      <w:tabs>
        <w:tab w:val="right" w:leader="dot" w:pos="9072"/>
      </w:tabs>
      <w:ind w:left="567"/>
    </w:pPr>
    <w:rPr>
      <w:szCs w:val="22"/>
    </w:rPr>
  </w:style>
  <w:style w:type="paragraph" w:customStyle="1" w:styleId="TOCBase">
    <w:name w:val="TOC Base"/>
    <w:rsid w:val="00CF1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6C0"/>
    <w:pPr>
      <w:tabs>
        <w:tab w:val="right" w:leader="dot" w:pos="9072"/>
      </w:tabs>
      <w:spacing w:before="40" w:after="40"/>
      <w:ind w:left="284"/>
    </w:pPr>
    <w:rPr>
      <w:rFonts w:ascii="Times New Roman" w:hAnsi="Times New Roman"/>
    </w:rPr>
  </w:style>
  <w:style w:type="paragraph" w:styleId="TOC1">
    <w:name w:val="toc 1"/>
    <w:basedOn w:val="TOCBase"/>
    <w:next w:val="Normal"/>
    <w:rsid w:val="00CF16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6C0"/>
    <w:pPr>
      <w:spacing w:before="5040"/>
      <w:jc w:val="center"/>
    </w:pPr>
    <w:rPr>
      <w:sz w:val="48"/>
      <w:szCs w:val="72"/>
      <w:lang w:val="en-US"/>
    </w:rPr>
  </w:style>
  <w:style w:type="character" w:customStyle="1" w:styleId="TitleChar">
    <w:name w:val="Title Char"/>
    <w:link w:val="Title"/>
    <w:rsid w:val="00CF1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6C0"/>
    <w:pPr>
      <w:tabs>
        <w:tab w:val="left" w:pos="3600"/>
        <w:tab w:val="left" w:pos="3958"/>
      </w:tabs>
    </w:pPr>
  </w:style>
  <w:style w:type="paragraph" w:customStyle="1" w:styleId="Note">
    <w:name w:val="Note"/>
    <w:basedOn w:val="BodyText"/>
    <w:rsid w:val="00CF1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6C0"/>
    <w:pPr>
      <w:framePr w:wrap="auto" w:hAnchor="text" w:y="6049"/>
    </w:pPr>
    <w:rPr>
      <w:color w:val="000000"/>
      <w:sz w:val="40"/>
    </w:rPr>
  </w:style>
  <w:style w:type="paragraph" w:customStyle="1" w:styleId="TOCTitle">
    <w:name w:val="TOCTitle"/>
    <w:basedOn w:val="Heading1"/>
    <w:rsid w:val="00CF16C0"/>
    <w:pPr>
      <w:spacing w:after="240"/>
      <w:jc w:val="center"/>
      <w:outlineLvl w:val="9"/>
    </w:pPr>
    <w:rPr>
      <w:caps/>
    </w:rPr>
  </w:style>
  <w:style w:type="paragraph" w:customStyle="1" w:styleId="Version">
    <w:name w:val="Version"/>
    <w:rsid w:val="00CF16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6C0"/>
    <w:pPr>
      <w:numPr>
        <w:numId w:val="13"/>
      </w:numPr>
      <w:tabs>
        <w:tab w:val="clear" w:pos="680"/>
      </w:tabs>
    </w:pPr>
  </w:style>
  <w:style w:type="paragraph" w:styleId="Index1">
    <w:name w:val="index 1"/>
    <w:basedOn w:val="Normal"/>
    <w:next w:val="Normal"/>
    <w:semiHidden/>
    <w:rsid w:val="00CF16C0"/>
    <w:pPr>
      <w:keepNext w:val="0"/>
      <w:tabs>
        <w:tab w:val="right" w:pos="4176"/>
      </w:tabs>
      <w:ind w:left="198" w:hanging="198"/>
    </w:pPr>
    <w:rPr>
      <w:rFonts w:ascii="Garamond" w:hAnsi="Garamond"/>
    </w:rPr>
  </w:style>
  <w:style w:type="paragraph" w:styleId="IndexHeading">
    <w:name w:val="index heading"/>
    <w:basedOn w:val="Normal"/>
    <w:next w:val="Index1"/>
    <w:semiHidden/>
    <w:rsid w:val="00CF16C0"/>
    <w:pPr>
      <w:spacing w:before="120" w:after="120"/>
    </w:pPr>
    <w:rPr>
      <w:rFonts w:ascii="Arial" w:hAnsi="Arial"/>
      <w:b/>
      <w:color w:val="918585"/>
      <w:sz w:val="24"/>
    </w:rPr>
  </w:style>
  <w:style w:type="paragraph" w:customStyle="1" w:styleId="Chapter">
    <w:name w:val="Chapter"/>
    <w:basedOn w:val="Normal"/>
    <w:rsid w:val="00CF16C0"/>
    <w:pPr>
      <w:spacing w:before="240"/>
    </w:pPr>
    <w:rPr>
      <w:rFonts w:ascii="Times New Roman" w:hAnsi="Times New Roman"/>
      <w:smallCaps/>
      <w:spacing w:val="80"/>
      <w:sz w:val="28"/>
    </w:rPr>
  </w:style>
  <w:style w:type="paragraph" w:customStyle="1" w:styleId="InChapter">
    <w:name w:val="InChapter"/>
    <w:basedOn w:val="Heading3"/>
    <w:rsid w:val="00CF16C0"/>
    <w:pPr>
      <w:spacing w:after="240"/>
      <w:outlineLvl w:val="9"/>
    </w:pPr>
    <w:rPr>
      <w:noProof/>
    </w:rPr>
  </w:style>
  <w:style w:type="paragraph" w:styleId="Index2">
    <w:name w:val="index 2"/>
    <w:basedOn w:val="Normal"/>
    <w:next w:val="Normal"/>
    <w:semiHidden/>
    <w:rsid w:val="00CF16C0"/>
    <w:pPr>
      <w:tabs>
        <w:tab w:val="right" w:pos="4176"/>
      </w:tabs>
      <w:ind w:left="568" w:hanging="284"/>
    </w:pPr>
    <w:rPr>
      <w:rFonts w:ascii="Garamond" w:hAnsi="Garamond"/>
    </w:rPr>
  </w:style>
  <w:style w:type="paragraph" w:customStyle="1" w:styleId="Byline">
    <w:name w:val="Byline"/>
    <w:rsid w:val="00CF1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6C0"/>
    <w:pPr>
      <w:tabs>
        <w:tab w:val="clear" w:pos="3600"/>
        <w:tab w:val="clear" w:pos="3958"/>
      </w:tabs>
      <w:jc w:val="right"/>
    </w:pPr>
  </w:style>
  <w:style w:type="character" w:styleId="Emphasis">
    <w:name w:val="Emphasis"/>
    <w:qFormat/>
    <w:rsid w:val="00CF16C0"/>
    <w:rPr>
      <w:i/>
    </w:rPr>
  </w:style>
  <w:style w:type="paragraph" w:styleId="Caption">
    <w:name w:val="caption"/>
    <w:basedOn w:val="BodyText"/>
    <w:next w:val="Normal"/>
    <w:qFormat/>
    <w:rsid w:val="00CF16C0"/>
    <w:pPr>
      <w:framePr w:w="2268" w:hSpace="181" w:vSpace="181" w:wrap="around" w:vAnchor="text" w:hAnchor="page" w:x="1135" w:y="285" w:anchorLock="1"/>
    </w:pPr>
    <w:rPr>
      <w:i/>
    </w:rPr>
  </w:style>
  <w:style w:type="paragraph" w:customStyle="1" w:styleId="MiniTOCTitle">
    <w:name w:val="MiniTOCTitle"/>
    <w:basedOn w:val="Heading4"/>
    <w:rsid w:val="00CF16C0"/>
    <w:pPr>
      <w:spacing w:before="240"/>
      <w:outlineLvl w:val="9"/>
    </w:pPr>
    <w:rPr>
      <w:noProof/>
      <w:sz w:val="24"/>
    </w:rPr>
  </w:style>
  <w:style w:type="paragraph" w:customStyle="1" w:styleId="MiniTOCItem">
    <w:name w:val="MiniTOCItem"/>
    <w:basedOn w:val="ListBullet"/>
    <w:rsid w:val="00CF16C0"/>
    <w:pPr>
      <w:numPr>
        <w:numId w:val="0"/>
      </w:numPr>
      <w:tabs>
        <w:tab w:val="right" w:leader="dot" w:pos="6521"/>
      </w:tabs>
      <w:spacing w:before="0" w:after="0"/>
    </w:pPr>
  </w:style>
  <w:style w:type="paragraph" w:customStyle="1" w:styleId="TOFTitle">
    <w:name w:val="TOFTitle"/>
    <w:basedOn w:val="TOCTitle"/>
    <w:rsid w:val="00CF16C0"/>
  </w:style>
  <w:style w:type="paragraph" w:styleId="TableofFigures">
    <w:name w:val="table of figures"/>
    <w:basedOn w:val="Normal"/>
    <w:next w:val="Normal"/>
    <w:semiHidden/>
    <w:rsid w:val="00CF16C0"/>
    <w:pPr>
      <w:tabs>
        <w:tab w:val="right" w:leader="dot" w:pos="9072"/>
      </w:tabs>
      <w:ind w:left="970" w:hanging="403"/>
    </w:pPr>
    <w:rPr>
      <w:rFonts w:ascii="Times New Roman" w:hAnsi="Times New Roman"/>
      <w:b/>
    </w:rPr>
  </w:style>
  <w:style w:type="paragraph" w:styleId="ListNumber">
    <w:name w:val="List Number"/>
    <w:basedOn w:val="List"/>
    <w:rsid w:val="00CF16C0"/>
    <w:pPr>
      <w:numPr>
        <w:numId w:val="10"/>
      </w:numPr>
    </w:pPr>
  </w:style>
  <w:style w:type="character" w:customStyle="1" w:styleId="WingdingSymbols">
    <w:name w:val="Wingding Symbols"/>
    <w:rsid w:val="00CF16C0"/>
    <w:rPr>
      <w:rFonts w:ascii="Wingdings" w:hAnsi="Wingdings"/>
    </w:rPr>
  </w:style>
  <w:style w:type="paragraph" w:customStyle="1" w:styleId="TableHeading">
    <w:name w:val="Table Heading"/>
    <w:basedOn w:val="HeadingBase"/>
    <w:rsid w:val="00CF16C0"/>
    <w:pPr>
      <w:keepLines/>
      <w:pBdr>
        <w:bottom w:val="single" w:sz="6" w:space="1" w:color="918585"/>
      </w:pBdr>
      <w:spacing w:before="240"/>
    </w:pPr>
  </w:style>
  <w:style w:type="character" w:customStyle="1" w:styleId="HotSpot">
    <w:name w:val="HotSpot"/>
    <w:rsid w:val="00CF16C0"/>
    <w:rPr>
      <w:color w:val="0033CC"/>
      <w:u w:val="none"/>
    </w:rPr>
  </w:style>
  <w:style w:type="paragraph" w:customStyle="1" w:styleId="BodyTextRight">
    <w:name w:val="Body Text Right"/>
    <w:basedOn w:val="BodyText"/>
    <w:rsid w:val="00CF16C0"/>
    <w:pPr>
      <w:spacing w:before="0" w:after="0"/>
      <w:jc w:val="right"/>
    </w:pPr>
  </w:style>
  <w:style w:type="paragraph" w:styleId="Index3">
    <w:name w:val="index 3"/>
    <w:basedOn w:val="ListNumber2"/>
    <w:next w:val="Normal"/>
    <w:semiHidden/>
    <w:rsid w:val="00CF16C0"/>
    <w:pPr>
      <w:numPr>
        <w:numId w:val="0"/>
      </w:numPr>
      <w:tabs>
        <w:tab w:val="right" w:leader="dot" w:pos="4176"/>
      </w:tabs>
    </w:pPr>
  </w:style>
  <w:style w:type="paragraph" w:styleId="ListNumber2">
    <w:name w:val="List Number 2"/>
    <w:basedOn w:val="List2"/>
    <w:rsid w:val="00CF16C0"/>
    <w:pPr>
      <w:numPr>
        <w:numId w:val="9"/>
      </w:numPr>
      <w:tabs>
        <w:tab w:val="clear" w:pos="1060"/>
      </w:tabs>
    </w:pPr>
  </w:style>
  <w:style w:type="paragraph" w:customStyle="1" w:styleId="MarginNote">
    <w:name w:val="Margin Note"/>
    <w:basedOn w:val="BodyText"/>
    <w:rsid w:val="00CF1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16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6C0"/>
    <w:rPr>
      <w:sz w:val="32"/>
    </w:rPr>
  </w:style>
  <w:style w:type="paragraph" w:customStyle="1" w:styleId="HeadingProcedure">
    <w:name w:val="Heading Procedure"/>
    <w:basedOn w:val="HeadingBase"/>
    <w:next w:val="Normal"/>
    <w:rsid w:val="00CF16C0"/>
    <w:pPr>
      <w:tabs>
        <w:tab w:val="left" w:pos="0"/>
      </w:tabs>
      <w:spacing w:before="120" w:after="60"/>
    </w:pPr>
    <w:rPr>
      <w:i/>
      <w:color w:val="918585"/>
      <w:sz w:val="22"/>
    </w:rPr>
  </w:style>
  <w:style w:type="paragraph" w:customStyle="1" w:styleId="TableBodyText">
    <w:name w:val="Table Body Text"/>
    <w:basedOn w:val="BodyText"/>
    <w:rsid w:val="00CF16C0"/>
    <w:pPr>
      <w:spacing w:before="60" w:after="60"/>
    </w:pPr>
  </w:style>
  <w:style w:type="paragraph" w:styleId="ListContinue">
    <w:name w:val="List Continue"/>
    <w:basedOn w:val="List"/>
    <w:rsid w:val="00CF16C0"/>
    <w:pPr>
      <w:ind w:firstLine="0"/>
    </w:pPr>
  </w:style>
  <w:style w:type="paragraph" w:customStyle="1" w:styleId="ListNote">
    <w:name w:val="List Note"/>
    <w:basedOn w:val="List"/>
    <w:rsid w:val="00CF16C0"/>
    <w:pPr>
      <w:pBdr>
        <w:top w:val="single" w:sz="6" w:space="2" w:color="918585"/>
        <w:bottom w:val="single" w:sz="6" w:space="2" w:color="918585"/>
      </w:pBdr>
      <w:tabs>
        <w:tab w:val="left" w:pos="1021"/>
      </w:tabs>
      <w:ind w:firstLine="0"/>
    </w:pPr>
  </w:style>
  <w:style w:type="paragraph" w:customStyle="1" w:styleId="Warning">
    <w:name w:val="Warning"/>
    <w:basedOn w:val="BodyText"/>
    <w:rsid w:val="00CF16C0"/>
    <w:pPr>
      <w:shd w:val="clear" w:color="auto" w:fill="D9D9D9"/>
      <w:tabs>
        <w:tab w:val="left" w:pos="992"/>
      </w:tabs>
      <w:ind w:left="119" w:right="119"/>
    </w:pPr>
    <w:rPr>
      <w:sz w:val="20"/>
    </w:rPr>
  </w:style>
  <w:style w:type="paragraph" w:customStyle="1" w:styleId="MarginIcons">
    <w:name w:val="Margin Icons"/>
    <w:basedOn w:val="BodyText"/>
    <w:rsid w:val="00CF16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16C0"/>
    <w:rPr>
      <w:rFonts w:ascii="Courier New" w:hAnsi="Courier New"/>
    </w:rPr>
  </w:style>
  <w:style w:type="paragraph" w:customStyle="1" w:styleId="NoteBullet">
    <w:name w:val="Note Bullet"/>
    <w:basedOn w:val="Note"/>
    <w:rsid w:val="00CF16C0"/>
    <w:pPr>
      <w:tabs>
        <w:tab w:val="clear" w:pos="680"/>
      </w:tabs>
      <w:spacing w:before="60" w:after="60"/>
    </w:pPr>
  </w:style>
  <w:style w:type="paragraph" w:customStyle="1" w:styleId="SubHeading2">
    <w:name w:val="SubHeading2"/>
    <w:basedOn w:val="HeadingBase"/>
    <w:rsid w:val="00CF16C0"/>
    <w:pPr>
      <w:spacing w:before="240" w:after="60"/>
    </w:pPr>
    <w:rPr>
      <w:sz w:val="20"/>
    </w:rPr>
  </w:style>
  <w:style w:type="paragraph" w:customStyle="1" w:styleId="SubHeading1">
    <w:name w:val="SubHeading1"/>
    <w:basedOn w:val="HeadingBase"/>
    <w:rsid w:val="00CF16C0"/>
    <w:pPr>
      <w:spacing w:before="240" w:after="60"/>
    </w:pPr>
    <w:rPr>
      <w:color w:val="918585"/>
      <w:sz w:val="22"/>
    </w:rPr>
  </w:style>
  <w:style w:type="paragraph" w:customStyle="1" w:styleId="SideHeading">
    <w:name w:val="Side Heading"/>
    <w:basedOn w:val="HeadingBase"/>
    <w:rsid w:val="00CF1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6C0"/>
    <w:pPr>
      <w:tabs>
        <w:tab w:val="num" w:pos="360"/>
      </w:tabs>
    </w:pPr>
  </w:style>
  <w:style w:type="paragraph" w:styleId="PlainText">
    <w:name w:val="Plain Text"/>
    <w:basedOn w:val="Normal"/>
    <w:link w:val="PlainTextChar"/>
    <w:rsid w:val="00CF16C0"/>
    <w:rPr>
      <w:sz w:val="20"/>
    </w:rPr>
  </w:style>
  <w:style w:type="character" w:customStyle="1" w:styleId="PlainTextChar">
    <w:name w:val="Plain Text Char"/>
    <w:basedOn w:val="DefaultParagraphFont"/>
    <w:link w:val="PlainText"/>
    <w:rsid w:val="00CF16C0"/>
    <w:rPr>
      <w:rFonts w:ascii="Courier New" w:eastAsia="Times New Roman" w:hAnsi="Courier New" w:cs="Times New Roman"/>
      <w:sz w:val="20"/>
      <w:szCs w:val="20"/>
      <w:lang w:val="en-US" w:eastAsia="en-US"/>
    </w:rPr>
  </w:style>
  <w:style w:type="character" w:customStyle="1" w:styleId="MenuOption">
    <w:name w:val="Menu Option"/>
    <w:rsid w:val="00CF16C0"/>
    <w:rPr>
      <w:b/>
      <w:smallCaps/>
    </w:rPr>
  </w:style>
  <w:style w:type="paragraph" w:customStyle="1" w:styleId="TableListNumber">
    <w:name w:val="Table List Number"/>
    <w:basedOn w:val="ListNumber"/>
    <w:rsid w:val="00CF16C0"/>
    <w:pPr>
      <w:numPr>
        <w:numId w:val="0"/>
      </w:numPr>
    </w:pPr>
  </w:style>
  <w:style w:type="paragraph" w:styleId="TOC4">
    <w:name w:val="toc 4"/>
    <w:basedOn w:val="TOCBase"/>
    <w:next w:val="Normal"/>
    <w:semiHidden/>
    <w:rsid w:val="00CF16C0"/>
    <w:pPr>
      <w:tabs>
        <w:tab w:val="right" w:leader="dot" w:pos="9071"/>
      </w:tabs>
      <w:ind w:left="1701"/>
    </w:pPr>
  </w:style>
  <w:style w:type="paragraph" w:customStyle="1" w:styleId="ListAlpha">
    <w:name w:val="List Alpha"/>
    <w:basedOn w:val="List"/>
    <w:rsid w:val="00CF16C0"/>
    <w:pPr>
      <w:numPr>
        <w:numId w:val="8"/>
      </w:numPr>
    </w:pPr>
  </w:style>
  <w:style w:type="paragraph" w:customStyle="1" w:styleId="ListAlpha2">
    <w:name w:val="List Alpha 2"/>
    <w:basedOn w:val="List2"/>
    <w:rsid w:val="00CF16C0"/>
    <w:pPr>
      <w:numPr>
        <w:numId w:val="7"/>
      </w:numPr>
    </w:pPr>
  </w:style>
  <w:style w:type="paragraph" w:styleId="List3">
    <w:name w:val="List 3"/>
    <w:basedOn w:val="BodyText"/>
    <w:rsid w:val="00CF16C0"/>
    <w:pPr>
      <w:tabs>
        <w:tab w:val="left" w:pos="1021"/>
      </w:tabs>
      <w:spacing w:before="60" w:after="60"/>
      <w:ind w:left="1020" w:hanging="340"/>
    </w:pPr>
  </w:style>
  <w:style w:type="paragraph" w:styleId="List4">
    <w:name w:val="List 4"/>
    <w:basedOn w:val="BodyText"/>
    <w:rsid w:val="00CF16C0"/>
    <w:pPr>
      <w:tabs>
        <w:tab w:val="left" w:pos="1361"/>
      </w:tabs>
      <w:spacing w:before="60" w:after="60"/>
      <w:ind w:left="1361" w:hanging="340"/>
    </w:pPr>
  </w:style>
  <w:style w:type="paragraph" w:styleId="List5">
    <w:name w:val="List 5"/>
    <w:basedOn w:val="BodyText"/>
    <w:rsid w:val="00CF16C0"/>
    <w:pPr>
      <w:tabs>
        <w:tab w:val="left" w:pos="1701"/>
      </w:tabs>
      <w:spacing w:before="60" w:after="60"/>
      <w:ind w:left="1701" w:hanging="340"/>
    </w:pPr>
  </w:style>
  <w:style w:type="paragraph" w:styleId="ListBullet3">
    <w:name w:val="List Bullet 3"/>
    <w:basedOn w:val="List3"/>
    <w:rsid w:val="00CF16C0"/>
    <w:pPr>
      <w:numPr>
        <w:numId w:val="14"/>
      </w:numPr>
      <w:tabs>
        <w:tab w:val="clear" w:pos="1021"/>
      </w:tabs>
      <w:ind w:left="1037" w:hanging="357"/>
    </w:pPr>
  </w:style>
  <w:style w:type="paragraph" w:styleId="ListBullet4">
    <w:name w:val="List Bullet 4"/>
    <w:basedOn w:val="List4"/>
    <w:rsid w:val="00CF16C0"/>
    <w:pPr>
      <w:numPr>
        <w:numId w:val="2"/>
      </w:numPr>
    </w:pPr>
  </w:style>
  <w:style w:type="paragraph" w:styleId="ListBullet5">
    <w:name w:val="List Bullet 5"/>
    <w:basedOn w:val="List5"/>
    <w:rsid w:val="00CF16C0"/>
    <w:pPr>
      <w:numPr>
        <w:numId w:val="3"/>
      </w:numPr>
    </w:pPr>
  </w:style>
  <w:style w:type="paragraph" w:styleId="ListContinue2">
    <w:name w:val="List Continue 2"/>
    <w:basedOn w:val="List2"/>
    <w:rsid w:val="00CF16C0"/>
    <w:pPr>
      <w:ind w:firstLine="0"/>
    </w:pPr>
  </w:style>
  <w:style w:type="paragraph" w:styleId="ListContinue3">
    <w:name w:val="List Continue 3"/>
    <w:basedOn w:val="List3"/>
    <w:rsid w:val="00CF16C0"/>
    <w:pPr>
      <w:ind w:left="1021" w:firstLine="0"/>
    </w:pPr>
  </w:style>
  <w:style w:type="paragraph" w:styleId="ListContinue4">
    <w:name w:val="List Continue 4"/>
    <w:basedOn w:val="List4"/>
    <w:rsid w:val="00CF16C0"/>
    <w:pPr>
      <w:ind w:firstLine="0"/>
    </w:pPr>
  </w:style>
  <w:style w:type="paragraph" w:styleId="ListContinue5">
    <w:name w:val="List Continue 5"/>
    <w:basedOn w:val="List5"/>
    <w:rsid w:val="00CF16C0"/>
    <w:pPr>
      <w:ind w:firstLine="0"/>
    </w:pPr>
  </w:style>
  <w:style w:type="paragraph" w:styleId="ListNumber3">
    <w:name w:val="List Number 3"/>
    <w:basedOn w:val="List3"/>
    <w:rsid w:val="00CF16C0"/>
    <w:pPr>
      <w:numPr>
        <w:numId w:val="4"/>
      </w:numPr>
    </w:pPr>
  </w:style>
  <w:style w:type="paragraph" w:styleId="ListNumber4">
    <w:name w:val="List Number 4"/>
    <w:basedOn w:val="List4"/>
    <w:rsid w:val="00CF16C0"/>
    <w:pPr>
      <w:numPr>
        <w:numId w:val="5"/>
      </w:numPr>
    </w:pPr>
  </w:style>
  <w:style w:type="paragraph" w:styleId="ListNumber5">
    <w:name w:val="List Number 5"/>
    <w:basedOn w:val="List5"/>
    <w:rsid w:val="00CF16C0"/>
    <w:pPr>
      <w:numPr>
        <w:numId w:val="6"/>
      </w:numPr>
    </w:pPr>
  </w:style>
  <w:style w:type="paragraph" w:styleId="BlockText">
    <w:name w:val="Block Text"/>
    <w:basedOn w:val="Normal"/>
    <w:rsid w:val="00CF16C0"/>
    <w:pPr>
      <w:spacing w:after="120"/>
      <w:ind w:left="1440" w:right="1440"/>
    </w:pPr>
  </w:style>
  <w:style w:type="character" w:customStyle="1" w:styleId="Subscript">
    <w:name w:val="Subscript"/>
    <w:rsid w:val="00CF16C0"/>
    <w:rPr>
      <w:sz w:val="16"/>
      <w:vertAlign w:val="subscript"/>
    </w:rPr>
  </w:style>
  <w:style w:type="character" w:customStyle="1" w:styleId="Superscript">
    <w:name w:val="Superscript"/>
    <w:rsid w:val="00CF16C0"/>
    <w:rPr>
      <w:sz w:val="16"/>
      <w:vertAlign w:val="superscript"/>
    </w:rPr>
  </w:style>
  <w:style w:type="character" w:customStyle="1" w:styleId="Symbols">
    <w:name w:val="Symbols"/>
    <w:rsid w:val="00CF16C0"/>
    <w:rPr>
      <w:rFonts w:ascii="Symbol" w:hAnsi="Symbol"/>
    </w:rPr>
  </w:style>
  <w:style w:type="character" w:customStyle="1" w:styleId="MenuOptions">
    <w:name w:val="Menu Options"/>
    <w:rsid w:val="00CF16C0"/>
    <w:rPr>
      <w:rFonts w:ascii="Arial Narrow" w:hAnsi="Arial Narrow"/>
      <w:smallCaps/>
    </w:rPr>
  </w:style>
  <w:style w:type="character" w:customStyle="1" w:styleId="Buttons">
    <w:name w:val="Buttons"/>
    <w:rsid w:val="00CF16C0"/>
    <w:rPr>
      <w:b/>
    </w:rPr>
  </w:style>
  <w:style w:type="character" w:customStyle="1" w:styleId="Underlined">
    <w:name w:val="Underlined"/>
    <w:rsid w:val="00CF16C0"/>
    <w:rPr>
      <w:u w:val="single"/>
    </w:rPr>
  </w:style>
  <w:style w:type="paragraph" w:customStyle="1" w:styleId="TableBodyTextRight">
    <w:name w:val="Table Body Text Right"/>
    <w:basedOn w:val="TableBodyText"/>
    <w:rsid w:val="00CF16C0"/>
    <w:pPr>
      <w:widowControl w:val="0"/>
      <w:autoSpaceDE w:val="0"/>
      <w:autoSpaceDN w:val="0"/>
      <w:adjustRightInd w:val="0"/>
      <w:jc w:val="right"/>
    </w:pPr>
    <w:rPr>
      <w:rFonts w:cs="Arial"/>
      <w:szCs w:val="18"/>
    </w:rPr>
  </w:style>
  <w:style w:type="paragraph" w:customStyle="1" w:styleId="CopyrightText">
    <w:name w:val="Copyright Text"/>
    <w:basedOn w:val="BodyText"/>
    <w:rsid w:val="00CF16C0"/>
    <w:rPr>
      <w:sz w:val="18"/>
    </w:rPr>
  </w:style>
  <w:style w:type="paragraph" w:customStyle="1" w:styleId="BodySmallRight">
    <w:name w:val="Body Small Right"/>
    <w:basedOn w:val="BodyTextRight"/>
    <w:rsid w:val="00CF16C0"/>
    <w:rPr>
      <w:sz w:val="18"/>
      <w:szCs w:val="18"/>
    </w:rPr>
  </w:style>
  <w:style w:type="paragraph" w:customStyle="1" w:styleId="MarginEdition">
    <w:name w:val="Margin Edition"/>
    <w:basedOn w:val="MarginNote"/>
    <w:rsid w:val="00CF16C0"/>
    <w:pPr>
      <w:spacing w:before="0" w:after="0"/>
    </w:pPr>
    <w:rPr>
      <w:rFonts w:ascii="Times New Roman" w:hAnsi="Times New Roman"/>
      <w:color w:val="999999"/>
    </w:rPr>
  </w:style>
  <w:style w:type="paragraph" w:customStyle="1" w:styleId="Spacer">
    <w:name w:val="Spacer"/>
    <w:basedOn w:val="Normal"/>
    <w:rsid w:val="00CF16C0"/>
    <w:rPr>
      <w:sz w:val="2"/>
      <w:szCs w:val="2"/>
    </w:rPr>
  </w:style>
  <w:style w:type="character" w:customStyle="1" w:styleId="Small">
    <w:name w:val="Small"/>
    <w:rsid w:val="00CF16C0"/>
    <w:rPr>
      <w:sz w:val="16"/>
    </w:rPr>
  </w:style>
  <w:style w:type="paragraph" w:customStyle="1" w:styleId="WideTable">
    <w:name w:val="Wide Table"/>
    <w:basedOn w:val="Normal"/>
    <w:rsid w:val="00CF16C0"/>
    <w:pPr>
      <w:ind w:left="-1418"/>
    </w:pPr>
    <w:rPr>
      <w:sz w:val="2"/>
      <w:szCs w:val="2"/>
    </w:rPr>
  </w:style>
  <w:style w:type="character" w:styleId="PageNumber">
    <w:name w:val="page number"/>
    <w:rsid w:val="00CF16C0"/>
  </w:style>
  <w:style w:type="paragraph" w:styleId="Quote">
    <w:name w:val="Quote"/>
    <w:basedOn w:val="Heading1"/>
    <w:link w:val="QuoteChar"/>
    <w:qFormat/>
    <w:rsid w:val="00CF16C0"/>
    <w:rPr>
      <w:b w:val="0"/>
      <w:sz w:val="72"/>
      <w:szCs w:val="72"/>
      <w:lang w:val="en-NZ"/>
    </w:rPr>
  </w:style>
  <w:style w:type="character" w:customStyle="1" w:styleId="QuoteChar">
    <w:name w:val="Quote Char"/>
    <w:link w:val="Quote"/>
    <w:rsid w:val="00CF1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6C0"/>
    <w:pPr>
      <w:pageBreakBefore/>
    </w:pPr>
  </w:style>
  <w:style w:type="paragraph" w:customStyle="1" w:styleId="Border">
    <w:name w:val="Border"/>
    <w:basedOn w:val="Normal"/>
    <w:qFormat/>
    <w:rsid w:val="00CF16C0"/>
    <w:pPr>
      <w:pBdr>
        <w:top w:val="single" w:sz="18" w:space="1" w:color="auto"/>
      </w:pBdr>
    </w:pPr>
    <w:rPr>
      <w:rFonts w:ascii="Times New Roman" w:hAnsi="Times New Roman"/>
      <w:color w:val="FFFFFF"/>
      <w:sz w:val="2"/>
    </w:rPr>
  </w:style>
  <w:style w:type="character" w:styleId="IntenseEmphasis">
    <w:name w:val="Intense Emphasis"/>
    <w:uiPriority w:val="21"/>
    <w:qFormat/>
    <w:rsid w:val="00CF16C0"/>
    <w:rPr>
      <w:b/>
      <w:bCs/>
      <w:i/>
      <w:iCs/>
      <w:color w:val="auto"/>
    </w:rPr>
  </w:style>
  <w:style w:type="paragraph" w:styleId="IntenseQuote">
    <w:name w:val="Intense Quote"/>
    <w:basedOn w:val="Normal"/>
    <w:next w:val="Normal"/>
    <w:link w:val="IntenseQuoteChar"/>
    <w:uiPriority w:val="30"/>
    <w:qFormat/>
    <w:rsid w:val="00CF16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16C0"/>
    <w:rPr>
      <w:rFonts w:ascii="Courier New" w:eastAsia="Times New Roman" w:hAnsi="Courier New" w:cs="Times New Roman"/>
      <w:b/>
      <w:bCs/>
      <w:i/>
      <w:iCs/>
      <w:szCs w:val="20"/>
      <w:lang w:val="en-US" w:eastAsia="en-US"/>
    </w:rPr>
  </w:style>
  <w:style w:type="character" w:styleId="SubtleReference">
    <w:name w:val="Subtle Reference"/>
    <w:uiPriority w:val="31"/>
    <w:qFormat/>
    <w:rsid w:val="00CF16C0"/>
    <w:rPr>
      <w:smallCaps/>
      <w:color w:val="auto"/>
      <w:u w:val="single"/>
    </w:rPr>
  </w:style>
  <w:style w:type="character" w:styleId="IntenseReference">
    <w:name w:val="Intense Reference"/>
    <w:uiPriority w:val="32"/>
    <w:qFormat/>
    <w:rsid w:val="00CF16C0"/>
    <w:rPr>
      <w:b/>
      <w:bCs/>
      <w:smallCaps/>
      <w:color w:val="auto"/>
      <w:spacing w:val="5"/>
      <w:u w:val="single"/>
    </w:rPr>
  </w:style>
  <w:style w:type="paragraph" w:customStyle="1" w:styleId="2ColumnHeading">
    <w:name w:val="2Column Heading"/>
    <w:basedOn w:val="BodyText"/>
    <w:qFormat/>
    <w:rsid w:val="00CF16C0"/>
    <w:pPr>
      <w:spacing w:after="60"/>
      <w:ind w:left="-2268"/>
    </w:pPr>
    <w:rPr>
      <w:b/>
    </w:rPr>
  </w:style>
  <w:style w:type="paragraph" w:customStyle="1" w:styleId="Heading1TOC">
    <w:name w:val="Heading1 TOC"/>
    <w:basedOn w:val="Normal"/>
    <w:qFormat/>
    <w:rsid w:val="00CF16C0"/>
    <w:pPr>
      <w:spacing w:before="240" w:after="120"/>
    </w:pPr>
    <w:rPr>
      <w:rFonts w:ascii="Times New Roman" w:hAnsi="Times New Roman"/>
      <w:b/>
      <w:sz w:val="32"/>
    </w:rPr>
  </w:style>
  <w:style w:type="paragraph" w:customStyle="1" w:styleId="Heading2TOC">
    <w:name w:val="Heading2 TOC"/>
    <w:basedOn w:val="Normal"/>
    <w:qFormat/>
    <w:rsid w:val="00CF16C0"/>
    <w:pPr>
      <w:spacing w:before="240" w:after="60"/>
    </w:pPr>
    <w:rPr>
      <w:rFonts w:ascii="Times New Roman" w:hAnsi="Times New Roman"/>
      <w:b/>
      <w:sz w:val="28"/>
    </w:rPr>
  </w:style>
  <w:style w:type="character" w:customStyle="1" w:styleId="Underline">
    <w:name w:val="Underline"/>
    <w:qFormat/>
    <w:rsid w:val="00CF16C0"/>
    <w:rPr>
      <w:u w:val="single"/>
    </w:rPr>
  </w:style>
  <w:style w:type="character" w:customStyle="1" w:styleId="BoldandItalics">
    <w:name w:val="Bold and Italics"/>
    <w:qFormat/>
    <w:rsid w:val="00CF16C0"/>
    <w:rPr>
      <w:b/>
      <w:i/>
      <w:u w:val="none"/>
    </w:rPr>
  </w:style>
  <w:style w:type="paragraph" w:styleId="BalloonText">
    <w:name w:val="Balloon Text"/>
    <w:basedOn w:val="Normal"/>
    <w:link w:val="BalloonTextChar"/>
    <w:rsid w:val="00CF16C0"/>
    <w:rPr>
      <w:rFonts w:ascii="Tahoma" w:hAnsi="Tahoma" w:cs="Tahoma"/>
      <w:sz w:val="16"/>
      <w:szCs w:val="16"/>
    </w:rPr>
  </w:style>
  <w:style w:type="character" w:customStyle="1" w:styleId="BalloonTextChar">
    <w:name w:val="Balloon Text Char"/>
    <w:link w:val="BalloonText"/>
    <w:rsid w:val="00CF16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6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16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6552</Characters>
  <Application>Microsoft Office Word</Application>
  <DocSecurity>0</DocSecurity>
  <Lines>189</Lines>
  <Paragraphs>90</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MEA114A Certify aeronautical product maintenance</dc:title>
  <dc:subject>Approved</dc:subject>
  <dc:creator>Manufacturing Skills Australia</dc:creator>
  <cp:keywords>Revision Number: 2</cp:keywords>
  <dc:description>Copyright © 1996-2007 Author-it Software Corporation Ltd., all rights reserved.</dc:description>
  <cp:lastModifiedBy>Andrew Campey</cp:lastModifiedBy>
  <cp:revision>3</cp:revision>
  <dcterms:created xsi:type="dcterms:W3CDTF">2012-05-27T08:43:00Z</dcterms:created>
  <dcterms:modified xsi:type="dcterms:W3CDTF">2012-05-27T08:43:00Z</dcterms:modified>
</cp:coreProperties>
</file>