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7A0" w:rsidP="00674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MEASTR0018 Evaluate aircraft non-destructive tests</w:t>
      </w:r>
      <w:r>
        <w:fldChar w:fldCharType="end"/>
      </w:r>
    </w:p>
    <w:p w:rsidR="006747A0" w:rsidP="006747A0">
      <w:pPr>
        <w:pStyle w:val="Version"/>
        <w:sectPr w:rsidSect="00C47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3EB" w:rsidP="00C473EB">
      <w:pPr>
        <w:pStyle w:val="SuperHeading"/>
      </w:pPr>
      <w:r w:rsidRPr="00C473EB">
        <w:t>Assessment Requirements for MEASTR0018 Evaluate aircraft non-destructive tests</w:t>
      </w:r>
    </w:p>
    <w:p w:rsidR="00000000" w:rsidRPr="00C473EB" w:rsidP="00C473EB">
      <w:pPr>
        <w:pStyle w:val="Heading1"/>
      </w:pPr>
      <w:bookmarkStart w:id="1" w:name="O_1250418"/>
      <w:bookmarkEnd w:id="1"/>
      <w:r w:rsidRPr="00C473EB">
        <w:t>Modification History</w:t>
      </w:r>
    </w:p>
    <w:p w:rsidR="006747A0" w:rsidP="006747A0">
      <w:pPr>
        <w:pStyle w:val="BodyText"/>
      </w:pPr>
      <w:r w:rsidRPr="00C473EB">
        <w:t xml:space="preserve">Release 1. Application changed. Elements and Performance Criteria </w:t>
      </w:r>
      <w:r w:rsidRPr="00C473EB">
        <w:t>changed. Foundation Skills made explicit. Assessment Requirements clarified. Supersedes and is equivalent to MEA424 Evaluate aircraft non-destructive tests.</w:t>
      </w:r>
    </w:p>
    <w:p w:rsidR="00000000" w:rsidRPr="00C473EB" w:rsidP="00C473EB">
      <w:pPr>
        <w:pStyle w:val="Heading1"/>
      </w:pPr>
      <w:bookmarkStart w:id="2" w:name="O_1250419"/>
      <w:bookmarkEnd w:id="2"/>
      <w:r w:rsidRPr="00C473EB">
        <w:t>Performance Evidence</w:t>
      </w:r>
    </w:p>
    <w:p w:rsidR="00000000" w:rsidRPr="00C473EB" w:rsidP="006747A0">
      <w:pPr>
        <w:pStyle w:val="BodyText"/>
      </w:pPr>
      <w:r w:rsidRPr="00C473EB">
        <w:t>There must be evidence the candidate has completed all the</w:t>
      </w:r>
      <w:r w:rsidRPr="00C473EB">
        <w:t xml:space="preserve"> tasks outlined in the elements and performance criteria in this unit, and demonstrated the ability to:</w:t>
      </w:r>
    </w:p>
    <w:p w:rsidR="00000000" w:rsidRPr="00C473EB" w:rsidP="00C473EB">
      <w:pPr>
        <w:pStyle w:val="ListBullet"/>
      </w:pPr>
      <w:r w:rsidRPr="00C473EB">
        <w:t>evaluate aircraft non-destructive tests (NDT) from the list below three times:</w:t>
      </w:r>
    </w:p>
    <w:p w:rsidR="00000000" w:rsidRPr="00C473EB" w:rsidP="00C473EB">
      <w:pPr>
        <w:pStyle w:val="ListBullet2"/>
      </w:pPr>
      <w:r w:rsidRPr="00C473EB">
        <w:t>penetrant testing</w:t>
      </w:r>
    </w:p>
    <w:p w:rsidR="00000000" w:rsidRPr="00C473EB" w:rsidP="00C473EB">
      <w:pPr>
        <w:pStyle w:val="ListBullet2"/>
      </w:pPr>
      <w:r w:rsidRPr="00C473EB">
        <w:t>magnetic particle testing</w:t>
      </w:r>
    </w:p>
    <w:p w:rsidR="00000000" w:rsidRPr="00C473EB" w:rsidP="00C473EB">
      <w:pPr>
        <w:pStyle w:val="ListBullet2"/>
      </w:pPr>
      <w:r w:rsidRPr="00C473EB">
        <w:t>eddy current testing</w:t>
      </w:r>
    </w:p>
    <w:p w:rsidR="00000000" w:rsidRPr="00C473EB" w:rsidP="00C473EB">
      <w:pPr>
        <w:pStyle w:val="ListBullet2"/>
      </w:pPr>
      <w:r w:rsidRPr="00C473EB">
        <w:t>ultras</w:t>
      </w:r>
      <w:r w:rsidRPr="00C473EB">
        <w:t>onic testing</w:t>
      </w:r>
    </w:p>
    <w:p w:rsidR="00000000" w:rsidRPr="00C473EB" w:rsidP="00C473EB">
      <w:pPr>
        <w:pStyle w:val="ListBullet2"/>
      </w:pPr>
      <w:r w:rsidRPr="00C473EB">
        <w:t>radiographic testing</w:t>
      </w:r>
    </w:p>
    <w:p w:rsidR="00000000" w:rsidRPr="00C473EB" w:rsidP="00C473EB">
      <w:pPr>
        <w:pStyle w:val="ListBullet"/>
      </w:pPr>
      <w:r w:rsidRPr="00C473EB">
        <w:t>conduct metallurgical assessment of inspection areas and identify potential failure sites and modes to inform techniques and procedures</w:t>
      </w:r>
    </w:p>
    <w:p w:rsidR="00000000" w:rsidRPr="00C473EB" w:rsidP="00C473EB">
      <w:pPr>
        <w:pStyle w:val="ListBullet"/>
      </w:pPr>
      <w:r w:rsidRPr="00C473EB">
        <w:t>designate most appropriate method, technique or procedure</w:t>
      </w:r>
    </w:p>
    <w:p w:rsidR="00000000" w:rsidRPr="00C473EB" w:rsidP="00C473EB">
      <w:pPr>
        <w:pStyle w:val="ListBullet"/>
      </w:pPr>
      <w:r w:rsidRPr="00C473EB">
        <w:t>apply safety procedures, standard operating procedures and legislative requirements to all work</w:t>
      </w:r>
    </w:p>
    <w:p w:rsidR="00000000" w:rsidRPr="00C473EB" w:rsidP="00C473EB">
      <w:pPr>
        <w:pStyle w:val="ListBullet"/>
      </w:pPr>
      <w:r w:rsidRPr="00C473EB">
        <w:t>read, interpret and apply relevant testing standards</w:t>
      </w:r>
    </w:p>
    <w:p w:rsidR="006747A0" w:rsidP="00C473EB">
      <w:pPr>
        <w:pStyle w:val="ListBullet"/>
      </w:pPr>
      <w:r w:rsidRPr="00C473EB">
        <w:t>read and interpret applied relative conformance standards.</w:t>
      </w:r>
    </w:p>
    <w:p w:rsidR="006747A0" w:rsidP="00C473EB">
      <w:pPr>
        <w:pStyle w:val="ListBullet"/>
      </w:pPr>
    </w:p>
    <w:p w:rsidR="00000000" w:rsidRPr="00C473EB" w:rsidP="00C473EB">
      <w:pPr>
        <w:pStyle w:val="Heading1"/>
      </w:pPr>
      <w:bookmarkStart w:id="3" w:name="O_1250420"/>
      <w:bookmarkEnd w:id="3"/>
      <w:r w:rsidRPr="00C473EB">
        <w:t>Knowledge Evidence</w:t>
      </w:r>
    </w:p>
    <w:p w:rsidR="00000000" w:rsidRPr="00C473EB" w:rsidP="006747A0">
      <w:pPr>
        <w:pStyle w:val="BodyText"/>
      </w:pPr>
      <w:r w:rsidRPr="00C473EB">
        <w:t>There mus</w:t>
      </w:r>
      <w:r w:rsidRPr="00C473EB">
        <w:t>t be evidence the candidate has knowledge of:</w:t>
      </w:r>
    </w:p>
    <w:p w:rsidR="00000000" w:rsidRPr="00C473EB" w:rsidP="00C473EB">
      <w:pPr>
        <w:pStyle w:val="ListBullet"/>
      </w:pPr>
      <w:r w:rsidRPr="00C473EB">
        <w:t>definitions of structural terms, including safe life, damage tolerant, failsafe, stress, strain, shear and cycles</w:t>
      </w:r>
    </w:p>
    <w:p w:rsidR="00000000" w:rsidRPr="00C473EB" w:rsidP="00C473EB">
      <w:pPr>
        <w:pStyle w:val="ListBullet"/>
      </w:pPr>
      <w:r w:rsidRPr="00C473EB">
        <w:t>inspection requirements for metal and composite structure, including:</w:t>
      </w:r>
    </w:p>
    <w:p w:rsidR="00000000" w:rsidRPr="00C473EB" w:rsidP="00C473EB">
      <w:pPr>
        <w:pStyle w:val="ListBullet2"/>
      </w:pPr>
      <w:r w:rsidRPr="00C473EB">
        <w:t>ageing aircraft inspecti</w:t>
      </w:r>
      <w:r w:rsidRPr="00C473EB">
        <w:t>on requirements</w:t>
      </w:r>
    </w:p>
    <w:p w:rsidR="00000000" w:rsidRPr="00C473EB" w:rsidP="00C473EB">
      <w:pPr>
        <w:pStyle w:val="ListBullet2"/>
      </w:pPr>
      <w:r w:rsidRPr="00C473EB">
        <w:t>safe life structure</w:t>
      </w:r>
    </w:p>
    <w:p w:rsidR="00000000" w:rsidRPr="00C473EB" w:rsidP="00C473EB">
      <w:pPr>
        <w:pStyle w:val="ListBullet2"/>
      </w:pPr>
      <w:r w:rsidRPr="00C473EB">
        <w:t>damage tolerant structure</w:t>
      </w:r>
    </w:p>
    <w:p w:rsidR="00000000" w:rsidRPr="00C473EB" w:rsidP="00C473EB">
      <w:pPr>
        <w:pStyle w:val="ListBullet2"/>
      </w:pPr>
      <w:r w:rsidRPr="00C473EB">
        <w:t>fail safe structure</w:t>
      </w:r>
    </w:p>
    <w:p w:rsidR="00000000" w:rsidRPr="00C473EB" w:rsidP="00C473EB">
      <w:pPr>
        <w:pStyle w:val="ListBullet"/>
      </w:pPr>
      <w:r w:rsidRPr="00C473EB">
        <w:t>potential causes of structural failure</w:t>
      </w:r>
    </w:p>
    <w:p w:rsidR="00000000" w:rsidRPr="00C473EB" w:rsidP="00C473EB">
      <w:pPr>
        <w:pStyle w:val="ListBullet"/>
      </w:pPr>
      <w:r w:rsidRPr="00C473EB">
        <w:t>metallurgical analysis to assess inspection areas and potential failure sites and modes</w:t>
      </w:r>
    </w:p>
    <w:p w:rsidR="00000000" w:rsidRPr="00C473EB" w:rsidP="00C473EB">
      <w:pPr>
        <w:pStyle w:val="ListBullet"/>
      </w:pPr>
      <w:r w:rsidRPr="00C473EB">
        <w:t>NDT methods, techniques and procedures</w:t>
      </w:r>
    </w:p>
    <w:p w:rsidR="00000000" w:rsidRPr="00C473EB" w:rsidP="00C473EB">
      <w:pPr>
        <w:pStyle w:val="ListBullet"/>
      </w:pPr>
      <w:r w:rsidRPr="00C473EB">
        <w:t>meaning and validity of relevant codes, standards, specifications and procedures</w:t>
      </w:r>
    </w:p>
    <w:p w:rsidR="00000000" w:rsidRPr="00C473EB" w:rsidP="00C473EB">
      <w:pPr>
        <w:pStyle w:val="ListBullet"/>
      </w:pPr>
      <w:r w:rsidRPr="00C473EB">
        <w:t>regulatory requirements of the Australian Defence Force (ADF) and Civil Aviation Safety Authority (CASA) for using NDT for inspection of aircraft structure and components</w:t>
      </w:r>
    </w:p>
    <w:p w:rsidR="00000000" w:rsidRPr="00C473EB" w:rsidP="00C473EB">
      <w:pPr>
        <w:pStyle w:val="ListBullet"/>
      </w:pPr>
      <w:r w:rsidRPr="00C473EB">
        <w:t>test</w:t>
      </w:r>
      <w:r w:rsidRPr="00C473EB">
        <w:t xml:space="preserve"> procedures for testing techniques and specimens</w:t>
      </w:r>
    </w:p>
    <w:p w:rsidR="00000000" w:rsidRPr="00C473EB" w:rsidP="00C473EB">
      <w:pPr>
        <w:pStyle w:val="ListBullet"/>
      </w:pPr>
      <w:r w:rsidRPr="00C473EB">
        <w:t>validation processes</w:t>
      </w:r>
    </w:p>
    <w:p w:rsidR="00000000" w:rsidRPr="00C473EB" w:rsidP="00C473EB">
      <w:pPr>
        <w:pStyle w:val="ListBullet"/>
      </w:pPr>
      <w:r w:rsidRPr="00C473EB">
        <w:t>process for approval of procedures</w:t>
      </w:r>
    </w:p>
    <w:p w:rsidR="00000000" w:rsidRPr="00C473EB" w:rsidP="00C473EB">
      <w:pPr>
        <w:pStyle w:val="ListBullet"/>
      </w:pPr>
      <w:r w:rsidRPr="00C473EB">
        <w:t>process for documentation/distribution of procedures</w:t>
      </w:r>
    </w:p>
    <w:p w:rsidR="00000000" w:rsidRPr="00C473EB" w:rsidP="00C473EB">
      <w:pPr>
        <w:pStyle w:val="ListBullet"/>
      </w:pPr>
      <w:r w:rsidRPr="00C473EB">
        <w:t>evaluation procedures</w:t>
      </w:r>
    </w:p>
    <w:p w:rsidR="00000000" w:rsidRPr="00C473EB" w:rsidP="00C473EB">
      <w:pPr>
        <w:pStyle w:val="ListBullet"/>
      </w:pPr>
      <w:r w:rsidRPr="00C473EB">
        <w:t>process for documentation of evaluation results</w:t>
      </w:r>
    </w:p>
    <w:p w:rsidR="00000000" w:rsidRPr="00C473EB" w:rsidP="00C473EB">
      <w:pPr>
        <w:pStyle w:val="ListBullet"/>
      </w:pPr>
      <w:r w:rsidRPr="00C473EB">
        <w:t>process for amending tests a</w:t>
      </w:r>
      <w:r w:rsidRPr="00C473EB">
        <w:t>nd distributing amendments</w:t>
      </w:r>
    </w:p>
    <w:p w:rsidR="00000000" w:rsidRPr="00C473EB" w:rsidP="00C473EB">
      <w:pPr>
        <w:pStyle w:val="ListBullet"/>
      </w:pPr>
      <w:r w:rsidRPr="00C473EB">
        <w:t>Australian Standards, National Occupational Health and Safety Council (NOHSC) guides, and state and territory regulatory codes of practice and standards, including:</w:t>
      </w:r>
    </w:p>
    <w:p w:rsidR="00000000" w:rsidRPr="00C473EB" w:rsidP="00C473EB">
      <w:pPr>
        <w:pStyle w:val="ListBullet2"/>
      </w:pPr>
      <w:r w:rsidRPr="00C473EB">
        <w:t xml:space="preserve">Defence Aviation Safety Authority (DASA) AAP7002.053 Technical </w:t>
      </w:r>
      <w:r w:rsidRPr="00C473EB">
        <w:t xml:space="preserve">airworthiness Management Manual  </w:t>
      </w:r>
    </w:p>
    <w:p w:rsidR="00000000" w:rsidRPr="00C473EB" w:rsidP="00C473EB">
      <w:pPr>
        <w:pStyle w:val="ListBullet2"/>
      </w:pPr>
      <w:r w:rsidRPr="00C473EB">
        <w:t>Civil Aviation Safety Regulations (CASR)</w:t>
      </w:r>
    </w:p>
    <w:p w:rsidR="00000000" w:rsidRPr="00C473EB" w:rsidP="00C473EB">
      <w:pPr>
        <w:pStyle w:val="ListBullet2"/>
      </w:pPr>
      <w:r w:rsidRPr="00C473EB">
        <w:t>overseas airworthiness regulators, such as the Federal Aviation Authority (FAA), European Aviation Safety Authority (EASA) and Transport Canada</w:t>
      </w:r>
    </w:p>
    <w:p w:rsidR="00000000" w:rsidRPr="00C473EB" w:rsidP="00C473EB">
      <w:pPr>
        <w:pStyle w:val="ListBullet2"/>
      </w:pPr>
      <w:r w:rsidRPr="00C473EB">
        <w:t>AS 3669-–</w:t>
      </w:r>
      <w:r w:rsidRPr="00C473EB">
        <w:t>2006 Non-destructive testing – Qualification and approval of personnel – Aerospace</w:t>
      </w:r>
    </w:p>
    <w:p w:rsidR="00000000" w:rsidRPr="00C473EB" w:rsidP="00C473EB">
      <w:pPr>
        <w:pStyle w:val="ListBullet2"/>
      </w:pPr>
      <w:r w:rsidRPr="00C473EB">
        <w:t xml:space="preserve">NAS410 Revision 2 Certification and qualification of non-destructive testing personnel (February 2003)  </w:t>
      </w:r>
    </w:p>
    <w:p w:rsidR="00000000" w:rsidRPr="00C473EB" w:rsidP="00C473EB">
      <w:pPr>
        <w:pStyle w:val="ListBullet2"/>
      </w:pPr>
      <w:r w:rsidRPr="00C473EB">
        <w:t>BS EN 4179:2009 Aerospace series. Qualification and approval of pers</w:t>
      </w:r>
      <w:r w:rsidRPr="00C473EB">
        <w:t>onnel for non-destructive testing</w:t>
      </w:r>
    </w:p>
    <w:p w:rsidR="00000000" w:rsidRPr="00C473EB" w:rsidP="00C473EB">
      <w:pPr>
        <w:pStyle w:val="ListBullet2"/>
      </w:pPr>
      <w:r w:rsidRPr="00C473EB">
        <w:t>BS EN 473:2008 Non-destructive testing. Qualification and certification of NDT personnel. General principles</w:t>
      </w:r>
    </w:p>
    <w:p w:rsidR="00000000" w:rsidRPr="00C473EB" w:rsidP="00C473EB">
      <w:pPr>
        <w:pStyle w:val="ListBullet2"/>
      </w:pPr>
      <w:r w:rsidRPr="00C473EB">
        <w:t xml:space="preserve">ISO 9712:2005 Non-destructive testing – Qualification and certification of personnel  </w:t>
      </w:r>
    </w:p>
    <w:p w:rsidR="00000000" w:rsidRPr="00C473EB" w:rsidP="00C473EB">
      <w:pPr>
        <w:pStyle w:val="ListBullet2"/>
      </w:pPr>
      <w:r w:rsidRPr="00C473EB">
        <w:t>applicable materials and e</w:t>
      </w:r>
      <w:r w:rsidRPr="00C473EB">
        <w:t>quipment specifications</w:t>
      </w:r>
    </w:p>
    <w:p w:rsidR="00000000" w:rsidRPr="00C473EB" w:rsidP="00C473EB">
      <w:pPr>
        <w:pStyle w:val="ListBullet"/>
      </w:pPr>
      <w:r w:rsidRPr="00C473EB">
        <w:t>use and application of personal protective equipment (PPE)</w:t>
      </w:r>
    </w:p>
    <w:p w:rsidR="00000000" w:rsidRPr="00C473EB" w:rsidP="00C473EB">
      <w:pPr>
        <w:pStyle w:val="ListBullet"/>
      </w:pPr>
      <w:r w:rsidRPr="00C473EB">
        <w:t>safe work practices and procedures</w:t>
      </w:r>
    </w:p>
    <w:p w:rsidR="006747A0" w:rsidP="00C473EB">
      <w:pPr>
        <w:pStyle w:val="ListBullet"/>
      </w:pPr>
      <w:r w:rsidRPr="00C473EB">
        <w:t>relevant hazards and control measures related to the competency.</w:t>
      </w:r>
    </w:p>
    <w:p w:rsidR="006747A0" w:rsidP="00C473EB">
      <w:pPr>
        <w:pStyle w:val="ListBullet"/>
      </w:pPr>
    </w:p>
    <w:p w:rsidR="00000000" w:rsidRPr="00C473EB" w:rsidP="00C473EB">
      <w:pPr>
        <w:pStyle w:val="Heading1"/>
      </w:pPr>
      <w:bookmarkStart w:id="4" w:name="O_1250421"/>
      <w:bookmarkEnd w:id="4"/>
      <w:r w:rsidRPr="00C473EB">
        <w:t>Assessment Conditions</w:t>
      </w:r>
    </w:p>
    <w:p w:rsidR="00000000" w:rsidRPr="00C473EB" w:rsidP="006747A0">
      <w:pPr>
        <w:pStyle w:val="BodyText"/>
      </w:pPr>
      <w:r w:rsidRPr="00C473EB">
        <w:t>The following conditions of as</w:t>
      </w:r>
      <w:r w:rsidRPr="00C473EB">
        <w:t>sessment represent the requirements of the regulators (DASA and CASA) and maintenance stakeholders and must be rigorously observed.</w:t>
      </w:r>
    </w:p>
    <w:p w:rsidR="00000000" w:rsidRPr="00C473EB" w:rsidP="006747A0">
      <w:pPr>
        <w:pStyle w:val="BodyText"/>
      </w:pPr>
      <w:r w:rsidRPr="00C473EB">
        <w:t>Skills must have been demonstrated under routine supervision in the workplace or in a simulated environment that reflects workplace conditions and contingencies encountered in evaluating aircraft non-destructive tests (NDT), or a combination of both. The f</w:t>
      </w:r>
      <w:r w:rsidRPr="00C473EB">
        <w:t>ollowing conditions must be met for this unit:</w:t>
      </w:r>
    </w:p>
    <w:p w:rsidR="00000000" w:rsidRPr="00C473EB" w:rsidP="00C473EB">
      <w:pPr>
        <w:pStyle w:val="ListBullet"/>
      </w:pPr>
      <w:r w:rsidRPr="00C473EB">
        <w:t>use of suitable facilities, equipment and resources, including:</w:t>
      </w:r>
    </w:p>
    <w:p w:rsidR="00000000" w:rsidRPr="00C473EB" w:rsidP="00C473EB">
      <w:pPr>
        <w:pStyle w:val="ListBullet2"/>
      </w:pPr>
      <w:r w:rsidRPr="00C473EB">
        <w:t>workplace procedures, product and manufacturing specifications, codes, standards, manuals, and reference materials relevant to evaluating aircr</w:t>
      </w:r>
      <w:r w:rsidRPr="00C473EB">
        <w:t>aft non-destructive tests</w:t>
      </w:r>
    </w:p>
    <w:p w:rsidR="00000000" w:rsidRPr="00C473EB" w:rsidP="00C473EB">
      <w:pPr>
        <w:pStyle w:val="ListBullet2"/>
      </w:pPr>
      <w:r w:rsidRPr="00C473EB">
        <w:t>tools, equipment and materials required.</w:t>
      </w:r>
    </w:p>
    <w:p w:rsidR="00000000" w:rsidRPr="00C473EB" w:rsidP="006747A0">
      <w:pPr>
        <w:pStyle w:val="BodyText"/>
      </w:pPr>
      <w:r w:rsidRPr="00C473EB">
        <w:t>Evidence of tasks demonstrating competency must be recorded in a log of industrial experience and acheivement.</w:t>
      </w:r>
    </w:p>
    <w:p w:rsidR="006747A0" w:rsidP="006747A0">
      <w:pPr>
        <w:pStyle w:val="BodyText"/>
      </w:pPr>
      <w:r w:rsidRPr="00C473EB">
        <w:t>Assessors must satisfy the NVR/AQTF mandatory competency requirements for asse</w:t>
      </w:r>
      <w:r w:rsidRPr="00C473EB">
        <w:t>ssors and must be qualified at AS 3669-2006 Non-destructive testing – Qualification and approval of personnel – Aerospace Level 3.</w:t>
      </w:r>
    </w:p>
    <w:p w:rsidR="00000000" w:rsidRPr="00C473EB" w:rsidP="00C473EB">
      <w:pPr>
        <w:pStyle w:val="Heading1"/>
      </w:pPr>
      <w:bookmarkStart w:id="5" w:name="O_1250424"/>
      <w:bookmarkEnd w:id="5"/>
      <w:r w:rsidRPr="00C473EB">
        <w:t>Links</w:t>
      </w:r>
    </w:p>
    <w:p w:rsidR="00000000" w:rsidRPr="00C473EB" w:rsidP="006747A0">
      <w:pPr>
        <w:pStyle w:val="BodyText"/>
      </w:pPr>
      <w:r w:rsidRPr="00C473E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D145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473EB" w:rsidP="00C473EB"/>
    <w:sectPr w:rsidSect="00C47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EB" w:rsidRPr="006747A0" w:rsidP="00674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A0" w:rsidP="00C47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7A0" w:rsidP="00C47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47A0" w:rsidP="00C47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3EB" w:rsidRPr="006747A0" w:rsidP="00674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7A0" w:rsidRPr="002D2AF8" w:rsidP="00C47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MEASTR0018 Evaluate aircraft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6747A0" w:rsidP="00C47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80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5EA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DE5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3EB"/>
  </w:style>
  <w:style w:type="character" w:customStyle="1" w:styleId="Heading1Char">
    <w:name w:val="Heading 1 Char"/>
    <w:basedOn w:val="DefaultParagraphFont"/>
    <w:link w:val="Heading1"/>
    <w:rsid w:val="00C47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3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3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73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3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3EB"/>
    <w:rPr>
      <w:b/>
      <w:spacing w:val="0"/>
    </w:rPr>
  </w:style>
  <w:style w:type="paragraph" w:customStyle="1" w:styleId="SuperTitle">
    <w:name w:val="SuperTitle"/>
    <w:basedOn w:val="Title"/>
    <w:rsid w:val="00C47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3EB"/>
    <w:rPr>
      <w:i/>
    </w:rPr>
  </w:style>
  <w:style w:type="paragraph" w:styleId="Caption">
    <w:name w:val="caption"/>
    <w:basedOn w:val="BodyText"/>
    <w:next w:val="Normal"/>
    <w:qFormat/>
    <w:rsid w:val="00C47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3EB"/>
  </w:style>
  <w:style w:type="paragraph" w:styleId="TableofFigures">
    <w:name w:val="table of figures"/>
    <w:basedOn w:val="Normal"/>
    <w:next w:val="Normal"/>
    <w:semiHidden/>
    <w:rsid w:val="00C47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3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3EB"/>
    <w:rPr>
      <w:rFonts w:ascii="Wingdings" w:hAnsi="Wingdings"/>
    </w:rPr>
  </w:style>
  <w:style w:type="paragraph" w:customStyle="1" w:styleId="TableHeading">
    <w:name w:val="Table Heading"/>
    <w:basedOn w:val="HeadingBase"/>
    <w:rsid w:val="00C47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3EB"/>
    <w:rPr>
      <w:color w:val="0033CC"/>
      <w:u w:val="none"/>
    </w:rPr>
  </w:style>
  <w:style w:type="paragraph" w:customStyle="1" w:styleId="BodyTextRight">
    <w:name w:val="Body Text Right"/>
    <w:basedOn w:val="BodyText"/>
    <w:rsid w:val="00C47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3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3EB"/>
    <w:rPr>
      <w:sz w:val="32"/>
    </w:rPr>
  </w:style>
  <w:style w:type="paragraph" w:customStyle="1" w:styleId="HeadingProcedure">
    <w:name w:val="Heading Procedure"/>
    <w:basedOn w:val="HeadingBase"/>
    <w:next w:val="Normal"/>
    <w:rsid w:val="00C47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3EB"/>
    <w:pPr>
      <w:spacing w:before="60" w:after="60"/>
    </w:pPr>
  </w:style>
  <w:style w:type="paragraph" w:styleId="ListContinue">
    <w:name w:val="List Continue"/>
    <w:basedOn w:val="List"/>
    <w:rsid w:val="00C473EB"/>
    <w:pPr>
      <w:ind w:firstLine="0"/>
    </w:pPr>
  </w:style>
  <w:style w:type="paragraph" w:customStyle="1" w:styleId="ListNote">
    <w:name w:val="List Note"/>
    <w:basedOn w:val="List"/>
    <w:rsid w:val="00C47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3EB"/>
    <w:rPr>
      <w:rFonts w:ascii="Courier New" w:hAnsi="Courier New"/>
    </w:rPr>
  </w:style>
  <w:style w:type="paragraph" w:customStyle="1" w:styleId="NoteBullet">
    <w:name w:val="Note Bullet"/>
    <w:basedOn w:val="Note"/>
    <w:rsid w:val="00C47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3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3EB"/>
    <w:rPr>
      <w:b/>
      <w:smallCaps/>
    </w:rPr>
  </w:style>
  <w:style w:type="paragraph" w:customStyle="1" w:styleId="TableListNumber">
    <w:name w:val="Table List Number"/>
    <w:basedOn w:val="ListNumber"/>
    <w:rsid w:val="00C47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3EB"/>
    <w:pPr>
      <w:numPr>
        <w:numId w:val="9"/>
      </w:numPr>
    </w:pPr>
  </w:style>
  <w:style w:type="paragraph" w:customStyle="1" w:styleId="ListAlpha2">
    <w:name w:val="List Alpha 2"/>
    <w:basedOn w:val="List2"/>
    <w:rsid w:val="00C473EB"/>
    <w:pPr>
      <w:numPr>
        <w:numId w:val="8"/>
      </w:numPr>
    </w:pPr>
  </w:style>
  <w:style w:type="paragraph" w:styleId="List2">
    <w:name w:val="List 2"/>
    <w:basedOn w:val="BodyText"/>
    <w:rsid w:val="00C47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3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3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3EB"/>
    <w:pPr>
      <w:numPr>
        <w:numId w:val="4"/>
      </w:numPr>
    </w:pPr>
  </w:style>
  <w:style w:type="paragraph" w:styleId="ListContinue2">
    <w:name w:val="List Continue 2"/>
    <w:basedOn w:val="List2"/>
    <w:rsid w:val="00C473EB"/>
    <w:pPr>
      <w:ind w:firstLine="0"/>
    </w:pPr>
  </w:style>
  <w:style w:type="paragraph" w:styleId="ListContinue3">
    <w:name w:val="List Continue 3"/>
    <w:basedOn w:val="List3"/>
    <w:rsid w:val="00C473EB"/>
    <w:pPr>
      <w:ind w:left="1021" w:firstLine="0"/>
    </w:pPr>
  </w:style>
  <w:style w:type="paragraph" w:styleId="ListContinue4">
    <w:name w:val="List Continue 4"/>
    <w:basedOn w:val="List4"/>
    <w:rsid w:val="00C473EB"/>
    <w:pPr>
      <w:ind w:firstLine="0"/>
    </w:pPr>
  </w:style>
  <w:style w:type="paragraph" w:styleId="ListContinue5">
    <w:name w:val="List Continue 5"/>
    <w:basedOn w:val="List5"/>
    <w:rsid w:val="00C473EB"/>
    <w:pPr>
      <w:ind w:firstLine="0"/>
    </w:pPr>
  </w:style>
  <w:style w:type="paragraph" w:styleId="ListNumber3">
    <w:name w:val="List Number 3"/>
    <w:basedOn w:val="List3"/>
    <w:rsid w:val="00C473EB"/>
    <w:pPr>
      <w:numPr>
        <w:numId w:val="5"/>
      </w:numPr>
    </w:pPr>
  </w:style>
  <w:style w:type="paragraph" w:styleId="ListNumber4">
    <w:name w:val="List Number 4"/>
    <w:basedOn w:val="List4"/>
    <w:rsid w:val="00C473EB"/>
    <w:pPr>
      <w:numPr>
        <w:numId w:val="6"/>
      </w:numPr>
    </w:pPr>
  </w:style>
  <w:style w:type="paragraph" w:styleId="ListNumber5">
    <w:name w:val="List Number 5"/>
    <w:basedOn w:val="List5"/>
    <w:rsid w:val="00C473EB"/>
    <w:pPr>
      <w:numPr>
        <w:numId w:val="7"/>
      </w:numPr>
    </w:pPr>
  </w:style>
  <w:style w:type="paragraph" w:styleId="BlockText">
    <w:name w:val="Block Text"/>
    <w:basedOn w:val="Normal"/>
    <w:rsid w:val="00C47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3EB"/>
    <w:rPr>
      <w:sz w:val="16"/>
      <w:vertAlign w:val="superscript"/>
    </w:rPr>
  </w:style>
  <w:style w:type="character" w:customStyle="1" w:styleId="Symbols">
    <w:name w:val="Symbols"/>
    <w:basedOn w:val="DefaultParagraphFont"/>
    <w:rsid w:val="00C473EB"/>
    <w:rPr>
      <w:rFonts w:ascii="Symbol" w:hAnsi="Symbol"/>
    </w:rPr>
  </w:style>
  <w:style w:type="character" w:customStyle="1" w:styleId="MenuOptions">
    <w:name w:val="Menu Options"/>
    <w:basedOn w:val="DefaultParagraphFont"/>
    <w:rsid w:val="00C47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3EB"/>
    <w:rPr>
      <w:b/>
    </w:rPr>
  </w:style>
  <w:style w:type="character" w:customStyle="1" w:styleId="Underlined">
    <w:name w:val="Underlined"/>
    <w:basedOn w:val="DefaultParagraphFont"/>
    <w:rsid w:val="00C473EB"/>
    <w:rPr>
      <w:u w:val="single"/>
    </w:rPr>
  </w:style>
  <w:style w:type="paragraph" w:customStyle="1" w:styleId="TableBodyTextRight">
    <w:name w:val="Table Body Text Right"/>
    <w:basedOn w:val="TableBodyText"/>
    <w:rsid w:val="00C47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3EB"/>
    <w:rPr>
      <w:sz w:val="18"/>
    </w:rPr>
  </w:style>
  <w:style w:type="paragraph" w:customStyle="1" w:styleId="BodySmallRight">
    <w:name w:val="Body Small Right"/>
    <w:basedOn w:val="BodyTextRight"/>
    <w:rsid w:val="00C473EB"/>
    <w:rPr>
      <w:sz w:val="18"/>
      <w:szCs w:val="18"/>
    </w:rPr>
  </w:style>
  <w:style w:type="paragraph" w:customStyle="1" w:styleId="MarginEdition">
    <w:name w:val="Margin Edition"/>
    <w:basedOn w:val="MarginNote"/>
    <w:rsid w:val="00C47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3EB"/>
    <w:rPr>
      <w:sz w:val="2"/>
      <w:szCs w:val="2"/>
    </w:rPr>
  </w:style>
  <w:style w:type="character" w:customStyle="1" w:styleId="Small">
    <w:name w:val="Small"/>
    <w:basedOn w:val="DefaultParagraphFont"/>
    <w:rsid w:val="00C473EB"/>
    <w:rPr>
      <w:sz w:val="16"/>
    </w:rPr>
  </w:style>
  <w:style w:type="paragraph" w:customStyle="1" w:styleId="WideTable">
    <w:name w:val="Wide Table"/>
    <w:basedOn w:val="Normal"/>
    <w:rsid w:val="00C47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3EB"/>
  </w:style>
  <w:style w:type="paragraph" w:styleId="Quote">
    <w:name w:val="Quote"/>
    <w:basedOn w:val="Heading1"/>
    <w:link w:val="QuoteChar"/>
    <w:qFormat/>
    <w:rsid w:val="00C47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3EB"/>
    <w:pPr>
      <w:pageBreakBefore/>
    </w:pPr>
  </w:style>
  <w:style w:type="paragraph" w:customStyle="1" w:styleId="Border">
    <w:name w:val="Border"/>
    <w:basedOn w:val="Normal"/>
    <w:qFormat/>
    <w:rsid w:val="00C47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3EB"/>
    <w:rPr>
      <w:u w:val="single"/>
    </w:rPr>
  </w:style>
  <w:style w:type="character" w:customStyle="1" w:styleId="BoldandItalics">
    <w:name w:val="Bold and Italics"/>
    <w:qFormat/>
    <w:rsid w:val="00C473EB"/>
    <w:rPr>
      <w:b/>
      <w:i/>
      <w:u w:val="none"/>
    </w:rPr>
  </w:style>
  <w:style w:type="paragraph" w:styleId="BalloonText">
    <w:name w:val="Balloon Text"/>
    <w:basedOn w:val="Normal"/>
    <w:link w:val="BalloonTextChar"/>
    <w:rsid w:val="00C47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3EB"/>
    <w:pPr>
      <w:spacing w:before="0" w:after="0"/>
    </w:pPr>
  </w:style>
  <w:style w:type="paragraph" w:customStyle="1" w:styleId="BodyTextBold">
    <w:name w:val="Body Text Bold"/>
    <w:basedOn w:val="BodyText"/>
    <w:qFormat/>
    <w:rsid w:val="00C473EB"/>
    <w:rPr>
      <w:b/>
    </w:rPr>
  </w:style>
  <w:style w:type="character" w:styleId="Hyperlink">
    <w:name w:val="Hyperlink"/>
    <w:basedOn w:val="DefaultParagraphFont"/>
    <w:uiPriority w:val="99"/>
    <w:unhideWhenUsed/>
    <w:rsid w:val="00674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4217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MEASTR0018 Evaluate aircraft non-destructive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2022-11-22T01:22:00Z</dcterms:created>
  <dcterms:modified xsi:type="dcterms:W3CDTF">2022-11-22T01:22:00Z</dcterms:modified>
</cp:coreProperties>
</file>