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A67" w:rsidP="00E95A67">
      <w:pPr>
        <w:pStyle w:val="Title"/>
      </w:pPr>
      <w:r>
        <w:fldChar w:fldCharType="begin"/>
      </w:r>
      <w:r>
        <w:instrText xml:space="preserve"> TITLE   \* MERGEFORMAT </w:instrText>
      </w:r>
      <w:r>
        <w:fldChar w:fldCharType="separate"/>
      </w:r>
      <w:r>
        <w:t>Assessment Requirements for MEASTR0017 Perform major disassembly and reassembly on aircraft structure</w:t>
      </w:r>
      <w:r>
        <w:fldChar w:fldCharType="end"/>
      </w:r>
    </w:p>
    <w:p w:rsidR="00E95A67" w:rsidP="00E95A67">
      <w:pPr>
        <w:pStyle w:val="Version"/>
        <w:sectPr w:rsidSect="00F62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B56" w:rsidP="00F62B56">
      <w:pPr>
        <w:pStyle w:val="SuperHeading"/>
      </w:pPr>
      <w:r w:rsidRPr="00F62B56">
        <w:t>Assessment Requirements for MEASTR0017 Perform major disassembly and reassembly on aircraft structure</w:t>
      </w:r>
    </w:p>
    <w:p w:rsidR="00000000" w:rsidRPr="00F62B56" w:rsidP="00F62B56">
      <w:pPr>
        <w:pStyle w:val="Heading1"/>
      </w:pPr>
      <w:bookmarkStart w:id="1" w:name="O_1250361"/>
      <w:bookmarkEnd w:id="1"/>
      <w:r w:rsidRPr="00F62B56">
        <w:t>Modification History</w:t>
      </w:r>
    </w:p>
    <w:p w:rsidR="00E95A67" w:rsidP="00E95A67">
      <w:pPr>
        <w:pStyle w:val="BodyText"/>
      </w:pPr>
      <w:r w:rsidRPr="00F62B56">
        <w:t>Release 1. Application changed. Elements an</w:t>
      </w:r>
      <w:r w:rsidRPr="00F62B56">
        <w:t>d Performance Criteria changed. Foundation Skills made explicit. Range of Conditions removed, and relevant information moved to Assessment Requirements. Assessment Requirements clarified. Supersedes and is equivalent to MEA423 Aircraft structure major disa</w:t>
      </w:r>
      <w:r w:rsidRPr="00F62B56">
        <w:t>ssembly and reassembly.</w:t>
      </w:r>
    </w:p>
    <w:p w:rsidR="00000000" w:rsidRPr="00F62B56" w:rsidP="00F62B56">
      <w:pPr>
        <w:pStyle w:val="Heading1"/>
      </w:pPr>
      <w:bookmarkStart w:id="2" w:name="O_1250362"/>
      <w:bookmarkEnd w:id="2"/>
      <w:r w:rsidRPr="00F62B56">
        <w:t>Performance Evidence</w:t>
      </w:r>
    </w:p>
    <w:p w:rsidR="00000000" w:rsidRPr="00F62B56" w:rsidP="00E95A67">
      <w:pPr>
        <w:pStyle w:val="BodyText"/>
      </w:pPr>
      <w:r w:rsidRPr="00F62B56">
        <w:t>There must be evidence the candidate has completed all the tasks outlined in the elements and performance criteria of this unit and demonstrated the ability to:</w:t>
      </w:r>
    </w:p>
    <w:p w:rsidR="00000000" w:rsidRPr="00F62B56" w:rsidP="00F62B56">
      <w:pPr>
        <w:pStyle w:val="ListBullet"/>
      </w:pPr>
      <w:r w:rsidRPr="00F62B56">
        <w:t>perform major disassembly and</w:t>
      </w:r>
      <w:r w:rsidRPr="00F62B56">
        <w:t xml:space="preserve"> reassembly on aircraft structures during scheduled or unscheduled maintenance on elements from each of the following groups:</w:t>
      </w:r>
    </w:p>
    <w:p w:rsidR="00000000" w:rsidRPr="00F62B56" w:rsidP="00F62B56">
      <w:pPr>
        <w:pStyle w:val="ListBullet2"/>
      </w:pPr>
      <w:r w:rsidRPr="00F62B56">
        <w:t>assembly of aircraft sub-assemblies or end items from detailed parts using jigs and fixtures</w:t>
      </w:r>
    </w:p>
    <w:p w:rsidR="00000000" w:rsidRPr="00F62B56" w:rsidP="00F62B56">
      <w:pPr>
        <w:pStyle w:val="ListBullet2"/>
      </w:pPr>
      <w:r w:rsidRPr="00F62B56">
        <w:t>disassembly and reassembly of aircra</w:t>
      </w:r>
      <w:r w:rsidRPr="00F62B56">
        <w:t>ft structure, such as wings, tailplanes or fuselage sections, using trestling, jigs and fixtures</w:t>
      </w:r>
    </w:p>
    <w:p w:rsidR="00000000" w:rsidRPr="00F62B56" w:rsidP="00F62B56">
      <w:pPr>
        <w:pStyle w:val="ListBullet2"/>
      </w:pPr>
      <w:r w:rsidRPr="00F62B56">
        <w:t>replacement of major structural load carrying members, for example, skins, longerons, spars, frames and bulkheads.</w:t>
      </w:r>
    </w:p>
    <w:p w:rsidR="00000000" w:rsidRPr="00F62B56" w:rsidP="00F62B56">
      <w:pPr>
        <w:pStyle w:val="ListBullet"/>
      </w:pPr>
      <w:r w:rsidRPr="00F62B56">
        <w:t>safely handle heavy components during remov</w:t>
      </w:r>
      <w:r w:rsidRPr="00F62B56">
        <w:t>al and assembly of structures being worked on</w:t>
      </w:r>
    </w:p>
    <w:p w:rsidR="00000000" w:rsidRPr="00F62B56" w:rsidP="00F62B56">
      <w:pPr>
        <w:pStyle w:val="ListBullet"/>
      </w:pPr>
      <w:r w:rsidRPr="00F62B56">
        <w:t>identify various aircraft metals/composite materials and their basic metallurgy properties by interpretation of markings, numbering systems or visual, chemical or mechanical means to inform requirements</w:t>
      </w:r>
    </w:p>
    <w:p w:rsidR="00000000" w:rsidRPr="00F62B56" w:rsidP="00F62B56">
      <w:pPr>
        <w:pStyle w:val="ListBullet"/>
      </w:pPr>
      <w:r w:rsidRPr="00F62B56">
        <w:t xml:space="preserve">handle </w:t>
      </w:r>
      <w:r w:rsidRPr="00F62B56">
        <w:t>and store aircraft metal and composite components to industry standards during and after assembly work</w:t>
      </w:r>
    </w:p>
    <w:p w:rsidR="00000000" w:rsidRPr="00F62B56" w:rsidP="00F62B56">
      <w:pPr>
        <w:pStyle w:val="ListBullet"/>
      </w:pPr>
      <w:r w:rsidRPr="00F62B56">
        <w:t>identify aircraft structural assembly fasteners (metal and composite) by interpretation of markings, numbering systems, size, shape and colour to inform suitable selections for structures being worked on</w:t>
      </w:r>
    </w:p>
    <w:p w:rsidR="00000000" w:rsidRPr="00F62B56" w:rsidP="00F62B56">
      <w:pPr>
        <w:pStyle w:val="ListBullet"/>
      </w:pPr>
      <w:r w:rsidRPr="00F62B56">
        <w:t>use appropriate hand tools and machines to remove an</w:t>
      </w:r>
      <w:r w:rsidRPr="00F62B56">
        <w:t>d assemble aircraft structural components, parts, sections and skin, including riveting equipment, drilling equipment, aligning tools, reamers and material fasteners (grip pins)</w:t>
      </w:r>
    </w:p>
    <w:p w:rsidR="00E95A67" w:rsidP="00F62B56">
      <w:pPr>
        <w:pStyle w:val="ListBullet"/>
      </w:pPr>
      <w:r w:rsidRPr="00F62B56">
        <w:t>apply correct removal and installation techniques for general and close tolera</w:t>
      </w:r>
      <w:r w:rsidRPr="00F62B56">
        <w:t>nce fasteners (rivets, standard and oversize hilocks), including hole preparation and location techniques.</w:t>
      </w:r>
    </w:p>
    <w:p w:rsidR="00E95A67" w:rsidP="00F62B56">
      <w:pPr>
        <w:pStyle w:val="ListBullet"/>
      </w:pPr>
    </w:p>
    <w:p w:rsidR="00000000" w:rsidRPr="00F62B56" w:rsidP="00F62B56">
      <w:pPr>
        <w:pStyle w:val="Heading1"/>
      </w:pPr>
      <w:bookmarkStart w:id="3" w:name="O_1250363"/>
      <w:bookmarkEnd w:id="3"/>
      <w:r w:rsidRPr="00F62B56">
        <w:t>Knowledge Evidence</w:t>
      </w:r>
    </w:p>
    <w:p w:rsidR="00000000" w:rsidRPr="00F62B56" w:rsidP="00E95A67">
      <w:pPr>
        <w:pStyle w:val="BodyText"/>
      </w:pPr>
      <w:r w:rsidRPr="00F62B56">
        <w:t>There must be evidence the candidate has knowledge of:</w:t>
      </w:r>
    </w:p>
    <w:p w:rsidR="00000000" w:rsidRPr="00F62B56" w:rsidP="00F62B56">
      <w:pPr>
        <w:pStyle w:val="ListBullet"/>
      </w:pPr>
      <w:r w:rsidRPr="00F62B56">
        <w:t>aircraft construction principles, including the causes</w:t>
      </w:r>
      <w:r w:rsidRPr="00F62B56">
        <w:t xml:space="preserve"> of structural fatigue and corrosion</w:t>
      </w:r>
    </w:p>
    <w:p w:rsidR="00000000" w:rsidRPr="00F62B56" w:rsidP="00F62B56">
      <w:pPr>
        <w:pStyle w:val="ListBullet"/>
      </w:pPr>
      <w:r w:rsidRPr="00F62B56">
        <w:t>describing the basic construction methods used to assemble:</w:t>
      </w:r>
    </w:p>
    <w:p w:rsidR="00000000" w:rsidRPr="00F62B56" w:rsidP="00F62B56">
      <w:pPr>
        <w:pStyle w:val="ListBullet2"/>
      </w:pPr>
      <w:r w:rsidRPr="00F62B56">
        <w:t>fuselage (pressure and non-pressurised)</w:t>
      </w:r>
    </w:p>
    <w:p w:rsidR="00000000" w:rsidRPr="00F62B56" w:rsidP="00F62B56">
      <w:pPr>
        <w:pStyle w:val="ListBullet2"/>
      </w:pPr>
      <w:r w:rsidRPr="00F62B56">
        <w:t>wings, vertical and horizontal stabilisers, rotary wing tail cones and pylons</w:t>
      </w:r>
    </w:p>
    <w:p w:rsidR="00000000" w:rsidRPr="00F62B56" w:rsidP="00F62B56">
      <w:pPr>
        <w:pStyle w:val="ListBullet2"/>
      </w:pPr>
      <w:r w:rsidRPr="00F62B56">
        <w:t>engine nacelles/pylons</w:t>
      </w:r>
    </w:p>
    <w:p w:rsidR="00000000" w:rsidRPr="00F62B56" w:rsidP="00F62B56">
      <w:pPr>
        <w:pStyle w:val="ListBullet2"/>
      </w:pPr>
      <w:r w:rsidRPr="00F62B56">
        <w:t>doors and windows</w:t>
      </w:r>
      <w:r w:rsidRPr="00F62B56">
        <w:t>, including seals, sealants and locking mechanisms</w:t>
      </w:r>
    </w:p>
    <w:p w:rsidR="00000000" w:rsidRPr="00F62B56" w:rsidP="00F62B56">
      <w:pPr>
        <w:pStyle w:val="ListBullet"/>
      </w:pPr>
      <w:r w:rsidRPr="00F62B56">
        <w:t>assembly procedures, including:</w:t>
      </w:r>
    </w:p>
    <w:p w:rsidR="00000000" w:rsidRPr="00F62B56" w:rsidP="00F62B56">
      <w:pPr>
        <w:pStyle w:val="ListBullet2"/>
      </w:pPr>
      <w:r w:rsidRPr="00F62B56">
        <w:t>drilling, reaming and countersinking</w:t>
      </w:r>
    </w:p>
    <w:p w:rsidR="00000000" w:rsidRPr="00F62B56" w:rsidP="00F62B56">
      <w:pPr>
        <w:pStyle w:val="ListBullet2"/>
      </w:pPr>
      <w:r w:rsidRPr="00F62B56">
        <w:t>fitting fasteners and rivets</w:t>
      </w:r>
    </w:p>
    <w:p w:rsidR="00000000" w:rsidRPr="00F62B56" w:rsidP="00F62B56">
      <w:pPr>
        <w:pStyle w:val="ListBullet2"/>
      </w:pPr>
      <w:r w:rsidRPr="00F62B56">
        <w:t>applying adhesives and sealants</w:t>
      </w:r>
    </w:p>
    <w:p w:rsidR="00000000" w:rsidRPr="00F62B56" w:rsidP="00F62B56">
      <w:pPr>
        <w:pStyle w:val="ListBullet2"/>
      </w:pPr>
      <w:r w:rsidRPr="00F62B56">
        <w:t>fitting hardware</w:t>
      </w:r>
    </w:p>
    <w:p w:rsidR="00000000" w:rsidRPr="00F62B56" w:rsidP="00F62B56">
      <w:pPr>
        <w:pStyle w:val="ListBullet2"/>
      </w:pPr>
      <w:r w:rsidRPr="00F62B56">
        <w:t>applying corrosion inhibitors and protective coatings</w:t>
      </w:r>
    </w:p>
    <w:p w:rsidR="00000000" w:rsidRPr="00F62B56" w:rsidP="00F62B56">
      <w:pPr>
        <w:pStyle w:val="ListBullet"/>
      </w:pPr>
      <w:r w:rsidRPr="00F62B56">
        <w:t>assembly stress defects, including:</w:t>
      </w:r>
    </w:p>
    <w:p w:rsidR="00000000" w:rsidRPr="00F62B56" w:rsidP="00F62B56">
      <w:pPr>
        <w:pStyle w:val="ListBullet2"/>
      </w:pPr>
      <w:r w:rsidRPr="00F62B56">
        <w:t>oil canning</w:t>
      </w:r>
    </w:p>
    <w:p w:rsidR="00000000" w:rsidRPr="00F62B56" w:rsidP="00F62B56">
      <w:pPr>
        <w:pStyle w:val="ListBullet2"/>
      </w:pPr>
      <w:r w:rsidRPr="00F62B56">
        <w:t>buckling</w:t>
      </w:r>
    </w:p>
    <w:p w:rsidR="00000000" w:rsidRPr="00F62B56" w:rsidP="00F62B56">
      <w:pPr>
        <w:pStyle w:val="ListBullet2"/>
      </w:pPr>
      <w:r w:rsidRPr="00F62B56">
        <w:t>contour misalignment</w:t>
      </w:r>
    </w:p>
    <w:p w:rsidR="00000000" w:rsidRPr="00F62B56" w:rsidP="00F62B56">
      <w:pPr>
        <w:pStyle w:val="ListBullet2"/>
      </w:pPr>
      <w:r w:rsidRPr="00F62B56">
        <w:t>stress raisers</w:t>
      </w:r>
    </w:p>
    <w:p w:rsidR="00000000" w:rsidRPr="00F62B56" w:rsidP="00F62B56">
      <w:pPr>
        <w:pStyle w:val="ListBullet"/>
      </w:pPr>
      <w:r w:rsidRPr="00F62B56">
        <w:t>material specifications for aluminium alloys and steel alloys used in aircraft structure</w:t>
      </w:r>
    </w:p>
    <w:p w:rsidR="00000000" w:rsidRPr="00F62B56" w:rsidP="00F62B56">
      <w:pPr>
        <w:pStyle w:val="ListBullet"/>
      </w:pPr>
      <w:r w:rsidRPr="00F62B56">
        <w:t>composite cloths, matrix materials and adhesives</w:t>
      </w:r>
    </w:p>
    <w:p w:rsidR="00000000" w:rsidRPr="00F62B56" w:rsidP="00F62B56">
      <w:pPr>
        <w:pStyle w:val="ListBullet"/>
      </w:pPr>
      <w:r w:rsidRPr="00F62B56">
        <w:t>structural material ide</w:t>
      </w:r>
      <w:r w:rsidRPr="00F62B56">
        <w:t>ntification by markings and numbering systems</w:t>
      </w:r>
    </w:p>
    <w:p w:rsidR="00000000" w:rsidRPr="00F62B56" w:rsidP="00F62B56">
      <w:pPr>
        <w:pStyle w:val="ListBullet"/>
      </w:pPr>
      <w:r w:rsidRPr="00F62B56">
        <w:t>material identification by chemical, electrical and mechanical methods</w:t>
      </w:r>
    </w:p>
    <w:p w:rsidR="00000000" w:rsidRPr="00F62B56" w:rsidP="00F62B56">
      <w:pPr>
        <w:pStyle w:val="ListBullet"/>
      </w:pPr>
      <w:r w:rsidRPr="00F62B56">
        <w:t>material storage requirements</w:t>
      </w:r>
    </w:p>
    <w:p w:rsidR="00000000" w:rsidRPr="00F62B56" w:rsidP="00F62B56">
      <w:pPr>
        <w:pStyle w:val="ListBullet"/>
      </w:pPr>
      <w:r w:rsidRPr="00F62B56">
        <w:t>hardware types and specifications</w:t>
      </w:r>
    </w:p>
    <w:p w:rsidR="00000000" w:rsidRPr="00F62B56" w:rsidP="00F62B56">
      <w:pPr>
        <w:pStyle w:val="ListBullet"/>
      </w:pPr>
      <w:r w:rsidRPr="00F62B56">
        <w:t>composite bonding methods</w:t>
      </w:r>
    </w:p>
    <w:p w:rsidR="00000000" w:rsidRPr="00F62B56" w:rsidP="00F62B56">
      <w:pPr>
        <w:pStyle w:val="ListBullet"/>
      </w:pPr>
      <w:r w:rsidRPr="00F62B56">
        <w:t>identification of hardware</w:t>
      </w:r>
    </w:p>
    <w:p w:rsidR="00000000" w:rsidRPr="00F62B56" w:rsidP="00F62B56">
      <w:pPr>
        <w:pStyle w:val="ListBullet"/>
      </w:pPr>
      <w:r w:rsidRPr="00F62B56">
        <w:t>sealants used in aircraft structure and their application and handling</w:t>
      </w:r>
    </w:p>
    <w:p w:rsidR="00000000" w:rsidRPr="00F62B56" w:rsidP="00F62B56">
      <w:pPr>
        <w:pStyle w:val="ListBullet"/>
      </w:pPr>
      <w:r w:rsidRPr="00F62B56">
        <w:t>chemical surface treatments</w:t>
      </w:r>
    </w:p>
    <w:p w:rsidR="00000000" w:rsidRPr="00F62B56" w:rsidP="00F62B56">
      <w:pPr>
        <w:pStyle w:val="ListBullet"/>
      </w:pPr>
      <w:r w:rsidRPr="00F62B56">
        <w:t>electroplating</w:t>
      </w:r>
    </w:p>
    <w:p w:rsidR="00000000" w:rsidRPr="00F62B56" w:rsidP="00F62B56">
      <w:pPr>
        <w:pStyle w:val="ListBullet"/>
      </w:pPr>
      <w:r w:rsidRPr="00F62B56">
        <w:t>paints and finishes</w:t>
      </w:r>
    </w:p>
    <w:p w:rsidR="00000000" w:rsidRPr="00F62B56" w:rsidP="00F62B56">
      <w:pPr>
        <w:pStyle w:val="ListBullet"/>
      </w:pPr>
      <w:r w:rsidRPr="00F62B56">
        <w:t>work health and safety (WHS) precautions for disassembly and reassembly of aircraft structures, including safe handling of</w:t>
      </w:r>
      <w:r w:rsidRPr="00F62B56">
        <w:t xml:space="preserve"> heavy components</w:t>
      </w:r>
    </w:p>
    <w:p w:rsidR="00000000" w:rsidRPr="00F62B56" w:rsidP="00F62B56">
      <w:pPr>
        <w:pStyle w:val="ListBullet"/>
      </w:pPr>
      <w:r w:rsidRPr="00F62B56">
        <w:t xml:space="preserve">how to access and apply material safety data sheets (MSDSs) </w:t>
      </w:r>
    </w:p>
    <w:p w:rsidR="00E95A67" w:rsidP="00F62B56">
      <w:pPr>
        <w:pStyle w:val="ListBullet"/>
      </w:pPr>
      <w:r w:rsidRPr="00F62B56">
        <w:t>personal protective equipment (PPE) for disassembly and reassembly of aircraft structures.</w:t>
      </w:r>
    </w:p>
    <w:p w:rsidR="00E95A67" w:rsidP="00F62B56">
      <w:pPr>
        <w:pStyle w:val="ListBullet"/>
      </w:pPr>
    </w:p>
    <w:p w:rsidR="00000000" w:rsidRPr="00F62B56" w:rsidP="00F62B56">
      <w:pPr>
        <w:pStyle w:val="Heading1"/>
      </w:pPr>
      <w:bookmarkStart w:id="4" w:name="O_1250364"/>
      <w:bookmarkEnd w:id="4"/>
      <w:r w:rsidRPr="00F62B56">
        <w:t>Assessment Conditions</w:t>
      </w:r>
    </w:p>
    <w:p w:rsidR="00000000" w:rsidRPr="00F62B56" w:rsidP="00E95A67">
      <w:pPr>
        <w:pStyle w:val="BodyText"/>
      </w:pPr>
      <w:r w:rsidRPr="00F62B56">
        <w:t>The following conditions of assessment repre</w:t>
      </w:r>
      <w:r w:rsidRPr="00F62B56">
        <w:t xml:space="preserve">sent the requirements of the regulators Civil Aviation Safety Authority (CASA) and the Defence Aviation Safety Authority (DASA) and maintenance stakeholders and must be rigorously observed. </w:t>
      </w:r>
    </w:p>
    <w:p w:rsidR="00000000" w:rsidRPr="00F62B56" w:rsidP="00E95A67">
      <w:pPr>
        <w:pStyle w:val="BodyText"/>
      </w:pPr>
      <w:r w:rsidRPr="00F62B56">
        <w:t>Skills must have been demonstrated under routine supervision in t</w:t>
      </w:r>
      <w:r w:rsidRPr="00F62B56">
        <w:t xml:space="preserve">he workplace or in a simulated environment that reflects workplace conditions and contingencies encountered in disassembling and reassembling aircraft structures. The following conditions must be met for this unit:  </w:t>
      </w:r>
    </w:p>
    <w:p w:rsidR="00000000" w:rsidRPr="00F62B56" w:rsidP="00F62B56">
      <w:pPr>
        <w:pStyle w:val="ListBullet"/>
      </w:pPr>
      <w:r w:rsidRPr="00F62B56">
        <w:t xml:space="preserve">use of suitable facilities, equipment </w:t>
      </w:r>
      <w:r w:rsidRPr="00F62B56">
        <w:t xml:space="preserve">and resources, including:  </w:t>
      </w:r>
    </w:p>
    <w:p w:rsidR="00000000" w:rsidRPr="00F62B56" w:rsidP="00F62B56">
      <w:pPr>
        <w:pStyle w:val="ListBullet2"/>
      </w:pPr>
      <w:r w:rsidRPr="00F62B56">
        <w:t xml:space="preserve">workplace procedures, manufacturing specifications, codes, standards, manuals, and reference materials relevant to disassembling and reassembling aircraft structures </w:t>
      </w:r>
    </w:p>
    <w:p w:rsidR="00000000" w:rsidRPr="00F62B56" w:rsidP="00F62B56">
      <w:pPr>
        <w:pStyle w:val="ListBullet2"/>
      </w:pPr>
      <w:r w:rsidRPr="00F62B56">
        <w:t>tools and equipment specified in the aircraft maintenance manuals</w:t>
      </w:r>
    </w:p>
    <w:p w:rsidR="00000000" w:rsidRPr="00F62B56" w:rsidP="00F62B56">
      <w:pPr>
        <w:pStyle w:val="ListBullet2"/>
      </w:pPr>
      <w:r w:rsidRPr="00F62B56">
        <w:t xml:space="preserve">general-purpose tools and ground support equipment found in most routine situations. </w:t>
      </w:r>
    </w:p>
    <w:p w:rsidR="00000000" w:rsidRPr="00F62B56" w:rsidP="00E95A67">
      <w:pPr>
        <w:pStyle w:val="BodyText"/>
      </w:pPr>
      <w:r w:rsidRPr="00F62B56">
        <w:t>Evidence of tasks demonstrating competency must be recorded in a log of industrial experience and achiev</w:t>
      </w:r>
      <w:r w:rsidRPr="00F62B56">
        <w:t>ement.</w:t>
      </w:r>
    </w:p>
    <w:p w:rsidR="00E95A67" w:rsidP="00E95A67">
      <w:pPr>
        <w:pStyle w:val="BodyText"/>
      </w:pPr>
      <w:r w:rsidRPr="00F62B56">
        <w:t>Assessors must satisfy the NVR/AQTF mandatory competency requirements for assessors.</w:t>
      </w:r>
    </w:p>
    <w:p w:rsidR="00000000" w:rsidRPr="00F62B56" w:rsidP="00F62B56">
      <w:pPr>
        <w:pStyle w:val="Heading1"/>
      </w:pPr>
      <w:bookmarkStart w:id="5" w:name="O_1250367"/>
      <w:bookmarkEnd w:id="5"/>
      <w:r w:rsidRPr="00F62B56">
        <w:t>Links</w:t>
      </w:r>
    </w:p>
    <w:p w:rsidR="00000000" w:rsidRPr="00F62B56" w:rsidP="00E95A67">
      <w:pPr>
        <w:pStyle w:val="BodyText"/>
      </w:pPr>
      <w:r w:rsidRPr="00F62B56">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C1FFC">
        <w:rPr>
          <w:rStyle w:val="Hyperlink"/>
        </w:rPr>
        <w:t>https://vetnet.gov.au/Pages/TrainingDocs.aspx?q=ce216c9c-04d5-4b3b-9bcf-4e81d0950371</w:t>
      </w:r>
      <w:r>
        <w:fldChar w:fldCharType="end"/>
      </w:r>
    </w:p>
    <w:p w:rsidR="00000000" w:rsidRPr="00F62B56" w:rsidP="00F62B56"/>
    <w:sectPr w:rsidSect="00F62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56" w:rsidRPr="00E95A67" w:rsidP="00E95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67" w:rsidP="00F62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A67" w:rsidP="00F62B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5A67" w:rsidP="00F62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B56" w:rsidRPr="00E95A67" w:rsidP="00E95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67" w:rsidRPr="002D2AF8" w:rsidP="00F62B56">
    <w:pPr>
      <w:pStyle w:val="Header"/>
      <w:framePr w:wrap="around"/>
    </w:pPr>
    <w:r>
      <w:fldChar w:fldCharType="begin"/>
    </w:r>
    <w:r>
      <w:instrText xml:space="preserve"> TITLE   \* MERGEFORMAT </w:instrText>
    </w:r>
    <w:r>
      <w:fldChar w:fldCharType="separate"/>
    </w:r>
    <w:r>
      <w:t>Assessment Requirements for MEASTR0017 Perform major disassembly and reassembly on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95A67" w:rsidP="00F62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D28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2E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49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B56"/>
    <w:pPr>
      <w:spacing w:before="360" w:after="60"/>
      <w:outlineLvl w:val="0"/>
    </w:pPr>
    <w:rPr>
      <w:sz w:val="32"/>
    </w:rPr>
  </w:style>
  <w:style w:type="paragraph" w:styleId="Heading2">
    <w:name w:val="heading 2"/>
    <w:basedOn w:val="HeadingBase"/>
    <w:next w:val="BodyText"/>
    <w:link w:val="Heading2Char"/>
    <w:qFormat/>
    <w:rsid w:val="00F62B56"/>
    <w:pPr>
      <w:keepLines/>
      <w:spacing w:before="240" w:after="120"/>
      <w:outlineLvl w:val="1"/>
    </w:pPr>
    <w:rPr>
      <w:sz w:val="28"/>
      <w:szCs w:val="40"/>
    </w:rPr>
  </w:style>
  <w:style w:type="paragraph" w:styleId="Heading3">
    <w:name w:val="heading 3"/>
    <w:basedOn w:val="HeadingBase"/>
    <w:next w:val="BodyText"/>
    <w:link w:val="Heading3Char"/>
    <w:qFormat/>
    <w:rsid w:val="00F62B56"/>
    <w:pPr>
      <w:spacing w:before="180" w:after="120"/>
      <w:outlineLvl w:val="2"/>
    </w:pPr>
    <w:rPr>
      <w:spacing w:val="-10"/>
      <w:kern w:val="32"/>
    </w:rPr>
  </w:style>
  <w:style w:type="paragraph" w:styleId="Heading4">
    <w:name w:val="heading 4"/>
    <w:basedOn w:val="HeadingBase"/>
    <w:next w:val="BodyText"/>
    <w:link w:val="Heading4Char"/>
    <w:qFormat/>
    <w:rsid w:val="00F62B56"/>
    <w:pPr>
      <w:spacing w:before="160" w:after="120"/>
      <w:outlineLvl w:val="3"/>
    </w:pPr>
    <w:rPr>
      <w:sz w:val="22"/>
    </w:rPr>
  </w:style>
  <w:style w:type="paragraph" w:styleId="Heading5">
    <w:name w:val="heading 5"/>
    <w:basedOn w:val="HeadingBase"/>
    <w:next w:val="Normal"/>
    <w:link w:val="Heading5Char"/>
    <w:qFormat/>
    <w:rsid w:val="00F62B56"/>
    <w:pPr>
      <w:spacing w:before="80"/>
      <w:outlineLvl w:val="4"/>
    </w:pPr>
    <w:rPr>
      <w:color w:val="918585"/>
      <w:sz w:val="20"/>
    </w:rPr>
  </w:style>
  <w:style w:type="paragraph" w:styleId="Heading6">
    <w:name w:val="heading 6"/>
    <w:basedOn w:val="HeadingBase"/>
    <w:next w:val="Normal"/>
    <w:link w:val="Heading6Char"/>
    <w:qFormat/>
    <w:rsid w:val="00F62B56"/>
    <w:pPr>
      <w:spacing w:before="60"/>
      <w:outlineLvl w:val="5"/>
    </w:pPr>
    <w:rPr>
      <w:color w:val="918585"/>
      <w:sz w:val="20"/>
    </w:rPr>
  </w:style>
  <w:style w:type="paragraph" w:styleId="Heading7">
    <w:name w:val="heading 7"/>
    <w:basedOn w:val="Normal"/>
    <w:next w:val="Normal"/>
    <w:link w:val="Heading7Char"/>
    <w:qFormat/>
    <w:rsid w:val="00F62B56"/>
    <w:pPr>
      <w:ind w:left="720"/>
      <w:outlineLvl w:val="6"/>
    </w:pPr>
    <w:rPr>
      <w:i/>
    </w:rPr>
  </w:style>
  <w:style w:type="paragraph" w:styleId="Heading8">
    <w:name w:val="heading 8"/>
    <w:basedOn w:val="Normal"/>
    <w:next w:val="Normal"/>
    <w:link w:val="Heading8Char"/>
    <w:qFormat/>
    <w:rsid w:val="00F62B56"/>
    <w:pPr>
      <w:ind w:left="720"/>
      <w:outlineLvl w:val="7"/>
    </w:pPr>
    <w:rPr>
      <w:i/>
    </w:rPr>
  </w:style>
  <w:style w:type="paragraph" w:styleId="Heading9">
    <w:name w:val="heading 9"/>
    <w:basedOn w:val="Normal"/>
    <w:next w:val="Normal"/>
    <w:link w:val="Heading9Char"/>
    <w:qFormat/>
    <w:rsid w:val="00F62B56"/>
    <w:pPr>
      <w:ind w:left="720"/>
      <w:outlineLvl w:val="8"/>
    </w:pPr>
    <w:rPr>
      <w:i/>
    </w:rPr>
  </w:style>
  <w:style w:type="character" w:default="1" w:styleId="DefaultParagraphFont">
    <w:name w:val="Default Paragraph Font"/>
    <w:uiPriority w:val="1"/>
    <w:unhideWhenUsed/>
    <w:rsid w:val="00F62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B56"/>
  </w:style>
  <w:style w:type="character" w:customStyle="1" w:styleId="Heading1Char">
    <w:name w:val="Heading 1 Char"/>
    <w:basedOn w:val="DefaultParagraphFont"/>
    <w:link w:val="Heading1"/>
    <w:rsid w:val="00F62B56"/>
    <w:rPr>
      <w:rFonts w:ascii="Times New Roman" w:eastAsia="Times New Roman" w:hAnsi="Times New Roman" w:cs="Times New Roman"/>
      <w:b/>
      <w:sz w:val="32"/>
      <w:szCs w:val="20"/>
      <w:lang w:eastAsia="en-US"/>
    </w:rPr>
  </w:style>
  <w:style w:type="paragraph" w:styleId="BodyText">
    <w:name w:val="Body Text"/>
    <w:basedOn w:val="Normal"/>
    <w:link w:val="BodyTextChar"/>
    <w:rsid w:val="00F62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B56"/>
    <w:rPr>
      <w:rFonts w:ascii="Times New Roman" w:eastAsia="Times New Roman" w:hAnsi="Times New Roman" w:cs="Times New Roman"/>
      <w:sz w:val="24"/>
      <w:lang w:eastAsia="en-US"/>
    </w:rPr>
  </w:style>
  <w:style w:type="paragraph" w:styleId="ListBullet">
    <w:name w:val="List Bullet"/>
    <w:basedOn w:val="List"/>
    <w:rsid w:val="00F62B56"/>
    <w:pPr>
      <w:numPr>
        <w:numId w:val="12"/>
      </w:numPr>
      <w:tabs>
        <w:tab w:val="clear" w:pos="340"/>
      </w:tabs>
      <w:spacing w:before="40" w:after="40"/>
    </w:pPr>
  </w:style>
  <w:style w:type="paragraph" w:styleId="ListBullet2">
    <w:name w:val="List Bullet 2"/>
    <w:basedOn w:val="List2"/>
    <w:rsid w:val="00F62B56"/>
    <w:pPr>
      <w:numPr>
        <w:numId w:val="13"/>
      </w:numPr>
      <w:tabs>
        <w:tab w:val="clear" w:pos="680"/>
      </w:tabs>
    </w:pPr>
  </w:style>
  <w:style w:type="paragraph" w:customStyle="1" w:styleId="SuperHeading">
    <w:name w:val="SuperHeading"/>
    <w:basedOn w:val="Normal"/>
    <w:rsid w:val="00F62B56"/>
    <w:pPr>
      <w:spacing w:before="240" w:after="120"/>
      <w:outlineLvl w:val="0"/>
    </w:pPr>
    <w:rPr>
      <w:rFonts w:ascii="Times New Roman" w:hAnsi="Times New Roman"/>
      <w:b/>
      <w:sz w:val="32"/>
    </w:rPr>
  </w:style>
  <w:style w:type="paragraph" w:customStyle="1" w:styleId="AllowPageBreak">
    <w:name w:val="AllowPageBreak"/>
    <w:rsid w:val="00F62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B56"/>
    <w:rPr>
      <w:rFonts w:ascii="Courier New" w:eastAsia="Times New Roman" w:hAnsi="Courier New" w:cs="Times New Roman"/>
      <w:i/>
      <w:szCs w:val="20"/>
      <w:lang w:eastAsia="en-US"/>
    </w:rPr>
  </w:style>
  <w:style w:type="paragraph" w:customStyle="1" w:styleId="HeadingBase">
    <w:name w:val="Heading Base"/>
    <w:rsid w:val="00F62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B56"/>
    <w:pPr>
      <w:tabs>
        <w:tab w:val="right" w:leader="dot" w:pos="9072"/>
      </w:tabs>
      <w:ind w:left="567"/>
    </w:pPr>
    <w:rPr>
      <w:szCs w:val="22"/>
    </w:rPr>
  </w:style>
  <w:style w:type="paragraph" w:customStyle="1" w:styleId="TOCBase">
    <w:name w:val="TOC Base"/>
    <w:rsid w:val="00F62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B56"/>
    <w:pPr>
      <w:tabs>
        <w:tab w:val="right" w:leader="dot" w:pos="9072"/>
      </w:tabs>
      <w:spacing w:before="40" w:after="40"/>
      <w:ind w:left="284"/>
    </w:pPr>
    <w:rPr>
      <w:rFonts w:ascii="Times New Roman" w:hAnsi="Times New Roman"/>
    </w:rPr>
  </w:style>
  <w:style w:type="paragraph" w:styleId="TOC1">
    <w:name w:val="toc 1"/>
    <w:basedOn w:val="TOCBase"/>
    <w:next w:val="Normal"/>
    <w:rsid w:val="00F62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B56"/>
    <w:rPr>
      <w:rFonts w:ascii="Times New Roman" w:eastAsia="Times New Roman" w:hAnsi="Times New Roman" w:cs="Times New Roman"/>
      <w:sz w:val="16"/>
      <w:lang w:eastAsia="en-US"/>
    </w:rPr>
  </w:style>
  <w:style w:type="paragraph" w:styleId="Title">
    <w:name w:val="Title"/>
    <w:basedOn w:val="HeadingBase"/>
    <w:link w:val="TitleChar"/>
    <w:qFormat/>
    <w:rsid w:val="00F62B56"/>
    <w:pPr>
      <w:spacing w:before="5040"/>
      <w:jc w:val="center"/>
    </w:pPr>
    <w:rPr>
      <w:sz w:val="48"/>
      <w:szCs w:val="72"/>
      <w:lang w:val="en-US"/>
    </w:rPr>
  </w:style>
  <w:style w:type="character" w:customStyle="1" w:styleId="TitleChar">
    <w:name w:val="Title Char"/>
    <w:basedOn w:val="DefaultParagraphFont"/>
    <w:link w:val="Title"/>
    <w:rsid w:val="00F62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B56"/>
    <w:pPr>
      <w:tabs>
        <w:tab w:val="left" w:pos="3600"/>
        <w:tab w:val="left" w:pos="3958"/>
      </w:tabs>
    </w:pPr>
  </w:style>
  <w:style w:type="paragraph" w:styleId="List">
    <w:name w:val="List"/>
    <w:basedOn w:val="BodyText"/>
    <w:next w:val="BodyText"/>
    <w:rsid w:val="00F62B56"/>
    <w:pPr>
      <w:tabs>
        <w:tab w:val="left" w:pos="340"/>
      </w:tabs>
      <w:spacing w:before="60" w:after="60"/>
      <w:ind w:left="340" w:hanging="340"/>
    </w:pPr>
  </w:style>
  <w:style w:type="paragraph" w:customStyle="1" w:styleId="Note">
    <w:name w:val="Note"/>
    <w:basedOn w:val="BodyText"/>
    <w:rsid w:val="00F62B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B56"/>
    <w:rPr>
      <w:b/>
      <w:spacing w:val="0"/>
    </w:rPr>
  </w:style>
  <w:style w:type="paragraph" w:customStyle="1" w:styleId="SuperTitle">
    <w:name w:val="SuperTitle"/>
    <w:basedOn w:val="Title"/>
    <w:rsid w:val="00F62B56"/>
    <w:pPr>
      <w:framePr w:wrap="auto" w:hAnchor="text" w:y="6049"/>
    </w:pPr>
    <w:rPr>
      <w:color w:val="000000"/>
      <w:sz w:val="40"/>
    </w:rPr>
  </w:style>
  <w:style w:type="paragraph" w:customStyle="1" w:styleId="TOCTitle">
    <w:name w:val="TOCTitle"/>
    <w:basedOn w:val="Heading1"/>
    <w:rsid w:val="00F62B56"/>
    <w:pPr>
      <w:spacing w:after="240"/>
      <w:jc w:val="center"/>
      <w:outlineLvl w:val="9"/>
    </w:pPr>
    <w:rPr>
      <w:caps/>
    </w:rPr>
  </w:style>
  <w:style w:type="paragraph" w:customStyle="1" w:styleId="Version">
    <w:name w:val="Version"/>
    <w:rsid w:val="00F62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B56"/>
    <w:pPr>
      <w:keepNext w:val="0"/>
      <w:tabs>
        <w:tab w:val="right" w:pos="4176"/>
      </w:tabs>
      <w:ind w:left="198" w:hanging="198"/>
    </w:pPr>
    <w:rPr>
      <w:rFonts w:ascii="Garamond" w:hAnsi="Garamond"/>
    </w:rPr>
  </w:style>
  <w:style w:type="paragraph" w:styleId="IndexHeading">
    <w:name w:val="index heading"/>
    <w:basedOn w:val="Normal"/>
    <w:next w:val="Index1"/>
    <w:semiHidden/>
    <w:rsid w:val="00F62B56"/>
    <w:pPr>
      <w:spacing w:before="120" w:after="120"/>
    </w:pPr>
    <w:rPr>
      <w:rFonts w:ascii="Arial" w:hAnsi="Arial"/>
      <w:b/>
      <w:color w:val="918585"/>
      <w:sz w:val="24"/>
    </w:rPr>
  </w:style>
  <w:style w:type="paragraph" w:styleId="Header">
    <w:name w:val="header"/>
    <w:basedOn w:val="Normal"/>
    <w:link w:val="HeaderChar"/>
    <w:rsid w:val="00F62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B56"/>
    <w:rPr>
      <w:rFonts w:ascii="Times New Roman" w:eastAsia="Times New Roman" w:hAnsi="Times New Roman" w:cs="Times New Roman"/>
      <w:sz w:val="16"/>
      <w:szCs w:val="20"/>
      <w:lang w:val="en-GB" w:eastAsia="en-US"/>
    </w:rPr>
  </w:style>
  <w:style w:type="paragraph" w:customStyle="1" w:styleId="Chapter">
    <w:name w:val="Chapter"/>
    <w:basedOn w:val="Normal"/>
    <w:rsid w:val="00F62B56"/>
    <w:pPr>
      <w:spacing w:before="240"/>
    </w:pPr>
    <w:rPr>
      <w:rFonts w:ascii="Times New Roman" w:hAnsi="Times New Roman"/>
      <w:smallCaps/>
      <w:spacing w:val="80"/>
      <w:sz w:val="28"/>
    </w:rPr>
  </w:style>
  <w:style w:type="paragraph" w:customStyle="1" w:styleId="InChapter">
    <w:name w:val="InChapter"/>
    <w:basedOn w:val="Heading3"/>
    <w:rsid w:val="00F62B56"/>
    <w:pPr>
      <w:spacing w:after="240"/>
      <w:outlineLvl w:val="9"/>
    </w:pPr>
    <w:rPr>
      <w:noProof/>
    </w:rPr>
  </w:style>
  <w:style w:type="paragraph" w:styleId="Index2">
    <w:name w:val="index 2"/>
    <w:basedOn w:val="Normal"/>
    <w:next w:val="Normal"/>
    <w:semiHidden/>
    <w:rsid w:val="00F62B56"/>
    <w:pPr>
      <w:tabs>
        <w:tab w:val="right" w:pos="4176"/>
      </w:tabs>
      <w:ind w:left="568" w:hanging="284"/>
    </w:pPr>
    <w:rPr>
      <w:rFonts w:ascii="Garamond" w:hAnsi="Garamond"/>
    </w:rPr>
  </w:style>
  <w:style w:type="paragraph" w:customStyle="1" w:styleId="Byline">
    <w:name w:val="Byline"/>
    <w:rsid w:val="00F62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B56"/>
    <w:pPr>
      <w:tabs>
        <w:tab w:val="clear" w:pos="3600"/>
        <w:tab w:val="clear" w:pos="3958"/>
      </w:tabs>
      <w:jc w:val="right"/>
    </w:pPr>
  </w:style>
  <w:style w:type="character" w:styleId="Emphasis">
    <w:name w:val="Emphasis"/>
    <w:basedOn w:val="DefaultParagraphFont"/>
    <w:qFormat/>
    <w:rsid w:val="00F62B56"/>
    <w:rPr>
      <w:i/>
    </w:rPr>
  </w:style>
  <w:style w:type="paragraph" w:styleId="Caption">
    <w:name w:val="caption"/>
    <w:basedOn w:val="BodyText"/>
    <w:next w:val="Normal"/>
    <w:qFormat/>
    <w:rsid w:val="00F62B56"/>
    <w:pPr>
      <w:framePr w:w="2268" w:hSpace="181" w:vSpace="181" w:wrap="around" w:vAnchor="text" w:hAnchor="page" w:x="1135" w:y="285" w:anchorLock="1"/>
    </w:pPr>
    <w:rPr>
      <w:i/>
    </w:rPr>
  </w:style>
  <w:style w:type="paragraph" w:customStyle="1" w:styleId="MiniTOCTitle">
    <w:name w:val="MiniTOCTitle"/>
    <w:basedOn w:val="Heading4"/>
    <w:rsid w:val="00F62B56"/>
    <w:pPr>
      <w:spacing w:before="240"/>
      <w:outlineLvl w:val="9"/>
    </w:pPr>
    <w:rPr>
      <w:noProof/>
      <w:sz w:val="24"/>
    </w:rPr>
  </w:style>
  <w:style w:type="paragraph" w:customStyle="1" w:styleId="MiniTOCItem">
    <w:name w:val="MiniTOCItem"/>
    <w:basedOn w:val="ListBullet"/>
    <w:rsid w:val="00F62B56"/>
    <w:pPr>
      <w:numPr>
        <w:numId w:val="0"/>
      </w:numPr>
      <w:tabs>
        <w:tab w:val="right" w:leader="dot" w:pos="6521"/>
      </w:tabs>
      <w:spacing w:before="0" w:after="0"/>
    </w:pPr>
  </w:style>
  <w:style w:type="paragraph" w:customStyle="1" w:styleId="TOFTitle">
    <w:name w:val="TOFTitle"/>
    <w:basedOn w:val="TOCTitle"/>
    <w:rsid w:val="00F62B56"/>
  </w:style>
  <w:style w:type="paragraph" w:styleId="TableofFigures">
    <w:name w:val="table of figures"/>
    <w:basedOn w:val="Normal"/>
    <w:next w:val="Normal"/>
    <w:semiHidden/>
    <w:rsid w:val="00F62B56"/>
    <w:pPr>
      <w:tabs>
        <w:tab w:val="right" w:leader="dot" w:pos="9072"/>
      </w:tabs>
      <w:ind w:left="970" w:hanging="403"/>
    </w:pPr>
    <w:rPr>
      <w:rFonts w:ascii="Times New Roman" w:hAnsi="Times New Roman"/>
      <w:b/>
    </w:rPr>
  </w:style>
  <w:style w:type="paragraph" w:styleId="ListNumber">
    <w:name w:val="List Number"/>
    <w:basedOn w:val="List"/>
    <w:rsid w:val="00F62B56"/>
    <w:pPr>
      <w:numPr>
        <w:numId w:val="15"/>
      </w:numPr>
      <w:tabs>
        <w:tab w:val="clear" w:pos="340"/>
      </w:tabs>
    </w:pPr>
  </w:style>
  <w:style w:type="character" w:customStyle="1" w:styleId="WingdingSymbols">
    <w:name w:val="Wingding Symbols"/>
    <w:rsid w:val="00F62B56"/>
    <w:rPr>
      <w:rFonts w:ascii="Wingdings" w:hAnsi="Wingdings"/>
    </w:rPr>
  </w:style>
  <w:style w:type="paragraph" w:customStyle="1" w:styleId="TableHeading">
    <w:name w:val="Table Heading"/>
    <w:basedOn w:val="HeadingBase"/>
    <w:rsid w:val="00F62B56"/>
    <w:pPr>
      <w:keepLines/>
      <w:pBdr>
        <w:bottom w:val="single" w:sz="6" w:space="1" w:color="918585"/>
      </w:pBdr>
      <w:spacing w:before="240"/>
    </w:pPr>
  </w:style>
  <w:style w:type="character" w:customStyle="1" w:styleId="HotSpot">
    <w:name w:val="HotSpot"/>
    <w:rsid w:val="00F62B56"/>
    <w:rPr>
      <w:color w:val="0033CC"/>
      <w:u w:val="none"/>
    </w:rPr>
  </w:style>
  <w:style w:type="paragraph" w:customStyle="1" w:styleId="BodyTextRight">
    <w:name w:val="Body Text Right"/>
    <w:basedOn w:val="BodyText"/>
    <w:rsid w:val="00F62B56"/>
    <w:pPr>
      <w:spacing w:before="0" w:after="0"/>
      <w:jc w:val="right"/>
    </w:pPr>
  </w:style>
  <w:style w:type="paragraph" w:styleId="Index3">
    <w:name w:val="index 3"/>
    <w:basedOn w:val="ListNumber2"/>
    <w:next w:val="Normal"/>
    <w:semiHidden/>
    <w:rsid w:val="00F62B56"/>
    <w:pPr>
      <w:numPr>
        <w:numId w:val="0"/>
      </w:numPr>
      <w:tabs>
        <w:tab w:val="right" w:leader="dot" w:pos="4176"/>
      </w:tabs>
    </w:pPr>
  </w:style>
  <w:style w:type="paragraph" w:styleId="ListNumber2">
    <w:name w:val="List Number 2"/>
    <w:basedOn w:val="List2"/>
    <w:rsid w:val="00F62B56"/>
    <w:pPr>
      <w:numPr>
        <w:numId w:val="10"/>
      </w:numPr>
      <w:tabs>
        <w:tab w:val="clear" w:pos="1060"/>
      </w:tabs>
    </w:pPr>
  </w:style>
  <w:style w:type="paragraph" w:customStyle="1" w:styleId="MarginNote">
    <w:name w:val="Margin Note"/>
    <w:basedOn w:val="BodyText"/>
    <w:rsid w:val="00F62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B56"/>
    <w:rPr>
      <w:sz w:val="32"/>
    </w:rPr>
  </w:style>
  <w:style w:type="paragraph" w:customStyle="1" w:styleId="HeadingProcedure">
    <w:name w:val="Heading Procedure"/>
    <w:basedOn w:val="HeadingBase"/>
    <w:next w:val="Normal"/>
    <w:rsid w:val="00F62B56"/>
    <w:pPr>
      <w:tabs>
        <w:tab w:val="left" w:pos="0"/>
      </w:tabs>
      <w:spacing w:before="120" w:after="60"/>
    </w:pPr>
    <w:rPr>
      <w:i/>
      <w:color w:val="918585"/>
      <w:sz w:val="22"/>
    </w:rPr>
  </w:style>
  <w:style w:type="paragraph" w:customStyle="1" w:styleId="TableBodyText">
    <w:name w:val="Table Body Text"/>
    <w:basedOn w:val="BodyText"/>
    <w:rsid w:val="00F62B56"/>
    <w:pPr>
      <w:spacing w:before="60" w:after="60"/>
    </w:pPr>
  </w:style>
  <w:style w:type="paragraph" w:styleId="ListContinue">
    <w:name w:val="List Continue"/>
    <w:basedOn w:val="List"/>
    <w:rsid w:val="00F62B56"/>
    <w:pPr>
      <w:ind w:firstLine="0"/>
    </w:pPr>
  </w:style>
  <w:style w:type="paragraph" w:customStyle="1" w:styleId="ListNote">
    <w:name w:val="List Note"/>
    <w:basedOn w:val="List"/>
    <w:rsid w:val="00F62B56"/>
    <w:pPr>
      <w:pBdr>
        <w:top w:val="single" w:sz="6" w:space="2" w:color="918585"/>
        <w:bottom w:val="single" w:sz="6" w:space="2" w:color="918585"/>
      </w:pBdr>
      <w:tabs>
        <w:tab w:val="left" w:pos="1021"/>
      </w:tabs>
      <w:ind w:firstLine="0"/>
    </w:pPr>
  </w:style>
  <w:style w:type="paragraph" w:customStyle="1" w:styleId="Warning">
    <w:name w:val="Warning"/>
    <w:basedOn w:val="BodyText"/>
    <w:rsid w:val="00F62B56"/>
    <w:pPr>
      <w:shd w:val="clear" w:color="auto" w:fill="D9D9D9"/>
      <w:tabs>
        <w:tab w:val="left" w:pos="992"/>
      </w:tabs>
      <w:ind w:left="119" w:right="119"/>
    </w:pPr>
    <w:rPr>
      <w:sz w:val="20"/>
    </w:rPr>
  </w:style>
  <w:style w:type="paragraph" w:customStyle="1" w:styleId="MarginIcons">
    <w:name w:val="Margin Icons"/>
    <w:basedOn w:val="BodyText"/>
    <w:rsid w:val="00F62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B56"/>
    <w:rPr>
      <w:rFonts w:ascii="Courier New" w:hAnsi="Courier New"/>
    </w:rPr>
  </w:style>
  <w:style w:type="paragraph" w:customStyle="1" w:styleId="NoteBullet">
    <w:name w:val="Note Bullet"/>
    <w:basedOn w:val="Note"/>
    <w:rsid w:val="00F62B56"/>
    <w:pPr>
      <w:tabs>
        <w:tab w:val="clear" w:pos="680"/>
      </w:tabs>
      <w:spacing w:before="60" w:after="60"/>
    </w:pPr>
  </w:style>
  <w:style w:type="paragraph" w:customStyle="1" w:styleId="SubHeading2">
    <w:name w:val="SubHeading2"/>
    <w:basedOn w:val="HeadingBase"/>
    <w:rsid w:val="00F62B56"/>
    <w:pPr>
      <w:spacing w:before="240" w:after="60"/>
    </w:pPr>
    <w:rPr>
      <w:sz w:val="20"/>
    </w:rPr>
  </w:style>
  <w:style w:type="paragraph" w:customStyle="1" w:styleId="SubHeading1">
    <w:name w:val="SubHeading1"/>
    <w:basedOn w:val="HeadingBase"/>
    <w:rsid w:val="00F62B56"/>
    <w:pPr>
      <w:spacing w:before="240" w:after="60"/>
    </w:pPr>
    <w:rPr>
      <w:color w:val="918585"/>
      <w:sz w:val="22"/>
    </w:rPr>
  </w:style>
  <w:style w:type="paragraph" w:customStyle="1" w:styleId="SideHeading">
    <w:name w:val="Side Heading"/>
    <w:basedOn w:val="HeadingBase"/>
    <w:rsid w:val="00F62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B56"/>
    <w:pPr>
      <w:tabs>
        <w:tab w:val="num" w:pos="360"/>
      </w:tabs>
    </w:pPr>
  </w:style>
  <w:style w:type="paragraph" w:styleId="PlainText">
    <w:name w:val="Plain Text"/>
    <w:basedOn w:val="Normal"/>
    <w:link w:val="PlainTextChar"/>
    <w:rsid w:val="00F62B56"/>
    <w:rPr>
      <w:sz w:val="20"/>
    </w:rPr>
  </w:style>
  <w:style w:type="character" w:customStyle="1" w:styleId="PlainTextChar">
    <w:name w:val="Plain Text Char"/>
    <w:basedOn w:val="DefaultParagraphFont"/>
    <w:link w:val="PlainText"/>
    <w:rsid w:val="00F62B56"/>
    <w:rPr>
      <w:rFonts w:ascii="Courier New" w:eastAsia="Times New Roman" w:hAnsi="Courier New" w:cs="Times New Roman"/>
      <w:sz w:val="20"/>
      <w:szCs w:val="20"/>
      <w:lang w:eastAsia="en-US"/>
    </w:rPr>
  </w:style>
  <w:style w:type="character" w:customStyle="1" w:styleId="MenuOption">
    <w:name w:val="Menu Option"/>
    <w:basedOn w:val="DefaultParagraphFont"/>
    <w:rsid w:val="00F62B56"/>
    <w:rPr>
      <w:b/>
      <w:smallCaps/>
    </w:rPr>
  </w:style>
  <w:style w:type="paragraph" w:customStyle="1" w:styleId="TableListNumber">
    <w:name w:val="Table List Number"/>
    <w:basedOn w:val="ListNumber"/>
    <w:rsid w:val="00F62B56"/>
    <w:pPr>
      <w:numPr>
        <w:numId w:val="0"/>
      </w:numPr>
    </w:pPr>
  </w:style>
  <w:style w:type="paragraph" w:styleId="TOC4">
    <w:name w:val="toc 4"/>
    <w:basedOn w:val="TOCBase"/>
    <w:next w:val="Normal"/>
    <w:semiHidden/>
    <w:rsid w:val="00F62B56"/>
    <w:pPr>
      <w:tabs>
        <w:tab w:val="right" w:leader="dot" w:pos="9071"/>
      </w:tabs>
      <w:ind w:left="1701"/>
    </w:pPr>
  </w:style>
  <w:style w:type="paragraph" w:customStyle="1" w:styleId="ListAlpha">
    <w:name w:val="List Alpha"/>
    <w:basedOn w:val="List"/>
    <w:rsid w:val="00F62B56"/>
    <w:pPr>
      <w:numPr>
        <w:numId w:val="9"/>
      </w:numPr>
    </w:pPr>
  </w:style>
  <w:style w:type="paragraph" w:customStyle="1" w:styleId="ListAlpha2">
    <w:name w:val="List Alpha 2"/>
    <w:basedOn w:val="List2"/>
    <w:rsid w:val="00F62B56"/>
    <w:pPr>
      <w:numPr>
        <w:numId w:val="8"/>
      </w:numPr>
    </w:pPr>
  </w:style>
  <w:style w:type="paragraph" w:styleId="List2">
    <w:name w:val="List 2"/>
    <w:basedOn w:val="BodyText"/>
    <w:rsid w:val="00F62B56"/>
    <w:pPr>
      <w:tabs>
        <w:tab w:val="left" w:pos="680"/>
      </w:tabs>
      <w:spacing w:before="60" w:after="60"/>
      <w:ind w:left="680" w:hanging="340"/>
    </w:pPr>
  </w:style>
  <w:style w:type="paragraph" w:styleId="List3">
    <w:name w:val="List 3"/>
    <w:basedOn w:val="BodyText"/>
    <w:rsid w:val="00F62B56"/>
    <w:pPr>
      <w:tabs>
        <w:tab w:val="left" w:pos="1021"/>
      </w:tabs>
      <w:spacing w:before="60" w:after="60"/>
      <w:ind w:left="1020" w:hanging="340"/>
    </w:pPr>
  </w:style>
  <w:style w:type="paragraph" w:styleId="List4">
    <w:name w:val="List 4"/>
    <w:basedOn w:val="BodyText"/>
    <w:rsid w:val="00F62B56"/>
    <w:pPr>
      <w:tabs>
        <w:tab w:val="left" w:pos="1361"/>
      </w:tabs>
      <w:spacing w:before="60" w:after="60"/>
      <w:ind w:left="1361" w:hanging="340"/>
    </w:pPr>
  </w:style>
  <w:style w:type="paragraph" w:styleId="List5">
    <w:name w:val="List 5"/>
    <w:basedOn w:val="BodyText"/>
    <w:rsid w:val="00F62B56"/>
    <w:pPr>
      <w:tabs>
        <w:tab w:val="left" w:pos="1701"/>
      </w:tabs>
      <w:spacing w:before="60" w:after="60"/>
      <w:ind w:left="1701" w:hanging="340"/>
    </w:pPr>
  </w:style>
  <w:style w:type="paragraph" w:styleId="ListBullet3">
    <w:name w:val="List Bullet 3"/>
    <w:basedOn w:val="List3"/>
    <w:rsid w:val="00F62B56"/>
    <w:pPr>
      <w:numPr>
        <w:numId w:val="14"/>
      </w:numPr>
      <w:tabs>
        <w:tab w:val="clear" w:pos="1021"/>
      </w:tabs>
      <w:ind w:left="1037" w:hanging="357"/>
    </w:pPr>
  </w:style>
  <w:style w:type="paragraph" w:styleId="ListBullet4">
    <w:name w:val="List Bullet 4"/>
    <w:basedOn w:val="List4"/>
    <w:rsid w:val="00F62B56"/>
    <w:pPr>
      <w:numPr>
        <w:numId w:val="3"/>
      </w:numPr>
      <w:tabs>
        <w:tab w:val="clear" w:pos="1361"/>
      </w:tabs>
    </w:pPr>
  </w:style>
  <w:style w:type="paragraph" w:styleId="ListBullet5">
    <w:name w:val="List Bullet 5"/>
    <w:basedOn w:val="List5"/>
    <w:rsid w:val="00F62B56"/>
    <w:pPr>
      <w:numPr>
        <w:numId w:val="4"/>
      </w:numPr>
    </w:pPr>
  </w:style>
  <w:style w:type="paragraph" w:styleId="ListContinue2">
    <w:name w:val="List Continue 2"/>
    <w:basedOn w:val="List2"/>
    <w:rsid w:val="00F62B56"/>
    <w:pPr>
      <w:ind w:firstLine="0"/>
    </w:pPr>
  </w:style>
  <w:style w:type="paragraph" w:styleId="ListContinue3">
    <w:name w:val="List Continue 3"/>
    <w:basedOn w:val="List3"/>
    <w:rsid w:val="00F62B56"/>
    <w:pPr>
      <w:ind w:left="1021" w:firstLine="0"/>
    </w:pPr>
  </w:style>
  <w:style w:type="paragraph" w:styleId="ListContinue4">
    <w:name w:val="List Continue 4"/>
    <w:basedOn w:val="List4"/>
    <w:rsid w:val="00F62B56"/>
    <w:pPr>
      <w:ind w:firstLine="0"/>
    </w:pPr>
  </w:style>
  <w:style w:type="paragraph" w:styleId="ListContinue5">
    <w:name w:val="List Continue 5"/>
    <w:basedOn w:val="List5"/>
    <w:rsid w:val="00F62B56"/>
    <w:pPr>
      <w:ind w:firstLine="0"/>
    </w:pPr>
  </w:style>
  <w:style w:type="paragraph" w:styleId="ListNumber3">
    <w:name w:val="List Number 3"/>
    <w:basedOn w:val="List3"/>
    <w:rsid w:val="00F62B56"/>
    <w:pPr>
      <w:numPr>
        <w:numId w:val="5"/>
      </w:numPr>
    </w:pPr>
  </w:style>
  <w:style w:type="paragraph" w:styleId="ListNumber4">
    <w:name w:val="List Number 4"/>
    <w:basedOn w:val="List4"/>
    <w:rsid w:val="00F62B56"/>
    <w:pPr>
      <w:numPr>
        <w:numId w:val="6"/>
      </w:numPr>
    </w:pPr>
  </w:style>
  <w:style w:type="paragraph" w:styleId="ListNumber5">
    <w:name w:val="List Number 5"/>
    <w:basedOn w:val="List5"/>
    <w:rsid w:val="00F62B56"/>
    <w:pPr>
      <w:numPr>
        <w:numId w:val="7"/>
      </w:numPr>
    </w:pPr>
  </w:style>
  <w:style w:type="paragraph" w:styleId="BlockText">
    <w:name w:val="Block Text"/>
    <w:basedOn w:val="Normal"/>
    <w:rsid w:val="00F62B56"/>
    <w:pPr>
      <w:spacing w:after="120"/>
      <w:ind w:left="1440" w:right="1440"/>
    </w:pPr>
  </w:style>
  <w:style w:type="character" w:customStyle="1" w:styleId="Subscript">
    <w:name w:val="Subscript"/>
    <w:basedOn w:val="DefaultParagraphFont"/>
    <w:rsid w:val="00F62B56"/>
    <w:rPr>
      <w:sz w:val="16"/>
      <w:vertAlign w:val="subscript"/>
    </w:rPr>
  </w:style>
  <w:style w:type="character" w:customStyle="1" w:styleId="Superscript">
    <w:name w:val="Superscript"/>
    <w:basedOn w:val="DefaultParagraphFont"/>
    <w:rsid w:val="00F62B56"/>
    <w:rPr>
      <w:sz w:val="16"/>
      <w:vertAlign w:val="superscript"/>
    </w:rPr>
  </w:style>
  <w:style w:type="character" w:customStyle="1" w:styleId="Symbols">
    <w:name w:val="Symbols"/>
    <w:basedOn w:val="DefaultParagraphFont"/>
    <w:rsid w:val="00F62B56"/>
    <w:rPr>
      <w:rFonts w:ascii="Symbol" w:hAnsi="Symbol"/>
    </w:rPr>
  </w:style>
  <w:style w:type="character" w:customStyle="1" w:styleId="MenuOptions">
    <w:name w:val="Menu Options"/>
    <w:basedOn w:val="DefaultParagraphFont"/>
    <w:rsid w:val="00F62B56"/>
    <w:rPr>
      <w:rFonts w:ascii="Arial Narrow" w:hAnsi="Arial Narrow"/>
      <w:smallCaps/>
    </w:rPr>
  </w:style>
  <w:style w:type="character" w:customStyle="1" w:styleId="Buttons">
    <w:name w:val="Buttons"/>
    <w:basedOn w:val="DefaultParagraphFont"/>
    <w:rsid w:val="00F62B56"/>
    <w:rPr>
      <w:b/>
    </w:rPr>
  </w:style>
  <w:style w:type="character" w:customStyle="1" w:styleId="Underlined">
    <w:name w:val="Underlined"/>
    <w:basedOn w:val="DefaultParagraphFont"/>
    <w:rsid w:val="00F62B56"/>
    <w:rPr>
      <w:u w:val="single"/>
    </w:rPr>
  </w:style>
  <w:style w:type="paragraph" w:customStyle="1" w:styleId="TableBodyTextRight">
    <w:name w:val="Table Body Text Right"/>
    <w:basedOn w:val="TableBodyText"/>
    <w:rsid w:val="00F62B56"/>
    <w:pPr>
      <w:widowControl w:val="0"/>
      <w:autoSpaceDE w:val="0"/>
      <w:autoSpaceDN w:val="0"/>
      <w:adjustRightInd w:val="0"/>
      <w:jc w:val="right"/>
    </w:pPr>
    <w:rPr>
      <w:rFonts w:cs="Arial"/>
      <w:szCs w:val="18"/>
    </w:rPr>
  </w:style>
  <w:style w:type="paragraph" w:customStyle="1" w:styleId="CopyrightText">
    <w:name w:val="Copyright Text"/>
    <w:basedOn w:val="BodyText"/>
    <w:rsid w:val="00F62B56"/>
    <w:rPr>
      <w:sz w:val="18"/>
    </w:rPr>
  </w:style>
  <w:style w:type="paragraph" w:customStyle="1" w:styleId="BodySmallRight">
    <w:name w:val="Body Small Right"/>
    <w:basedOn w:val="BodyTextRight"/>
    <w:rsid w:val="00F62B56"/>
    <w:rPr>
      <w:sz w:val="18"/>
      <w:szCs w:val="18"/>
    </w:rPr>
  </w:style>
  <w:style w:type="paragraph" w:customStyle="1" w:styleId="MarginEdition">
    <w:name w:val="Margin Edition"/>
    <w:basedOn w:val="MarginNote"/>
    <w:rsid w:val="00F62B56"/>
    <w:pPr>
      <w:spacing w:before="0" w:after="0"/>
    </w:pPr>
    <w:rPr>
      <w:rFonts w:ascii="Times New Roman" w:hAnsi="Times New Roman"/>
      <w:color w:val="999999"/>
    </w:rPr>
  </w:style>
  <w:style w:type="paragraph" w:customStyle="1" w:styleId="Spacer">
    <w:name w:val="Spacer"/>
    <w:basedOn w:val="Normal"/>
    <w:rsid w:val="00F62B56"/>
    <w:rPr>
      <w:sz w:val="2"/>
      <w:szCs w:val="2"/>
    </w:rPr>
  </w:style>
  <w:style w:type="character" w:customStyle="1" w:styleId="Small">
    <w:name w:val="Small"/>
    <w:basedOn w:val="DefaultParagraphFont"/>
    <w:rsid w:val="00F62B56"/>
    <w:rPr>
      <w:sz w:val="16"/>
    </w:rPr>
  </w:style>
  <w:style w:type="paragraph" w:customStyle="1" w:styleId="WideTable">
    <w:name w:val="Wide Table"/>
    <w:basedOn w:val="Normal"/>
    <w:rsid w:val="00F62B56"/>
    <w:pPr>
      <w:ind w:left="-1418"/>
    </w:pPr>
    <w:rPr>
      <w:sz w:val="2"/>
      <w:szCs w:val="2"/>
    </w:rPr>
  </w:style>
  <w:style w:type="character" w:styleId="PageNumber">
    <w:name w:val="page number"/>
    <w:basedOn w:val="DefaultParagraphFont"/>
    <w:rsid w:val="00F62B56"/>
  </w:style>
  <w:style w:type="paragraph" w:styleId="Quote">
    <w:name w:val="Quote"/>
    <w:basedOn w:val="Heading1"/>
    <w:link w:val="QuoteChar"/>
    <w:qFormat/>
    <w:rsid w:val="00F62B56"/>
    <w:rPr>
      <w:b w:val="0"/>
      <w:sz w:val="72"/>
      <w:szCs w:val="72"/>
      <w:lang w:val="en-NZ"/>
    </w:rPr>
  </w:style>
  <w:style w:type="character" w:customStyle="1" w:styleId="QuoteChar">
    <w:name w:val="Quote Char"/>
    <w:basedOn w:val="DefaultParagraphFont"/>
    <w:link w:val="Quote"/>
    <w:rsid w:val="00F62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B56"/>
    <w:pPr>
      <w:pageBreakBefore/>
    </w:pPr>
  </w:style>
  <w:style w:type="paragraph" w:customStyle="1" w:styleId="Border">
    <w:name w:val="Border"/>
    <w:basedOn w:val="Normal"/>
    <w:qFormat/>
    <w:rsid w:val="00F62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B56"/>
    <w:rPr>
      <w:b/>
      <w:bCs/>
      <w:i/>
      <w:iCs/>
      <w:color w:val="auto"/>
    </w:rPr>
  </w:style>
  <w:style w:type="paragraph" w:styleId="IntenseQuote">
    <w:name w:val="Intense Quote"/>
    <w:basedOn w:val="Normal"/>
    <w:next w:val="Normal"/>
    <w:link w:val="IntenseQuoteChar"/>
    <w:uiPriority w:val="30"/>
    <w:qFormat/>
    <w:rsid w:val="00F62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B56"/>
    <w:rPr>
      <w:smallCaps/>
      <w:color w:val="auto"/>
      <w:u w:val="single"/>
    </w:rPr>
  </w:style>
  <w:style w:type="character" w:styleId="IntenseReference">
    <w:name w:val="Intense Reference"/>
    <w:basedOn w:val="DefaultParagraphFont"/>
    <w:uiPriority w:val="32"/>
    <w:qFormat/>
    <w:rsid w:val="00F62B56"/>
    <w:rPr>
      <w:b/>
      <w:bCs/>
      <w:smallCaps/>
      <w:color w:val="auto"/>
      <w:spacing w:val="5"/>
      <w:u w:val="single"/>
    </w:rPr>
  </w:style>
  <w:style w:type="paragraph" w:customStyle="1" w:styleId="2ColumnHeading">
    <w:name w:val="2Column Heading"/>
    <w:basedOn w:val="BodyText"/>
    <w:qFormat/>
    <w:rsid w:val="00F62B56"/>
    <w:pPr>
      <w:spacing w:after="60"/>
      <w:ind w:left="-2268"/>
    </w:pPr>
    <w:rPr>
      <w:b/>
    </w:rPr>
  </w:style>
  <w:style w:type="paragraph" w:customStyle="1" w:styleId="Heading1TOC">
    <w:name w:val="Heading1 TOC"/>
    <w:basedOn w:val="Normal"/>
    <w:qFormat/>
    <w:rsid w:val="00F62B56"/>
    <w:pPr>
      <w:spacing w:before="240" w:after="120"/>
    </w:pPr>
    <w:rPr>
      <w:rFonts w:ascii="Times New Roman" w:hAnsi="Times New Roman"/>
      <w:b/>
      <w:sz w:val="32"/>
    </w:rPr>
  </w:style>
  <w:style w:type="paragraph" w:customStyle="1" w:styleId="Heading2TOC">
    <w:name w:val="Heading2 TOC"/>
    <w:basedOn w:val="Normal"/>
    <w:qFormat/>
    <w:rsid w:val="00F62B56"/>
    <w:pPr>
      <w:spacing w:before="240" w:after="60"/>
    </w:pPr>
    <w:rPr>
      <w:rFonts w:ascii="Times New Roman" w:hAnsi="Times New Roman"/>
      <w:b/>
      <w:sz w:val="28"/>
    </w:rPr>
  </w:style>
  <w:style w:type="character" w:customStyle="1" w:styleId="Underline">
    <w:name w:val="Underline"/>
    <w:basedOn w:val="DefaultParagraphFont"/>
    <w:qFormat/>
    <w:rsid w:val="00F62B56"/>
    <w:rPr>
      <w:u w:val="single"/>
    </w:rPr>
  </w:style>
  <w:style w:type="character" w:customStyle="1" w:styleId="BoldandItalics">
    <w:name w:val="Bold and Italics"/>
    <w:qFormat/>
    <w:rsid w:val="00F62B56"/>
    <w:rPr>
      <w:b/>
      <w:i/>
      <w:u w:val="none"/>
    </w:rPr>
  </w:style>
  <w:style w:type="paragraph" w:styleId="BalloonText">
    <w:name w:val="Balloon Text"/>
    <w:basedOn w:val="Normal"/>
    <w:link w:val="BalloonTextChar"/>
    <w:rsid w:val="00F62B56"/>
    <w:rPr>
      <w:rFonts w:ascii="Tahoma" w:hAnsi="Tahoma" w:cs="Tahoma"/>
      <w:sz w:val="16"/>
      <w:szCs w:val="16"/>
    </w:rPr>
  </w:style>
  <w:style w:type="character" w:customStyle="1" w:styleId="BalloonTextChar">
    <w:name w:val="Balloon Text Char"/>
    <w:basedOn w:val="DefaultParagraphFont"/>
    <w:link w:val="BalloonText"/>
    <w:rsid w:val="00F62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B56"/>
    <w:rPr>
      <w:b/>
      <w:color w:val="660033"/>
      <w:spacing w:val="0"/>
    </w:rPr>
  </w:style>
  <w:style w:type="paragraph" w:customStyle="1" w:styleId="Nameditemlist">
    <w:name w:val="Named item list"/>
    <w:basedOn w:val="BodyText"/>
    <w:qFormat/>
    <w:rsid w:val="00F62B56"/>
    <w:pPr>
      <w:tabs>
        <w:tab w:val="left" w:pos="2835"/>
      </w:tabs>
      <w:ind w:left="2835" w:hanging="2835"/>
    </w:pPr>
  </w:style>
  <w:style w:type="paragraph" w:customStyle="1" w:styleId="BodyTextnopadding">
    <w:name w:val="Body Text no padding"/>
    <w:basedOn w:val="BodyText"/>
    <w:qFormat/>
    <w:rsid w:val="00F62B56"/>
    <w:pPr>
      <w:spacing w:before="0" w:after="0"/>
    </w:pPr>
  </w:style>
  <w:style w:type="paragraph" w:customStyle="1" w:styleId="BodyTextBold">
    <w:name w:val="Body Text Bold"/>
    <w:basedOn w:val="BodyText"/>
    <w:qFormat/>
    <w:rsid w:val="00F62B56"/>
    <w:rPr>
      <w:b/>
    </w:rPr>
  </w:style>
  <w:style w:type="character" w:styleId="Hyperlink">
    <w:name w:val="Hyperlink"/>
    <w:basedOn w:val="DefaultParagraphFont"/>
    <w:uiPriority w:val="99"/>
    <w:unhideWhenUsed/>
    <w:rsid w:val="00E95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4594</Characters>
  <Application>Microsoft Office Word</Application>
  <DocSecurity>0</DocSecurity>
  <Lines>99</Lines>
  <Paragraphs>71</Paragraphs>
  <ScaleCrop>false</ScaleCrop>
  <Company>Author-it Software Corporation Ltd.</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MEASTR0017 Perform major disassembly and reassembly on aircraft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