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11F" w:rsidP="00D05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MEASTR0007 Pre-treat aluminium alloy surfaces</w:t>
      </w:r>
      <w:r>
        <w:fldChar w:fldCharType="end"/>
      </w:r>
    </w:p>
    <w:p w:rsidR="00D0511F" w:rsidP="00D0511F">
      <w:pPr>
        <w:pStyle w:val="Version"/>
        <w:sectPr w:rsidSect="00642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7FA" w:rsidP="006427FA">
      <w:pPr>
        <w:pStyle w:val="SuperHeading"/>
      </w:pPr>
      <w:r w:rsidRPr="006427FA">
        <w:t>Assessment Requirements for MEASTR0007 Pre-treat aluminium alloy surfaces</w:t>
      </w:r>
    </w:p>
    <w:p w:rsidR="00000000" w:rsidRPr="006427FA" w:rsidP="006427FA">
      <w:pPr>
        <w:pStyle w:val="Heading1"/>
      </w:pPr>
      <w:bookmarkStart w:id="1" w:name="O_1249835"/>
      <w:bookmarkEnd w:id="1"/>
      <w:r w:rsidRPr="006427FA">
        <w:t>Modification History</w:t>
      </w:r>
    </w:p>
    <w:p w:rsidR="00D0511F" w:rsidP="00D0511F">
      <w:pPr>
        <w:pStyle w:val="BodyText"/>
      </w:pPr>
      <w:r w:rsidRPr="006427FA">
        <w:t>Release 1. Application changed. Elements and Performance Criteria chang</w:t>
      </w:r>
      <w:r w:rsidRPr="006427FA">
        <w:t>ed. Foundation Skills made explicit. Range of Conditions removed, and relevant information moved to Assessment Requirements. Assessment Requirements clarified. Supersedes and is equivalent to MEA412 Pre-treat aluminium alloy surfaces.</w:t>
      </w:r>
    </w:p>
    <w:p w:rsidR="00000000" w:rsidRPr="006427FA" w:rsidP="006427FA">
      <w:pPr>
        <w:pStyle w:val="Heading1"/>
      </w:pPr>
      <w:bookmarkStart w:id="2" w:name="O_1249836"/>
      <w:bookmarkEnd w:id="2"/>
      <w:r w:rsidRPr="006427FA">
        <w:t>P</w:t>
      </w:r>
      <w:r w:rsidRPr="006427FA">
        <w:t>erformance Evidence</w:t>
      </w:r>
    </w:p>
    <w:p w:rsidR="00000000" w:rsidRPr="006427FA" w:rsidP="00D0511F">
      <w:pPr>
        <w:pStyle w:val="BodyText"/>
      </w:pPr>
      <w:r w:rsidRPr="006427FA">
        <w:t>There must be evidence the candidate has completed all the tasks outlined in the elements and performance criteria of this unit, and demonstrated the ability to:</w:t>
      </w:r>
    </w:p>
    <w:p w:rsidR="00000000" w:rsidRPr="006427FA" w:rsidP="006427FA">
      <w:pPr>
        <w:pStyle w:val="ListBullet"/>
      </w:pPr>
      <w:r w:rsidRPr="006427FA">
        <w:t>pre-treat aluminium alloy surfaces during scheduled or unscheduled mainte</w:t>
      </w:r>
      <w:r w:rsidRPr="006427FA">
        <w:t xml:space="preserve">nance on at least two occasions </w:t>
      </w:r>
    </w:p>
    <w:p w:rsidR="00D0511F" w:rsidP="006427FA">
      <w:pPr>
        <w:pStyle w:val="ListBullet"/>
      </w:pPr>
      <w:r w:rsidRPr="006427FA">
        <w:t>apply procedures, cleanliness requirements and safety precautions at all times, and as relevant to the surfaces being worked on.</w:t>
      </w:r>
    </w:p>
    <w:p w:rsidR="00D0511F" w:rsidP="006427FA">
      <w:pPr>
        <w:pStyle w:val="ListBullet"/>
      </w:pPr>
    </w:p>
    <w:p w:rsidR="00000000" w:rsidRPr="006427FA" w:rsidP="006427FA">
      <w:pPr>
        <w:pStyle w:val="Heading1"/>
      </w:pPr>
      <w:bookmarkStart w:id="3" w:name="O_1249837"/>
      <w:bookmarkEnd w:id="3"/>
      <w:r w:rsidRPr="006427FA">
        <w:t>Knowledge Evidence</w:t>
      </w:r>
    </w:p>
    <w:p w:rsidR="00000000" w:rsidRPr="006427FA" w:rsidP="00D0511F">
      <w:pPr>
        <w:pStyle w:val="BodyText"/>
      </w:pPr>
      <w:r w:rsidRPr="006427FA">
        <w:t>There must be evidence the candidate has knowledge of:</w:t>
      </w:r>
    </w:p>
    <w:p w:rsidR="00000000" w:rsidRPr="006427FA" w:rsidP="006427FA">
      <w:pPr>
        <w:pStyle w:val="ListBullet"/>
      </w:pPr>
      <w:r w:rsidRPr="006427FA">
        <w:t>relevant enterprise procedures and/or process specifications, as outlined in:</w:t>
      </w:r>
    </w:p>
    <w:p w:rsidR="00000000" w:rsidRPr="006427FA" w:rsidP="006427FA">
      <w:pPr>
        <w:pStyle w:val="ListBullet2"/>
      </w:pPr>
      <w:r w:rsidRPr="006427FA">
        <w:t>Commonwealth, state and territory environmental legislation, regulations and codes for the storage and disposal of hazardous and toxic materials</w:t>
      </w:r>
    </w:p>
    <w:p w:rsidR="00000000" w:rsidRPr="006427FA" w:rsidP="006427FA">
      <w:pPr>
        <w:pStyle w:val="ListBullet2"/>
      </w:pPr>
      <w:r w:rsidRPr="006427FA">
        <w:t>material safety data sheets (MSDSs)</w:t>
      </w:r>
    </w:p>
    <w:p w:rsidR="00000000" w:rsidRPr="006427FA" w:rsidP="006427FA">
      <w:pPr>
        <w:pStyle w:val="ListBullet2"/>
      </w:pPr>
      <w:r w:rsidRPr="006427FA">
        <w:t>maintenance organisation manual</w:t>
      </w:r>
    </w:p>
    <w:p w:rsidR="00000000" w:rsidRPr="006427FA" w:rsidP="006427FA">
      <w:pPr>
        <w:pStyle w:val="ListBullet2"/>
      </w:pPr>
      <w:r w:rsidRPr="006427FA">
        <w:t>procedures manual</w:t>
      </w:r>
    </w:p>
    <w:p w:rsidR="00000000" w:rsidRPr="006427FA" w:rsidP="006427FA">
      <w:pPr>
        <w:pStyle w:val="ListBullet2"/>
      </w:pPr>
      <w:r w:rsidRPr="006427FA">
        <w:t>work instructions</w:t>
      </w:r>
    </w:p>
    <w:p w:rsidR="00000000" w:rsidRPr="006427FA" w:rsidP="006427FA">
      <w:pPr>
        <w:pStyle w:val="ListBullet2"/>
      </w:pPr>
      <w:r w:rsidRPr="006427FA">
        <w:t>relevant defence regulations and instructions</w:t>
      </w:r>
    </w:p>
    <w:p w:rsidR="00000000" w:rsidRPr="006427FA" w:rsidP="006427FA">
      <w:pPr>
        <w:pStyle w:val="ListBullet2"/>
      </w:pPr>
      <w:r w:rsidRPr="006427FA">
        <w:t>standing instructions</w:t>
      </w:r>
    </w:p>
    <w:p w:rsidR="00000000" w:rsidRPr="006427FA" w:rsidP="006427FA">
      <w:pPr>
        <w:pStyle w:val="ListBullet"/>
      </w:pPr>
      <w:r w:rsidRPr="006427FA">
        <w:t>work health and safety (WHS) procedures for aluminium alloy pre-treatment processes</w:t>
      </w:r>
      <w:r w:rsidRPr="006427FA">
        <w:t>, including the use of personal protective equipment (PPE), as outlined in:</w:t>
      </w:r>
    </w:p>
    <w:p w:rsidR="00000000" w:rsidRPr="006427FA" w:rsidP="006427FA">
      <w:pPr>
        <w:pStyle w:val="ListBullet2"/>
      </w:pPr>
      <w:r w:rsidRPr="006427FA">
        <w:t>Commonwealth, state and territory WHS legislation, regulations and codes</w:t>
      </w:r>
    </w:p>
    <w:p w:rsidR="00000000" w:rsidRPr="006427FA" w:rsidP="006427FA">
      <w:pPr>
        <w:pStyle w:val="ListBullet2"/>
      </w:pPr>
      <w:r w:rsidRPr="006427FA">
        <w:t>procedures manual</w:t>
      </w:r>
    </w:p>
    <w:p w:rsidR="00000000" w:rsidRPr="006427FA" w:rsidP="006427FA">
      <w:pPr>
        <w:pStyle w:val="ListBullet2"/>
      </w:pPr>
      <w:r w:rsidRPr="006427FA">
        <w:t>safety manual</w:t>
      </w:r>
    </w:p>
    <w:p w:rsidR="00000000" w:rsidRPr="006427FA" w:rsidP="006427FA">
      <w:pPr>
        <w:pStyle w:val="ListBullet2"/>
      </w:pPr>
      <w:r w:rsidRPr="006427FA">
        <w:t>work instructions</w:t>
      </w:r>
    </w:p>
    <w:p w:rsidR="00000000" w:rsidRPr="006427FA" w:rsidP="006427FA">
      <w:pPr>
        <w:pStyle w:val="ListBullet2"/>
      </w:pPr>
      <w:r w:rsidRPr="006427FA">
        <w:t>maintenance organisation manual</w:t>
      </w:r>
    </w:p>
    <w:p w:rsidR="00000000" w:rsidRPr="006427FA" w:rsidP="006427FA">
      <w:pPr>
        <w:pStyle w:val="ListBullet2"/>
      </w:pPr>
      <w:r w:rsidRPr="006427FA">
        <w:t>MSDSs</w:t>
      </w:r>
    </w:p>
    <w:p w:rsidR="00000000" w:rsidRPr="006427FA" w:rsidP="006427FA">
      <w:pPr>
        <w:pStyle w:val="ListBullet2"/>
      </w:pPr>
      <w:r w:rsidRPr="006427FA">
        <w:t>defence regulation</w:t>
      </w:r>
      <w:r w:rsidRPr="006427FA">
        <w:t>s and instructions</w:t>
      </w:r>
    </w:p>
    <w:p w:rsidR="00000000" w:rsidRPr="006427FA" w:rsidP="006427FA">
      <w:pPr>
        <w:pStyle w:val="ListBullet2"/>
      </w:pPr>
      <w:r w:rsidRPr="006427FA">
        <w:t xml:space="preserve">standing instructions </w:t>
      </w:r>
    </w:p>
    <w:p w:rsidR="00000000" w:rsidRPr="006427FA" w:rsidP="006427FA">
      <w:pPr>
        <w:pStyle w:val="ListBullet"/>
      </w:pPr>
      <w:r w:rsidRPr="006427FA">
        <w:t>how to obtain MSDSs</w:t>
      </w:r>
    </w:p>
    <w:p w:rsidR="00000000" w:rsidRPr="006427FA" w:rsidP="006427FA">
      <w:pPr>
        <w:pStyle w:val="ListBullet"/>
      </w:pPr>
      <w:r w:rsidRPr="006427FA">
        <w:t>types of masking and barrier materials</w:t>
      </w:r>
    </w:p>
    <w:p w:rsidR="00000000" w:rsidRPr="006427FA" w:rsidP="006427FA">
      <w:pPr>
        <w:pStyle w:val="ListBullet"/>
      </w:pPr>
      <w:r w:rsidRPr="006427FA">
        <w:t>types of pre-treatment processes</w:t>
      </w:r>
    </w:p>
    <w:p w:rsidR="00000000" w:rsidRPr="006427FA" w:rsidP="006427FA">
      <w:pPr>
        <w:pStyle w:val="ListBullet"/>
      </w:pPr>
      <w:r w:rsidRPr="006427FA">
        <w:t>the environmental conditions that may affect coatings</w:t>
      </w:r>
    </w:p>
    <w:p w:rsidR="00000000" w:rsidRPr="006427FA" w:rsidP="006427FA">
      <w:pPr>
        <w:pStyle w:val="ListBullet"/>
      </w:pPr>
      <w:r w:rsidRPr="006427FA">
        <w:t>common types of surface soils, including:</w:t>
      </w:r>
    </w:p>
    <w:p w:rsidR="00000000" w:rsidRPr="006427FA" w:rsidP="006427FA">
      <w:pPr>
        <w:pStyle w:val="ListBullet2"/>
      </w:pPr>
      <w:r w:rsidRPr="006427FA">
        <w:t>paint</w:t>
      </w:r>
    </w:p>
    <w:p w:rsidR="00000000" w:rsidRPr="006427FA" w:rsidP="006427FA">
      <w:pPr>
        <w:pStyle w:val="ListBullet2"/>
      </w:pPr>
      <w:r w:rsidRPr="006427FA">
        <w:t>dirt</w:t>
      </w:r>
    </w:p>
    <w:p w:rsidR="00000000" w:rsidRPr="006427FA" w:rsidP="006427FA">
      <w:pPr>
        <w:pStyle w:val="ListBullet2"/>
      </w:pPr>
      <w:r w:rsidRPr="006427FA">
        <w:t>grease</w:t>
      </w:r>
    </w:p>
    <w:p w:rsidR="00000000" w:rsidRPr="006427FA" w:rsidP="006427FA">
      <w:pPr>
        <w:pStyle w:val="ListBullet2"/>
      </w:pPr>
      <w:r w:rsidRPr="006427FA">
        <w:t>oils</w:t>
      </w:r>
    </w:p>
    <w:p w:rsidR="00000000" w:rsidRPr="006427FA" w:rsidP="006427FA">
      <w:pPr>
        <w:pStyle w:val="ListBullet2"/>
      </w:pPr>
      <w:r w:rsidRPr="006427FA">
        <w:t>duel</w:t>
      </w:r>
    </w:p>
    <w:p w:rsidR="00000000" w:rsidRPr="006427FA" w:rsidP="006427FA">
      <w:pPr>
        <w:pStyle w:val="ListBullet2"/>
      </w:pPr>
      <w:r w:rsidRPr="006427FA">
        <w:t>adhesives</w:t>
      </w:r>
    </w:p>
    <w:p w:rsidR="00D0511F" w:rsidP="006427FA">
      <w:pPr>
        <w:pStyle w:val="ListBullet"/>
      </w:pPr>
      <w:r w:rsidRPr="006427FA">
        <w:t>environmental legislation and regulations relating to the storage, use and disposal of hazardous materials.</w:t>
      </w:r>
    </w:p>
    <w:p w:rsidR="00D0511F" w:rsidP="006427FA">
      <w:pPr>
        <w:pStyle w:val="ListBullet"/>
      </w:pPr>
    </w:p>
    <w:p w:rsidR="00000000" w:rsidRPr="006427FA" w:rsidP="006427FA">
      <w:pPr>
        <w:pStyle w:val="Heading1"/>
      </w:pPr>
      <w:bookmarkStart w:id="4" w:name="O_1249838"/>
      <w:bookmarkEnd w:id="4"/>
      <w:r w:rsidRPr="006427FA">
        <w:t>Assessment Conditions</w:t>
      </w:r>
    </w:p>
    <w:p w:rsidR="00000000" w:rsidRPr="006427FA" w:rsidP="00D0511F">
      <w:pPr>
        <w:pStyle w:val="BodyText"/>
      </w:pPr>
      <w:r w:rsidRPr="006427FA">
        <w:t>The following conditions of assessment represent the requirements of the regulators (DASA and CASA) and maintenance stakeholders and must be rigorously observed.</w:t>
      </w:r>
    </w:p>
    <w:p w:rsidR="00000000" w:rsidRPr="006427FA" w:rsidP="00D0511F">
      <w:pPr>
        <w:pStyle w:val="BodyText"/>
      </w:pPr>
      <w:r w:rsidRPr="006427FA">
        <w:t>Skills must have been demonstrated under routine supervision in the workplace or in a simulate</w:t>
      </w:r>
      <w:r w:rsidRPr="006427FA">
        <w:t>d environment that reflects workplace conditions and contingencies encountered in removing surface coatings from aircraft or aircraft components. The following conditions must be met for this unit:</w:t>
      </w:r>
    </w:p>
    <w:p w:rsidR="00000000" w:rsidRPr="006427FA" w:rsidP="006427FA">
      <w:pPr>
        <w:pStyle w:val="ListBullet"/>
      </w:pPr>
      <w:r w:rsidRPr="006427FA">
        <w:t>use of suitable facilities, equipment and resources, incl</w:t>
      </w:r>
      <w:r w:rsidRPr="006427FA">
        <w:t>uding:</w:t>
      </w:r>
    </w:p>
    <w:p w:rsidR="00000000" w:rsidRPr="006427FA" w:rsidP="006427FA">
      <w:pPr>
        <w:pStyle w:val="ListBullet2"/>
      </w:pPr>
      <w:r w:rsidRPr="006427FA">
        <w:t xml:space="preserve">workplace procedures, manufacturing specifications, codes, standards, manuals, and reference materials relevant to removing surface coatings from aircraft or aircraft components  </w:t>
      </w:r>
    </w:p>
    <w:p w:rsidR="00000000" w:rsidRPr="006427FA" w:rsidP="006427FA">
      <w:pPr>
        <w:pStyle w:val="ListBullet2"/>
      </w:pPr>
      <w:r w:rsidRPr="006427FA">
        <w:t xml:space="preserve">materials, tools and equipment specified in the maintenance manuals </w:t>
      </w:r>
      <w:r w:rsidRPr="006427FA">
        <w:t>and applicable procedures</w:t>
      </w:r>
    </w:p>
    <w:p w:rsidR="00000000" w:rsidRPr="006427FA" w:rsidP="006427FA">
      <w:pPr>
        <w:pStyle w:val="ListBullet2"/>
      </w:pPr>
      <w:r w:rsidRPr="006427FA">
        <w:t xml:space="preserve">general and special-purpose tools and items of ground support. </w:t>
      </w:r>
    </w:p>
    <w:p w:rsidR="00000000" w:rsidRPr="006427FA" w:rsidP="00D0511F">
      <w:pPr>
        <w:pStyle w:val="BodyText"/>
      </w:pPr>
      <w:r w:rsidRPr="006427FA">
        <w:t xml:space="preserve">Evidence of tasks demonstrating competency must be recorded in a log of industrial experience and achievement. </w:t>
      </w:r>
    </w:p>
    <w:p w:rsidR="00D0511F" w:rsidP="00D0511F">
      <w:pPr>
        <w:pStyle w:val="BodyText"/>
      </w:pPr>
      <w:r w:rsidRPr="006427FA">
        <w:t>Assessors must satisfy the NVR/AQTF mandatory competen</w:t>
      </w:r>
      <w:r w:rsidRPr="006427FA">
        <w:t>cy requirements for assessors.</w:t>
      </w:r>
    </w:p>
    <w:p w:rsidR="00000000" w:rsidRPr="006427FA" w:rsidP="006427FA">
      <w:pPr>
        <w:pStyle w:val="Heading1"/>
      </w:pPr>
      <w:bookmarkStart w:id="5" w:name="O_1249841"/>
      <w:bookmarkEnd w:id="5"/>
      <w:r w:rsidRPr="006427FA">
        <w:t>Links</w:t>
      </w:r>
    </w:p>
    <w:p w:rsidR="00000000" w:rsidRPr="006427FA" w:rsidP="00D0511F">
      <w:pPr>
        <w:pStyle w:val="BodyText"/>
      </w:pPr>
      <w:r w:rsidRPr="006427F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4263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427FA" w:rsidP="006427FA"/>
    <w:sectPr w:rsidSect="006427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FA" w:rsidRPr="00D0511F" w:rsidP="00D05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1F" w:rsidP="00642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11F" w:rsidP="00642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511F" w:rsidP="00642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7FA" w:rsidRPr="00D0511F" w:rsidP="00D05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11F" w:rsidRPr="002D2AF8" w:rsidP="00642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MEASTR0007 Pre-treat aluminium alloy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0511F" w:rsidP="00642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823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2F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662B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7FA"/>
  </w:style>
  <w:style w:type="character" w:customStyle="1" w:styleId="Heading1Char">
    <w:name w:val="Heading 1 Char"/>
    <w:basedOn w:val="DefaultParagraphFont"/>
    <w:link w:val="Heading1"/>
    <w:rsid w:val="00642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7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7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7FA"/>
    <w:rPr>
      <w:b/>
      <w:spacing w:val="0"/>
    </w:rPr>
  </w:style>
  <w:style w:type="paragraph" w:customStyle="1" w:styleId="SuperTitle">
    <w:name w:val="SuperTitle"/>
    <w:basedOn w:val="Title"/>
    <w:rsid w:val="00642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7FA"/>
    <w:rPr>
      <w:i/>
    </w:rPr>
  </w:style>
  <w:style w:type="paragraph" w:styleId="Caption">
    <w:name w:val="caption"/>
    <w:basedOn w:val="BodyText"/>
    <w:next w:val="Normal"/>
    <w:qFormat/>
    <w:rsid w:val="00642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7FA"/>
  </w:style>
  <w:style w:type="paragraph" w:styleId="TableofFigures">
    <w:name w:val="table of figures"/>
    <w:basedOn w:val="Normal"/>
    <w:next w:val="Normal"/>
    <w:semiHidden/>
    <w:rsid w:val="00642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7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7FA"/>
    <w:rPr>
      <w:rFonts w:ascii="Wingdings" w:hAnsi="Wingdings"/>
    </w:rPr>
  </w:style>
  <w:style w:type="paragraph" w:customStyle="1" w:styleId="TableHeading">
    <w:name w:val="Table Heading"/>
    <w:basedOn w:val="HeadingBase"/>
    <w:rsid w:val="00642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7FA"/>
    <w:rPr>
      <w:color w:val="0033CC"/>
      <w:u w:val="none"/>
    </w:rPr>
  </w:style>
  <w:style w:type="paragraph" w:customStyle="1" w:styleId="BodyTextRight">
    <w:name w:val="Body Text Right"/>
    <w:basedOn w:val="BodyText"/>
    <w:rsid w:val="00642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7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7FA"/>
    <w:rPr>
      <w:sz w:val="32"/>
    </w:rPr>
  </w:style>
  <w:style w:type="paragraph" w:customStyle="1" w:styleId="HeadingProcedure">
    <w:name w:val="Heading Procedure"/>
    <w:basedOn w:val="HeadingBase"/>
    <w:next w:val="Normal"/>
    <w:rsid w:val="00642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7FA"/>
    <w:pPr>
      <w:spacing w:before="60" w:after="60"/>
    </w:pPr>
  </w:style>
  <w:style w:type="paragraph" w:styleId="ListContinue">
    <w:name w:val="List Continue"/>
    <w:basedOn w:val="List"/>
    <w:rsid w:val="006427FA"/>
    <w:pPr>
      <w:ind w:firstLine="0"/>
    </w:pPr>
  </w:style>
  <w:style w:type="paragraph" w:customStyle="1" w:styleId="ListNote">
    <w:name w:val="List Note"/>
    <w:basedOn w:val="List"/>
    <w:rsid w:val="00642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7FA"/>
    <w:rPr>
      <w:rFonts w:ascii="Courier New" w:hAnsi="Courier New"/>
    </w:rPr>
  </w:style>
  <w:style w:type="paragraph" w:customStyle="1" w:styleId="NoteBullet">
    <w:name w:val="Note Bullet"/>
    <w:basedOn w:val="Note"/>
    <w:rsid w:val="00642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7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7FA"/>
    <w:rPr>
      <w:b/>
      <w:smallCaps/>
    </w:rPr>
  </w:style>
  <w:style w:type="paragraph" w:customStyle="1" w:styleId="TableListNumber">
    <w:name w:val="Table List Number"/>
    <w:basedOn w:val="ListNumber"/>
    <w:rsid w:val="00642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7FA"/>
    <w:pPr>
      <w:numPr>
        <w:numId w:val="9"/>
      </w:numPr>
    </w:pPr>
  </w:style>
  <w:style w:type="paragraph" w:customStyle="1" w:styleId="ListAlpha2">
    <w:name w:val="List Alpha 2"/>
    <w:basedOn w:val="List2"/>
    <w:rsid w:val="006427FA"/>
    <w:pPr>
      <w:numPr>
        <w:numId w:val="8"/>
      </w:numPr>
    </w:pPr>
  </w:style>
  <w:style w:type="paragraph" w:styleId="List2">
    <w:name w:val="List 2"/>
    <w:basedOn w:val="BodyText"/>
    <w:rsid w:val="00642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7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7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7FA"/>
    <w:pPr>
      <w:numPr>
        <w:numId w:val="4"/>
      </w:numPr>
    </w:pPr>
  </w:style>
  <w:style w:type="paragraph" w:styleId="ListContinue2">
    <w:name w:val="List Continue 2"/>
    <w:basedOn w:val="List2"/>
    <w:rsid w:val="006427FA"/>
    <w:pPr>
      <w:ind w:firstLine="0"/>
    </w:pPr>
  </w:style>
  <w:style w:type="paragraph" w:styleId="ListContinue3">
    <w:name w:val="List Continue 3"/>
    <w:basedOn w:val="List3"/>
    <w:rsid w:val="006427FA"/>
    <w:pPr>
      <w:ind w:left="1021" w:firstLine="0"/>
    </w:pPr>
  </w:style>
  <w:style w:type="paragraph" w:styleId="ListContinue4">
    <w:name w:val="List Continue 4"/>
    <w:basedOn w:val="List4"/>
    <w:rsid w:val="006427FA"/>
    <w:pPr>
      <w:ind w:firstLine="0"/>
    </w:pPr>
  </w:style>
  <w:style w:type="paragraph" w:styleId="ListContinue5">
    <w:name w:val="List Continue 5"/>
    <w:basedOn w:val="List5"/>
    <w:rsid w:val="006427FA"/>
    <w:pPr>
      <w:ind w:firstLine="0"/>
    </w:pPr>
  </w:style>
  <w:style w:type="paragraph" w:styleId="ListNumber3">
    <w:name w:val="List Number 3"/>
    <w:basedOn w:val="List3"/>
    <w:rsid w:val="006427FA"/>
    <w:pPr>
      <w:numPr>
        <w:numId w:val="5"/>
      </w:numPr>
    </w:pPr>
  </w:style>
  <w:style w:type="paragraph" w:styleId="ListNumber4">
    <w:name w:val="List Number 4"/>
    <w:basedOn w:val="List4"/>
    <w:rsid w:val="006427FA"/>
    <w:pPr>
      <w:numPr>
        <w:numId w:val="6"/>
      </w:numPr>
    </w:pPr>
  </w:style>
  <w:style w:type="paragraph" w:styleId="ListNumber5">
    <w:name w:val="List Number 5"/>
    <w:basedOn w:val="List5"/>
    <w:rsid w:val="006427FA"/>
    <w:pPr>
      <w:numPr>
        <w:numId w:val="7"/>
      </w:numPr>
    </w:pPr>
  </w:style>
  <w:style w:type="paragraph" w:styleId="BlockText">
    <w:name w:val="Block Text"/>
    <w:basedOn w:val="Normal"/>
    <w:rsid w:val="00642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7FA"/>
    <w:rPr>
      <w:sz w:val="16"/>
      <w:vertAlign w:val="superscript"/>
    </w:rPr>
  </w:style>
  <w:style w:type="character" w:customStyle="1" w:styleId="Symbols">
    <w:name w:val="Symbols"/>
    <w:basedOn w:val="DefaultParagraphFont"/>
    <w:rsid w:val="006427FA"/>
    <w:rPr>
      <w:rFonts w:ascii="Symbol" w:hAnsi="Symbol"/>
    </w:rPr>
  </w:style>
  <w:style w:type="character" w:customStyle="1" w:styleId="MenuOptions">
    <w:name w:val="Menu Options"/>
    <w:basedOn w:val="DefaultParagraphFont"/>
    <w:rsid w:val="00642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7FA"/>
    <w:rPr>
      <w:b/>
    </w:rPr>
  </w:style>
  <w:style w:type="character" w:customStyle="1" w:styleId="Underlined">
    <w:name w:val="Underlined"/>
    <w:basedOn w:val="DefaultParagraphFont"/>
    <w:rsid w:val="006427FA"/>
    <w:rPr>
      <w:u w:val="single"/>
    </w:rPr>
  </w:style>
  <w:style w:type="paragraph" w:customStyle="1" w:styleId="TableBodyTextRight">
    <w:name w:val="Table Body Text Right"/>
    <w:basedOn w:val="TableBodyText"/>
    <w:rsid w:val="00642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7FA"/>
    <w:rPr>
      <w:sz w:val="18"/>
    </w:rPr>
  </w:style>
  <w:style w:type="paragraph" w:customStyle="1" w:styleId="BodySmallRight">
    <w:name w:val="Body Small Right"/>
    <w:basedOn w:val="BodyTextRight"/>
    <w:rsid w:val="006427FA"/>
    <w:rPr>
      <w:sz w:val="18"/>
      <w:szCs w:val="18"/>
    </w:rPr>
  </w:style>
  <w:style w:type="paragraph" w:customStyle="1" w:styleId="MarginEdition">
    <w:name w:val="Margin Edition"/>
    <w:basedOn w:val="MarginNote"/>
    <w:rsid w:val="00642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7FA"/>
    <w:rPr>
      <w:sz w:val="2"/>
      <w:szCs w:val="2"/>
    </w:rPr>
  </w:style>
  <w:style w:type="character" w:customStyle="1" w:styleId="Small">
    <w:name w:val="Small"/>
    <w:basedOn w:val="DefaultParagraphFont"/>
    <w:rsid w:val="006427FA"/>
    <w:rPr>
      <w:sz w:val="16"/>
    </w:rPr>
  </w:style>
  <w:style w:type="paragraph" w:customStyle="1" w:styleId="WideTable">
    <w:name w:val="Wide Table"/>
    <w:basedOn w:val="Normal"/>
    <w:rsid w:val="00642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7FA"/>
  </w:style>
  <w:style w:type="paragraph" w:styleId="Quote">
    <w:name w:val="Quote"/>
    <w:basedOn w:val="Heading1"/>
    <w:link w:val="QuoteChar"/>
    <w:qFormat/>
    <w:rsid w:val="00642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7FA"/>
    <w:pPr>
      <w:pageBreakBefore/>
    </w:pPr>
  </w:style>
  <w:style w:type="paragraph" w:customStyle="1" w:styleId="Border">
    <w:name w:val="Border"/>
    <w:basedOn w:val="Normal"/>
    <w:qFormat/>
    <w:rsid w:val="00642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7FA"/>
    <w:rPr>
      <w:u w:val="single"/>
    </w:rPr>
  </w:style>
  <w:style w:type="character" w:customStyle="1" w:styleId="BoldandItalics">
    <w:name w:val="Bold and Italics"/>
    <w:qFormat/>
    <w:rsid w:val="006427FA"/>
    <w:rPr>
      <w:b/>
      <w:i/>
      <w:u w:val="none"/>
    </w:rPr>
  </w:style>
  <w:style w:type="paragraph" w:styleId="BalloonText">
    <w:name w:val="Balloon Text"/>
    <w:basedOn w:val="Normal"/>
    <w:link w:val="BalloonTextChar"/>
    <w:rsid w:val="00642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7FA"/>
    <w:pPr>
      <w:spacing w:before="0" w:after="0"/>
    </w:pPr>
  </w:style>
  <w:style w:type="paragraph" w:customStyle="1" w:styleId="BodyTextBold">
    <w:name w:val="Body Text Bold"/>
    <w:basedOn w:val="BodyText"/>
    <w:qFormat/>
    <w:rsid w:val="006427FA"/>
    <w:rPr>
      <w:b/>
    </w:rPr>
  </w:style>
  <w:style w:type="character" w:styleId="Hyperlink">
    <w:name w:val="Hyperlink"/>
    <w:basedOn w:val="DefaultParagraphFont"/>
    <w:uiPriority w:val="99"/>
    <w:unhideWhenUsed/>
    <w:rsid w:val="00D05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3050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MEASTR0007 Pre-treat aluminium alloy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2022-11-22T01:15:00Z</dcterms:created>
  <dcterms:modified xsi:type="dcterms:W3CDTF">2022-11-22T01:15:00Z</dcterms:modified>
</cp:coreProperties>
</file>