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410" w:rsidP="00465410">
      <w:pPr>
        <w:pStyle w:val="Title"/>
      </w:pPr>
      <w:r>
        <w:fldChar w:fldCharType="begin"/>
      </w:r>
      <w:r>
        <w:instrText xml:space="preserve"> TITLE   \* MERGEFORMAT </w:instrText>
      </w:r>
      <w:r>
        <w:fldChar w:fldCharType="separate"/>
      </w:r>
      <w:r>
        <w:t>MEAMEC0067 Test gas turbine engines and engine modules after overhaul or repair</w:t>
      </w:r>
      <w:r>
        <w:fldChar w:fldCharType="end"/>
      </w:r>
    </w:p>
    <w:p w:rsidR="00465410" w:rsidP="00465410">
      <w:pPr>
        <w:pStyle w:val="Version"/>
        <w:sectPr w:rsidSect="001B67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74C" w:rsidP="001B674C">
      <w:pPr>
        <w:pStyle w:val="SuperHeading"/>
      </w:pPr>
      <w:r w:rsidRPr="001B674C">
        <w:t>MEAMEC0067 Test gas turbine engines and engine modules after overhaul or repair</w:t>
      </w:r>
    </w:p>
    <w:p w:rsidR="00000000" w:rsidRPr="001B674C" w:rsidP="001B674C">
      <w:pPr>
        <w:pStyle w:val="Heading1"/>
      </w:pPr>
      <w:bookmarkStart w:id="1" w:name="O_1249377"/>
      <w:bookmarkEnd w:id="1"/>
      <w:r w:rsidRPr="001B674C">
        <w:t>Modification History</w:t>
      </w:r>
    </w:p>
    <w:p w:rsidR="00465410" w:rsidP="00465410">
      <w:pPr>
        <w:pStyle w:val="BodyText"/>
      </w:pPr>
      <w:r w:rsidRPr="001B674C">
        <w:t>Release</w:t>
      </w:r>
      <w:r w:rsidRPr="001B674C">
        <w:t xml:space="preserve"> 1. Application changed. Performance Criteria changed. Foundation Skills made explicit. Range of Conditions removed, and relevant information moved to Assessment Requirements. Assessment Requirements clarified. Supersedes and is equivalent to MEA387 Test g</w:t>
      </w:r>
      <w:r w:rsidRPr="001B674C">
        <w:t>as turbine engines and engine modules after overhaul or repair.</w:t>
      </w:r>
    </w:p>
    <w:p w:rsidR="00000000" w:rsidRPr="001B674C" w:rsidP="001B674C">
      <w:pPr>
        <w:pStyle w:val="Heading1"/>
      </w:pPr>
      <w:bookmarkStart w:id="2" w:name="O_1249378"/>
      <w:bookmarkEnd w:id="2"/>
      <w:r w:rsidRPr="001B674C">
        <w:t>Application</w:t>
      </w:r>
    </w:p>
    <w:p w:rsidR="00000000" w:rsidRPr="001B674C" w:rsidP="00465410">
      <w:pPr>
        <w:pStyle w:val="BodyText"/>
      </w:pPr>
      <w:r w:rsidRPr="001B674C">
        <w:t xml:space="preserve">This unit describes the skills and knowledge required to apply hand skills and use theory knowledge and maintenance publication procedures to test run aircraft </w:t>
      </w:r>
      <w:r w:rsidRPr="001B674C">
        <w:t>gas turbine engines and engine modules in engine test stands following overhaul or repair in workshops during the performance of scheduled or unscheduled maintenance. Testing may be performed individually or as part of a team.</w:t>
      </w:r>
    </w:p>
    <w:p w:rsidR="00000000" w:rsidRPr="001B674C" w:rsidP="00465410">
      <w:pPr>
        <w:pStyle w:val="BodyText"/>
      </w:pPr>
      <w:r w:rsidRPr="001B674C">
        <w:t>This unit applies to turbojet</w:t>
      </w:r>
      <w:r w:rsidRPr="001B674C">
        <w:t>, turbofan, turboshaft, turboprop engines and engine modules, or auxiliary power units.</w:t>
      </w:r>
    </w:p>
    <w:p w:rsidR="00000000" w:rsidRPr="001B674C" w:rsidP="00465410">
      <w:pPr>
        <w:pStyle w:val="BodyText"/>
      </w:pPr>
      <w:r w:rsidRPr="001B674C">
        <w:t>The unit is used in workplaces that operate under the airworthiness regulatory systems of the Civil Aviation Safety Authority (CASA) and the Defence Aviation Safety Aut</w:t>
      </w:r>
      <w:r w:rsidRPr="001B674C">
        <w:t>hority (DASA).</w:t>
      </w:r>
    </w:p>
    <w:p w:rsidR="00465410" w:rsidP="00465410">
      <w:pPr>
        <w:pStyle w:val="BodyText"/>
      </w:pPr>
      <w:r w:rsidRPr="001B674C">
        <w:t>Any other relevant legislation, industry standards and codes of practice within Australia must be applied</w:t>
      </w:r>
    </w:p>
    <w:p w:rsidR="00000000" w:rsidRPr="001B674C" w:rsidP="001B674C">
      <w:pPr>
        <w:pStyle w:val="Heading1"/>
      </w:pPr>
      <w:bookmarkStart w:id="3" w:name="O_1249379"/>
      <w:bookmarkEnd w:id="3"/>
      <w:r w:rsidRPr="001B674C">
        <w:t>Pre-requisite Unit</w:t>
      </w:r>
    </w:p>
    <w:p w:rsidR="00000000" w:rsidRPr="001B674C" w:rsidP="00465410">
      <w:pPr>
        <w:pStyle w:val="BodyText"/>
      </w:pPr>
      <w:r w:rsidRPr="001B674C">
        <w:t>MEAMEC0063 Repair and overhaul gas turbine engine air inlet and compressor components and module</w:t>
      </w:r>
      <w:r w:rsidRPr="001B674C">
        <w:t>s</w:t>
      </w:r>
    </w:p>
    <w:p w:rsidR="00000000" w:rsidRPr="001B674C" w:rsidP="00465410">
      <w:pPr>
        <w:pStyle w:val="BodyText"/>
      </w:pPr>
      <w:r w:rsidRPr="001B674C">
        <w:t>MEAMEC0064 Repair and overhaul gas turbine engine combustion section component and modules</w:t>
      </w:r>
    </w:p>
    <w:p w:rsidR="00000000" w:rsidRPr="001B674C" w:rsidP="00465410">
      <w:pPr>
        <w:pStyle w:val="BodyText"/>
      </w:pPr>
      <w:r w:rsidRPr="001B674C">
        <w:t>MEAMEC0065 Repair and overhaul gas turbine, engine turbine and exhaust section components</w:t>
      </w:r>
    </w:p>
    <w:p w:rsidR="00465410" w:rsidP="00465410">
      <w:pPr>
        <w:pStyle w:val="BodyText"/>
      </w:pPr>
      <w:r w:rsidRPr="001B674C">
        <w:t>MEAMEC0066 Repair and overhaul gas turbine engine ancillary section compo</w:t>
      </w:r>
      <w:r w:rsidRPr="001B674C">
        <w:t>nents</w:t>
      </w:r>
    </w:p>
    <w:p w:rsidR="00000000" w:rsidRPr="001B674C" w:rsidP="001B674C">
      <w:pPr>
        <w:pStyle w:val="Heading1"/>
      </w:pPr>
      <w:bookmarkStart w:id="4" w:name="O_1249380"/>
      <w:bookmarkEnd w:id="4"/>
      <w:r w:rsidRPr="001B674C">
        <w:t>Competency Field</w:t>
      </w:r>
    </w:p>
    <w:p w:rsidR="00465410" w:rsidP="00465410">
      <w:pPr>
        <w:pStyle w:val="BodyText"/>
      </w:pPr>
      <w:r w:rsidRPr="001B674C">
        <w:t>Aviation maintenance</w:t>
      </w:r>
    </w:p>
    <w:p w:rsidR="00000000" w:rsidRPr="001B674C" w:rsidP="001B674C">
      <w:pPr>
        <w:pStyle w:val="Heading1"/>
      </w:pPr>
      <w:bookmarkStart w:id="5" w:name="O_1249382"/>
      <w:bookmarkEnd w:id="5"/>
      <w:r w:rsidRPr="001B674C">
        <w:t>Elements and Performance Criteria</w:t>
      </w:r>
    </w:p>
    <w:tbl>
      <w:tblPr>
        <w:tblW w:w="9639" w:type="dxa"/>
        <w:tblLayout w:type="fixed"/>
        <w:tblCellMar>
          <w:left w:w="62" w:type="dxa"/>
          <w:right w:w="62" w:type="dxa"/>
        </w:tblCellMar>
        <w:tblLook w:val="0000"/>
      </w:tblPr>
      <w:tblGrid>
        <w:gridCol w:w="2502"/>
        <w:gridCol w:w="7137"/>
      </w:tblGrid>
      <w:tr w:rsidTr="001B674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674C" w:rsidP="001B674C">
            <w:pPr>
              <w:pStyle w:val="BodyText"/>
            </w:pPr>
            <w:r w:rsidRPr="001B674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674C">
            <w:pPr>
              <w:pStyle w:val="BodyText"/>
              <w:rPr>
                <w:lang w:val="en-NZ"/>
              </w:rPr>
            </w:pPr>
            <w:r w:rsidRPr="001B674C">
              <w:rPr>
                <w:rStyle w:val="SpecialBold"/>
              </w:rPr>
              <w:t>Performance Criteria</w:t>
            </w:r>
          </w:p>
        </w:tc>
      </w:tr>
      <w:tr w:rsidTr="001B674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Performance criteria describe the performance needed to demonstrate achievement of the element.</w:t>
            </w:r>
          </w:p>
        </w:tc>
      </w:tr>
      <w:tr w:rsidTr="001B674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1. Prepare engine or module for testing</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74C" w:rsidP="001B674C">
            <w:pPr>
              <w:pStyle w:val="BodyText"/>
            </w:pPr>
            <w:r w:rsidRPr="001B674C">
              <w:t>1.1 Check maintenance documentation to confirm that engine or module is ready for testing</w:t>
            </w:r>
          </w:p>
          <w:p w:rsidR="00000000" w:rsidRPr="001B674C" w:rsidP="001B674C">
            <w:pPr>
              <w:pStyle w:val="BodyText"/>
            </w:pPr>
            <w:r w:rsidRPr="001B674C">
              <w:t>1.2 Assemble engine modules i</w:t>
            </w:r>
            <w:r w:rsidRPr="001B674C">
              <w:t>nto a test engine, where required</w:t>
            </w:r>
          </w:p>
          <w:p w:rsidR="00000000" w:rsidP="001B674C">
            <w:pPr>
              <w:pStyle w:val="BodyText"/>
              <w:rPr>
                <w:lang w:val="en-NZ"/>
              </w:rPr>
            </w:pPr>
            <w:r w:rsidRPr="001B674C">
              <w:t>1.3 Configure engine for testing in accordance with maintenance manual requirements and standard enterprise procedures</w:t>
            </w:r>
          </w:p>
        </w:tc>
      </w:tr>
      <w:tr w:rsidTr="001B674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2. Install engine in test stand</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74C" w:rsidP="001B674C">
            <w:pPr>
              <w:pStyle w:val="BodyText"/>
            </w:pPr>
            <w:r w:rsidRPr="001B674C">
              <w:t>2.1 Install eng</w:t>
            </w:r>
            <w:r w:rsidRPr="001B674C">
              <w:t>ine in test stand in accordance with maintenance manual requirements and standard enterprise procedures while observing all relevant work health and safety (WHS) requirements, including the use of material safety data sheets (MSDSs) and items of personal p</w:t>
            </w:r>
            <w:r w:rsidRPr="001B674C">
              <w:t>rotective equipment (PPE)</w:t>
            </w:r>
          </w:p>
          <w:p w:rsidR="00000000" w:rsidRPr="001B674C" w:rsidP="001B674C">
            <w:pPr>
              <w:pStyle w:val="BodyText"/>
            </w:pPr>
            <w:r w:rsidRPr="001B674C">
              <w:t xml:space="preserve">2.2 Check fuel, oil and fluid levels </w:t>
            </w:r>
          </w:p>
          <w:p w:rsidR="00000000" w:rsidP="001B674C">
            <w:pPr>
              <w:pStyle w:val="BodyText"/>
              <w:rPr>
                <w:lang w:val="en-NZ"/>
              </w:rPr>
            </w:pPr>
            <w:r w:rsidRPr="001B674C">
              <w:t>2.3 Prepare engine test stand for operation</w:t>
            </w:r>
          </w:p>
        </w:tc>
      </w:tr>
      <w:tr w:rsidTr="001B674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3. Run and test engine or module performance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74C" w:rsidP="001B674C">
            <w:pPr>
              <w:pStyle w:val="BodyText"/>
            </w:pPr>
            <w:r w:rsidRPr="001B674C">
              <w:t xml:space="preserve">3.1 Start engine and check operating parameters </w:t>
            </w:r>
          </w:p>
          <w:p w:rsidR="00000000" w:rsidRPr="001B674C" w:rsidP="001B674C">
            <w:pPr>
              <w:pStyle w:val="BodyText"/>
            </w:pPr>
            <w:r w:rsidRPr="001B674C">
              <w:t>3.2 Test and trim engine performance, where applicabl</w:t>
            </w:r>
            <w:r w:rsidRPr="001B674C">
              <w:t>e, in accordance with maintenance manual requirements and standard enterprise procedures, and seek required supervisory guidance for complex testing and adjustments</w:t>
            </w:r>
          </w:p>
          <w:p w:rsidR="00000000" w:rsidP="001B674C">
            <w:pPr>
              <w:pStyle w:val="BodyText"/>
              <w:rPr>
                <w:lang w:val="en-NZ"/>
              </w:rPr>
            </w:pPr>
            <w:r w:rsidRPr="001B674C">
              <w:t>3.3 Record engine operating parameters and test results in accordance with standard enterpr</w:t>
            </w:r>
            <w:r w:rsidRPr="001B674C">
              <w:t>ise procedures</w:t>
            </w:r>
          </w:p>
        </w:tc>
      </w:tr>
      <w:tr w:rsidTr="001B674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74C">
            <w:pPr>
              <w:pStyle w:val="BodyText"/>
              <w:rPr>
                <w:lang w:val="en-NZ"/>
              </w:rPr>
            </w:pPr>
            <w:r w:rsidRPr="001B674C">
              <w:t>4. Remove engine from test stand</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74C" w:rsidP="001B674C">
            <w:pPr>
              <w:pStyle w:val="BodyText"/>
            </w:pPr>
            <w:r w:rsidRPr="001B674C">
              <w:t xml:space="preserve">4.1 Remove engine from test stand in accordance with maintenance manual requirements and standard enterprise procedures while observing all relevant WHS requirements, including the use of MSDSs and items of </w:t>
            </w:r>
            <w:r w:rsidRPr="001B674C">
              <w:t>PPE</w:t>
            </w:r>
          </w:p>
          <w:p w:rsidR="00000000" w:rsidRPr="001B674C" w:rsidP="001B674C">
            <w:pPr>
              <w:pStyle w:val="BodyText"/>
            </w:pPr>
            <w:r w:rsidRPr="001B674C">
              <w:t>4.2 Configure, inhibit and prepare serviceable engines or modules in accordance with maintenance manual requirements and standard enterprise procedures for transport or storage, and seek required supervisory guidance for complex testing and adjustments</w:t>
            </w:r>
          </w:p>
          <w:p w:rsidR="00000000" w:rsidRPr="001B674C" w:rsidP="001B674C">
            <w:pPr>
              <w:pStyle w:val="BodyText"/>
            </w:pPr>
            <w:r w:rsidRPr="001B674C">
              <w:t>4.3 Return unserviceable engines or modules to workshop in accordance with standard enterprise procedures for rectification or rework</w:t>
            </w:r>
          </w:p>
        </w:tc>
      </w:tr>
    </w:tbl>
    <w:p w:rsidR="00465410" w:rsidP="001B674C">
      <w:pPr>
        <w:pStyle w:val="BodyText"/>
      </w:pPr>
    </w:p>
    <w:p w:rsidR="00465410" w:rsidP="001B674C">
      <w:pPr>
        <w:pStyle w:val="BodyText"/>
      </w:pPr>
    </w:p>
    <w:p w:rsidR="00000000" w:rsidRPr="001B674C" w:rsidP="001B674C">
      <w:pPr>
        <w:pStyle w:val="Heading1"/>
      </w:pPr>
      <w:bookmarkStart w:id="6" w:name="O_1249383"/>
      <w:bookmarkEnd w:id="6"/>
      <w:r w:rsidRPr="001B674C">
        <w:t>Foundation Skills</w:t>
      </w:r>
    </w:p>
    <w:p w:rsidR="00000000" w:rsidRPr="001B674C" w:rsidP="00465410">
      <w:pPr>
        <w:pStyle w:val="BodyText"/>
      </w:pPr>
      <w:r w:rsidRPr="001B674C">
        <w:t>This section describes those language, literacy, numeracy and employment skills t</w:t>
      </w:r>
      <w:r w:rsidRPr="001B674C">
        <w:t>hat are essential to performance but not explicit in the performance criteria.</w:t>
      </w:r>
    </w:p>
    <w:p w:rsidR="00000000" w:rsidRPr="001B674C" w:rsidP="001B674C">
      <w:pPr>
        <w:pStyle w:val="ListBullet"/>
      </w:pPr>
      <w:r w:rsidRPr="001B674C">
        <w:t>Reading skills to interpret testing documentation, specifications (allowable limits) and procedures.</w:t>
      </w:r>
    </w:p>
    <w:p w:rsidR="00000000" w:rsidRPr="001B674C" w:rsidP="001B674C">
      <w:pPr>
        <w:pStyle w:val="ListBullet"/>
      </w:pPr>
      <w:r w:rsidRPr="001B674C">
        <w:t>Writing skills to complete testing documentation.</w:t>
      </w:r>
    </w:p>
    <w:p w:rsidR="00000000" w:rsidRPr="001B674C" w:rsidP="001B674C">
      <w:pPr>
        <w:pStyle w:val="ListBullet"/>
      </w:pPr>
      <w:r w:rsidRPr="001B674C">
        <w:t>Numeracy skills to interpret and communicate technical information.</w:t>
      </w:r>
    </w:p>
    <w:p w:rsidR="00465410" w:rsidP="00465410">
      <w:pPr>
        <w:pStyle w:val="BodyText"/>
      </w:pPr>
      <w:r w:rsidRPr="001B674C">
        <w:t>Other foundation skills essential to performance are explicit in the performance criteria of this unit.</w:t>
      </w:r>
    </w:p>
    <w:p w:rsidR="00000000" w:rsidRPr="001B674C" w:rsidP="001B674C">
      <w:pPr>
        <w:pStyle w:val="Heading1"/>
      </w:pPr>
      <w:bookmarkStart w:id="7" w:name="O_1249385"/>
      <w:bookmarkEnd w:id="7"/>
      <w:r w:rsidRPr="001B674C">
        <w:t>Unit Mapping Information</w:t>
      </w:r>
    </w:p>
    <w:p w:rsidR="00465410" w:rsidP="00465410">
      <w:pPr>
        <w:pStyle w:val="BodyText"/>
      </w:pPr>
      <w:r w:rsidRPr="001B674C">
        <w:t>Release 1. Supersedes and is equivalent</w:t>
      </w:r>
      <w:r w:rsidRPr="001B674C">
        <w:t xml:space="preserve"> to MEA387 Test gas turbine engines and engine modules after overhaul or repair.</w:t>
      </w:r>
    </w:p>
    <w:p w:rsidR="00000000" w:rsidRPr="001B674C" w:rsidP="001B674C">
      <w:pPr>
        <w:pStyle w:val="Heading1"/>
      </w:pPr>
      <w:bookmarkStart w:id="8" w:name="O_1249392"/>
      <w:bookmarkEnd w:id="8"/>
      <w:r w:rsidRPr="001B674C">
        <w:t>Links</w:t>
      </w:r>
    </w:p>
    <w:p w:rsidR="00000000" w:rsidRPr="001B674C" w:rsidP="00465410">
      <w:pPr>
        <w:pStyle w:val="BodyText"/>
      </w:pPr>
      <w:r w:rsidRPr="001B674C">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804214">
        <w:rPr>
          <w:rStyle w:val="Hyperlink"/>
        </w:rPr>
        <w:t>https://vetnet.gov.au/Pages/TrainingDocs.aspx?q=ce216c9c-04d5-4b3b-9bcf-4e81d0950371</w:t>
      </w:r>
      <w:r>
        <w:fldChar w:fldCharType="end"/>
      </w:r>
    </w:p>
    <w:p w:rsidR="00000000" w:rsidRPr="001B674C" w:rsidP="00465410">
      <w:pPr>
        <w:pStyle w:val="BodyText"/>
        <w:sectPr w:rsidSect="001B674C">
          <w:headerReference w:type="default" r:id="rId10"/>
          <w:footerReference w:type="default" r:id="rId11"/>
          <w:pgSz w:w="11908" w:h="16833"/>
          <w:pgMar w:top="1702" w:right="1418" w:bottom="1702" w:left="1418" w:header="992" w:footer="992" w:gutter="0"/>
          <w:cols w:space="720"/>
          <w:noEndnote/>
          <w:docGrid w:linePitch="299"/>
        </w:sectPr>
      </w:pPr>
    </w:p>
    <w:p w:rsidR="00000000" w:rsidRPr="001B674C" w:rsidP="001B674C">
      <w:pPr>
        <w:pStyle w:val="SuperHeading"/>
      </w:pPr>
      <w:r w:rsidRPr="001B674C">
        <w:t>Assessment Requirements for MEAMEC0067 Test gas turbine engines and engine modules after overhaul or repair</w:t>
      </w:r>
    </w:p>
    <w:p w:rsidR="00000000" w:rsidRPr="001B674C" w:rsidP="001B674C">
      <w:pPr>
        <w:pStyle w:val="Heading1"/>
      </w:pPr>
      <w:bookmarkStart w:id="9" w:name="O_1249387"/>
      <w:bookmarkEnd w:id="9"/>
      <w:r w:rsidRPr="001B674C">
        <w:t>Modification History</w:t>
      </w:r>
    </w:p>
    <w:p w:rsidR="00465410" w:rsidP="00465410">
      <w:pPr>
        <w:pStyle w:val="BodyText"/>
      </w:pPr>
      <w:r w:rsidRPr="001B674C">
        <w:t>Release 1. Application changed. Performance Criteria changed. F</w:t>
      </w:r>
      <w:r w:rsidRPr="001B674C">
        <w:t xml:space="preserve">oundation Skills made explicit. Range of Conditions removed, and relevant information moved to Assessment Requirements. Assessment Requirements clarified. Supersedes and is equivalent to MEA387 Test gas turbine engines and engine modules after overhaul or </w:t>
      </w:r>
      <w:r w:rsidRPr="001B674C">
        <w:t>repair.</w:t>
      </w:r>
    </w:p>
    <w:p w:rsidR="00000000" w:rsidRPr="001B674C" w:rsidP="001B674C">
      <w:pPr>
        <w:pStyle w:val="Heading1"/>
      </w:pPr>
      <w:bookmarkStart w:id="10" w:name="O_1249388"/>
      <w:bookmarkEnd w:id="10"/>
      <w:r w:rsidRPr="001B674C">
        <w:t>Performance Evidence</w:t>
      </w:r>
    </w:p>
    <w:p w:rsidR="00000000" w:rsidRPr="001B674C" w:rsidP="00465410">
      <w:pPr>
        <w:pStyle w:val="BodyText"/>
      </w:pPr>
      <w:r w:rsidRPr="001B674C">
        <w:t>There must be evidence the candidate has completed all the tasks outlined in the elements and performance criteria of this unit, and demonstrated the ability to:</w:t>
      </w:r>
    </w:p>
    <w:p w:rsidR="00000000" w:rsidRPr="001B674C" w:rsidP="001B674C">
      <w:pPr>
        <w:pStyle w:val="ListBullet"/>
      </w:pPr>
      <w:r w:rsidRPr="001B674C">
        <w:t>test at least one item from each of the following groups:</w:t>
      </w:r>
    </w:p>
    <w:p w:rsidR="00000000" w:rsidRPr="001B674C" w:rsidP="001B674C">
      <w:pPr>
        <w:pStyle w:val="ListBullet2"/>
      </w:pPr>
      <w:r w:rsidRPr="001B674C">
        <w:t>fixed or rotary wing gas turbine engine (turbojet, turbofan, turboshaft, turboprop), or auxiliary power unit</w:t>
      </w:r>
    </w:p>
    <w:p w:rsidR="00465410" w:rsidP="001B674C">
      <w:pPr>
        <w:pStyle w:val="ListBullet2"/>
      </w:pPr>
      <w:r w:rsidRPr="001B674C">
        <w:t>engine modules.</w:t>
      </w:r>
    </w:p>
    <w:p w:rsidR="00465410" w:rsidP="001B674C">
      <w:pPr>
        <w:pStyle w:val="ListBullet2"/>
      </w:pPr>
    </w:p>
    <w:p w:rsidR="00000000" w:rsidRPr="001B674C" w:rsidP="001B674C">
      <w:pPr>
        <w:pStyle w:val="Heading1"/>
      </w:pPr>
      <w:bookmarkStart w:id="11" w:name="O_1249389"/>
      <w:bookmarkEnd w:id="11"/>
      <w:r w:rsidRPr="001B674C">
        <w:t>Knowledge Evidence</w:t>
      </w:r>
    </w:p>
    <w:p w:rsidR="00000000" w:rsidRPr="001B674C" w:rsidP="00465410">
      <w:pPr>
        <w:pStyle w:val="BodyText"/>
      </w:pPr>
      <w:r w:rsidRPr="001B674C">
        <w:t>There must be evidence the candid</w:t>
      </w:r>
      <w:r w:rsidRPr="001B674C">
        <w:t>ate has knowledge of:</w:t>
      </w:r>
    </w:p>
    <w:p w:rsidR="00000000" w:rsidRPr="001B674C" w:rsidP="001B674C">
      <w:pPr>
        <w:pStyle w:val="ListBullet"/>
      </w:pPr>
      <w:r w:rsidRPr="001B674C">
        <w:t>how to obtain relevant material safety data sheets (MSDSs)</w:t>
      </w:r>
    </w:p>
    <w:p w:rsidR="00000000" w:rsidRPr="001B674C" w:rsidP="001B674C">
      <w:pPr>
        <w:pStyle w:val="ListBullet"/>
      </w:pPr>
      <w:r w:rsidRPr="001B674C">
        <w:t>the use of applicable items of personal protective equipment (PPE) for testing gas turbine engines and engine modules</w:t>
      </w:r>
    </w:p>
    <w:p w:rsidR="00000000" w:rsidRPr="001B674C" w:rsidP="001B674C">
      <w:pPr>
        <w:pStyle w:val="ListBullet"/>
      </w:pPr>
      <w:r w:rsidRPr="001B674C">
        <w:t>work health and safety (WHS) procedures for testing gas turbine engines and engine modules</w:t>
      </w:r>
    </w:p>
    <w:p w:rsidR="00000000" w:rsidRPr="001B674C" w:rsidP="001B674C">
      <w:pPr>
        <w:pStyle w:val="ListBullet"/>
      </w:pPr>
      <w:r w:rsidRPr="001B674C">
        <w:t>test stand operation</w:t>
      </w:r>
    </w:p>
    <w:p w:rsidR="00000000" w:rsidRPr="001B674C" w:rsidP="001B674C">
      <w:pPr>
        <w:pStyle w:val="ListBullet"/>
      </w:pPr>
      <w:r w:rsidRPr="001B674C">
        <w:t>engine and module test requirements</w:t>
      </w:r>
    </w:p>
    <w:p w:rsidR="00000000" w:rsidRPr="001B674C" w:rsidP="001B674C">
      <w:pPr>
        <w:pStyle w:val="ListBullet"/>
      </w:pPr>
      <w:r w:rsidRPr="001B674C">
        <w:t>engine operating parameters and adjustment methods</w:t>
      </w:r>
    </w:p>
    <w:p w:rsidR="00465410" w:rsidP="001B674C">
      <w:pPr>
        <w:pStyle w:val="ListBullet"/>
      </w:pPr>
      <w:r w:rsidRPr="001B674C">
        <w:t>fuels and lubricants and their correct use.</w:t>
      </w:r>
    </w:p>
    <w:p w:rsidR="00465410" w:rsidP="001B674C">
      <w:pPr>
        <w:pStyle w:val="ListBullet"/>
      </w:pPr>
    </w:p>
    <w:p w:rsidR="00000000" w:rsidRPr="001B674C" w:rsidP="001B674C">
      <w:pPr>
        <w:pStyle w:val="Heading1"/>
      </w:pPr>
      <w:bookmarkStart w:id="12" w:name="O_1249390"/>
      <w:bookmarkEnd w:id="12"/>
      <w:r w:rsidRPr="001B674C">
        <w:t>Assessment Conditions</w:t>
      </w:r>
    </w:p>
    <w:p w:rsidR="00000000" w:rsidRPr="001B674C" w:rsidP="00465410">
      <w:pPr>
        <w:pStyle w:val="BodyText"/>
      </w:pPr>
      <w:r w:rsidRPr="001B674C">
        <w:t>The following conditions of assessment represent the requirements of the regulators Defence Aviation Safety Authority (DASA) and Civil Aviation Safety Authority (CASA) and maintenance stakeholders and must be rigorously observe</w:t>
      </w:r>
      <w:r w:rsidRPr="001B674C">
        <w:t>d.</w:t>
      </w:r>
    </w:p>
    <w:p w:rsidR="00000000" w:rsidRPr="001B674C" w:rsidP="00465410">
      <w:pPr>
        <w:pStyle w:val="BodyText"/>
      </w:pPr>
      <w:r w:rsidRPr="001B674C">
        <w:t xml:space="preserve">Skills must have been demonstrated under routine supervision in the workplace or in a simulated environment that reflects workplace conditions and contingencies encountered in testing gas turbine engines and engine modules after overhaul or repair. The </w:t>
      </w:r>
      <w:r w:rsidRPr="001B674C">
        <w:t xml:space="preserve">following conditions must be met for this unit: </w:t>
      </w:r>
    </w:p>
    <w:p w:rsidR="00000000" w:rsidRPr="001B674C" w:rsidP="001B674C">
      <w:pPr>
        <w:pStyle w:val="ListBullet"/>
      </w:pPr>
      <w:r w:rsidRPr="001B674C">
        <w:t xml:space="preserve">use of suitable facilities, equipment and resources, including: </w:t>
      </w:r>
    </w:p>
    <w:p w:rsidR="00000000" w:rsidRPr="001B674C" w:rsidP="001B674C">
      <w:pPr>
        <w:pStyle w:val="ListBullet2"/>
      </w:pPr>
      <w:r w:rsidRPr="001B674C">
        <w:t xml:space="preserve">gas turbine engines and modules and applicable engine test stand </w:t>
      </w:r>
    </w:p>
    <w:p w:rsidR="00000000" w:rsidRPr="001B674C" w:rsidP="001B674C">
      <w:pPr>
        <w:pStyle w:val="ListBullet2"/>
      </w:pPr>
      <w:r w:rsidRPr="001B674C">
        <w:t xml:space="preserve">tools and equipment specified in maintenance documentation. </w:t>
      </w:r>
    </w:p>
    <w:p w:rsidR="00000000" w:rsidRPr="001B674C" w:rsidP="001B674C">
      <w:pPr>
        <w:pStyle w:val="ListBullet2"/>
      </w:pPr>
      <w:r w:rsidRPr="001B674C">
        <w:t>general-purpose tools and test equipment found in most routine situations.</w:t>
      </w:r>
    </w:p>
    <w:p w:rsidR="00000000" w:rsidRPr="001B674C" w:rsidP="001B674C">
      <w:pPr>
        <w:pStyle w:val="ListBullet2"/>
      </w:pPr>
      <w:r w:rsidRPr="001B674C">
        <w:t>maintenance documentation.</w:t>
      </w:r>
    </w:p>
    <w:p w:rsidR="00000000" w:rsidRPr="001B674C" w:rsidP="00465410">
      <w:pPr>
        <w:pStyle w:val="BodyText"/>
      </w:pPr>
      <w:r w:rsidRPr="001B674C">
        <w:t>Evidence of tasks demonstrating competency must be recorded in a log of industrial experience and achievement.</w:t>
      </w:r>
    </w:p>
    <w:p w:rsidR="00465410" w:rsidP="00465410">
      <w:pPr>
        <w:pStyle w:val="BodyText"/>
      </w:pPr>
      <w:r w:rsidRPr="001B674C">
        <w:t>Assessors must satisfy the NVR/AQTF mandato</w:t>
      </w:r>
      <w:r w:rsidRPr="001B674C">
        <w:t>ry competency requirements for assessors. </w:t>
      </w:r>
    </w:p>
    <w:p w:rsidR="00000000" w:rsidRPr="001B674C" w:rsidP="001B674C">
      <w:pPr>
        <w:pStyle w:val="Heading1"/>
      </w:pPr>
      <w:bookmarkStart w:id="13" w:name="O_1249393"/>
      <w:bookmarkEnd w:id="13"/>
      <w:r w:rsidRPr="001B674C">
        <w:t>Links</w:t>
      </w:r>
    </w:p>
    <w:p w:rsidR="00000000" w:rsidRPr="001B674C" w:rsidP="00465410">
      <w:pPr>
        <w:pStyle w:val="BodyText"/>
      </w:pPr>
      <w:r w:rsidRPr="001B674C">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804214">
        <w:rPr>
          <w:rStyle w:val="Hyperlink"/>
        </w:rPr>
        <w:t>https://vetnet.gov.au/Pages/TrainingDocs.aspx?q=ce216c9c-04d5-4b3b-9bcf-4e81d0950371</w:t>
      </w:r>
      <w:r>
        <w:fldChar w:fldCharType="end"/>
      </w:r>
    </w:p>
    <w:p w:rsidR="00000000" w:rsidRPr="001B674C" w:rsidP="001B674C"/>
    <w:sectPr w:rsidSect="001B67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rsidRPr="00465410" w:rsidP="00465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0" w:rsidP="001B67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410" w:rsidP="001B67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5410" w:rsidP="001B67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rsidP="001B674C">
    <w:pPr>
      <w:pStyle w:val="Footer"/>
      <w:framePr w:wrap="around"/>
    </w:pPr>
    <w:r>
      <w:fldChar w:fldCharType="begin"/>
    </w:r>
    <w:r>
      <w:instrText xml:space="preserve"> DOCPROPERTY  Subject  \* MERGEFORMAT </w:instrText>
    </w:r>
    <w:r>
      <w:fldChar w:fldCharType="separate"/>
    </w:r>
    <w:r w:rsidR="00465410">
      <w:t>Approved</w:t>
    </w:r>
    <w:r w:rsidR="00465410">
      <w:fldChar w:fldCharType="end"/>
    </w:r>
    <w:r>
      <w:tab/>
      <w:t xml:space="preserve">Page </w:t>
    </w:r>
    <w:r>
      <w:fldChar w:fldCharType="begin"/>
    </w:r>
    <w:r>
      <w:instrText xml:space="preserve"> PAGE  \* Arabic  \* MERGEFORMAT </w:instrText>
    </w:r>
    <w:r>
      <w:fldChar w:fldCharType="separate"/>
    </w:r>
    <w:r w:rsidR="004654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410">
      <w:rPr>
        <w:noProof/>
      </w:rPr>
      <w:t>4</w:t>
    </w:r>
    <w:r>
      <w:rPr>
        <w:noProof/>
      </w:rPr>
      <w:fldChar w:fldCharType="end"/>
    </w:r>
  </w:p>
  <w:p w:rsidR="001B674C" w:rsidP="001B674C">
    <w:pPr>
      <w:pStyle w:val="Footer"/>
      <w:framePr w:wrap="around"/>
    </w:pPr>
    <w:r>
      <w:t xml:space="preserve">© Commonwealth of Australia, </w:t>
    </w:r>
    <w:r>
      <w:fldChar w:fldCharType="begin"/>
    </w:r>
    <w:r>
      <w:instrText xml:space="preserve"> DATE  \@ "yyyy"  \* MERGEFORMAT </w:instrText>
    </w:r>
    <w:r>
      <w:fldChar w:fldCharType="separate"/>
    </w:r>
    <w:r w:rsidR="00465410">
      <w:rPr>
        <w:noProof/>
      </w:rPr>
      <w:t>2025</w:t>
    </w:r>
    <w:r>
      <w:fldChar w:fldCharType="end"/>
    </w:r>
    <w:r>
      <w:tab/>
    </w:r>
    <w:r>
      <w:fldChar w:fldCharType="begin"/>
    </w:r>
    <w:r>
      <w:instrText xml:space="preserve"> DOCPROPERTY  Author  \* MERGEFORMAT </w:instrText>
    </w:r>
    <w:r>
      <w:fldChar w:fldCharType="separate"/>
    </w:r>
    <w:r w:rsidR="00465410">
      <w:t>Manufacturing Industry Skills Alliance</w:t>
    </w:r>
    <w:r w:rsidR="00465410">
      <w:fldChar w:fldCharType="end"/>
    </w:r>
  </w:p>
  <w:p w:rsidR="001B674C" w:rsidP="001B67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74C" w:rsidRPr="00465410" w:rsidP="00465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0" w:rsidRPr="002D2AF8" w:rsidP="001B674C">
    <w:pPr>
      <w:pStyle w:val="Header"/>
      <w:framePr w:wrap="around"/>
    </w:pPr>
    <w:r>
      <w:fldChar w:fldCharType="begin"/>
    </w:r>
    <w:r>
      <w:instrText xml:space="preserve"> TITLE   \* MERGEFORMAT </w:instrText>
    </w:r>
    <w:r>
      <w:fldChar w:fldCharType="separate"/>
    </w:r>
    <w:r>
      <w:t>MEAMEC0067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5410" w:rsidP="001B67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4C" w:rsidRPr="002D2AF8" w:rsidP="001B674C">
    <w:pPr>
      <w:pStyle w:val="Header"/>
      <w:framePr w:wrap="around"/>
    </w:pPr>
    <w:r>
      <w:fldChar w:fldCharType="begin"/>
    </w:r>
    <w:r>
      <w:instrText xml:space="preserve"> TITLE   \* MERGEFORMAT </w:instrText>
    </w:r>
    <w:r>
      <w:fldChar w:fldCharType="separate"/>
    </w:r>
    <w:r w:rsidR="00465410">
      <w:t>MEAMEC0067 Test gas turbine engines and engine modules after overhaul or repair</w:t>
    </w:r>
    <w:r w:rsidR="00465410">
      <w:fldChar w:fldCharType="end"/>
    </w:r>
    <w:r>
      <w:tab/>
      <w:t xml:space="preserve">Date this document was generated: </w:t>
    </w:r>
    <w:r>
      <w:fldChar w:fldCharType="begin"/>
    </w:r>
    <w:r>
      <w:instrText xml:space="preserve"> CREATEDATE  \@ "d MMMM yyyy"  \* MERGEFORMAT </w:instrText>
    </w:r>
    <w:r>
      <w:fldChar w:fldCharType="separate"/>
    </w:r>
    <w:r w:rsidR="00465410">
      <w:rPr>
        <w:noProof/>
      </w:rPr>
      <w:t>1 March 2025</w:t>
    </w:r>
    <w:r>
      <w:fldChar w:fldCharType="end"/>
    </w:r>
  </w:p>
  <w:p w:rsidR="001B674C" w:rsidP="001B67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EF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A4E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67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7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74C"/>
    <w:pPr>
      <w:spacing w:before="360" w:after="60"/>
      <w:outlineLvl w:val="0"/>
    </w:pPr>
    <w:rPr>
      <w:sz w:val="32"/>
    </w:rPr>
  </w:style>
  <w:style w:type="paragraph" w:styleId="Heading2">
    <w:name w:val="heading 2"/>
    <w:basedOn w:val="HeadingBase"/>
    <w:next w:val="BodyText"/>
    <w:link w:val="Heading2Char"/>
    <w:qFormat/>
    <w:rsid w:val="001B674C"/>
    <w:pPr>
      <w:keepLines/>
      <w:spacing w:before="240" w:after="120"/>
      <w:outlineLvl w:val="1"/>
    </w:pPr>
    <w:rPr>
      <w:sz w:val="28"/>
      <w:szCs w:val="40"/>
    </w:rPr>
  </w:style>
  <w:style w:type="paragraph" w:styleId="Heading3">
    <w:name w:val="heading 3"/>
    <w:basedOn w:val="HeadingBase"/>
    <w:next w:val="BodyText"/>
    <w:link w:val="Heading3Char"/>
    <w:qFormat/>
    <w:rsid w:val="001B674C"/>
    <w:pPr>
      <w:spacing w:before="180" w:after="120"/>
      <w:outlineLvl w:val="2"/>
    </w:pPr>
    <w:rPr>
      <w:spacing w:val="-10"/>
      <w:kern w:val="32"/>
    </w:rPr>
  </w:style>
  <w:style w:type="paragraph" w:styleId="Heading4">
    <w:name w:val="heading 4"/>
    <w:basedOn w:val="HeadingBase"/>
    <w:next w:val="BodyText"/>
    <w:link w:val="Heading4Char"/>
    <w:qFormat/>
    <w:rsid w:val="001B674C"/>
    <w:pPr>
      <w:spacing w:before="160" w:after="120"/>
      <w:outlineLvl w:val="3"/>
    </w:pPr>
    <w:rPr>
      <w:sz w:val="22"/>
    </w:rPr>
  </w:style>
  <w:style w:type="paragraph" w:styleId="Heading5">
    <w:name w:val="heading 5"/>
    <w:basedOn w:val="HeadingBase"/>
    <w:next w:val="Normal"/>
    <w:link w:val="Heading5Char"/>
    <w:qFormat/>
    <w:rsid w:val="001B674C"/>
    <w:pPr>
      <w:spacing w:before="80"/>
      <w:outlineLvl w:val="4"/>
    </w:pPr>
    <w:rPr>
      <w:color w:val="918585"/>
      <w:sz w:val="20"/>
    </w:rPr>
  </w:style>
  <w:style w:type="paragraph" w:styleId="Heading6">
    <w:name w:val="heading 6"/>
    <w:basedOn w:val="HeadingBase"/>
    <w:next w:val="Normal"/>
    <w:link w:val="Heading6Char"/>
    <w:qFormat/>
    <w:rsid w:val="001B674C"/>
    <w:pPr>
      <w:spacing w:before="60"/>
      <w:outlineLvl w:val="5"/>
    </w:pPr>
    <w:rPr>
      <w:color w:val="918585"/>
      <w:sz w:val="20"/>
    </w:rPr>
  </w:style>
  <w:style w:type="paragraph" w:styleId="Heading7">
    <w:name w:val="heading 7"/>
    <w:basedOn w:val="Normal"/>
    <w:next w:val="Normal"/>
    <w:link w:val="Heading7Char"/>
    <w:qFormat/>
    <w:rsid w:val="001B674C"/>
    <w:pPr>
      <w:ind w:left="720"/>
      <w:outlineLvl w:val="6"/>
    </w:pPr>
    <w:rPr>
      <w:i/>
    </w:rPr>
  </w:style>
  <w:style w:type="paragraph" w:styleId="Heading8">
    <w:name w:val="heading 8"/>
    <w:basedOn w:val="Normal"/>
    <w:next w:val="Normal"/>
    <w:link w:val="Heading8Char"/>
    <w:qFormat/>
    <w:rsid w:val="001B674C"/>
    <w:pPr>
      <w:ind w:left="720"/>
      <w:outlineLvl w:val="7"/>
    </w:pPr>
    <w:rPr>
      <w:i/>
    </w:rPr>
  </w:style>
  <w:style w:type="paragraph" w:styleId="Heading9">
    <w:name w:val="heading 9"/>
    <w:basedOn w:val="Normal"/>
    <w:next w:val="Normal"/>
    <w:link w:val="Heading9Char"/>
    <w:qFormat/>
    <w:rsid w:val="001B674C"/>
    <w:pPr>
      <w:ind w:left="720"/>
      <w:outlineLvl w:val="8"/>
    </w:pPr>
    <w:rPr>
      <w:i/>
    </w:rPr>
  </w:style>
  <w:style w:type="character" w:default="1" w:styleId="DefaultParagraphFont">
    <w:name w:val="Default Paragraph Font"/>
    <w:uiPriority w:val="1"/>
    <w:unhideWhenUsed/>
    <w:rsid w:val="001B67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74C"/>
  </w:style>
  <w:style w:type="character" w:customStyle="1" w:styleId="Heading1Char">
    <w:name w:val="Heading 1 Char"/>
    <w:basedOn w:val="DefaultParagraphFont"/>
    <w:link w:val="Heading1"/>
    <w:rsid w:val="001B674C"/>
    <w:rPr>
      <w:rFonts w:ascii="Times New Roman" w:eastAsia="Times New Roman" w:hAnsi="Times New Roman" w:cs="Times New Roman"/>
      <w:b/>
      <w:sz w:val="32"/>
      <w:szCs w:val="20"/>
      <w:lang w:eastAsia="en-US"/>
    </w:rPr>
  </w:style>
  <w:style w:type="paragraph" w:styleId="BodyText">
    <w:name w:val="Body Text"/>
    <w:basedOn w:val="Normal"/>
    <w:link w:val="BodyTextChar"/>
    <w:rsid w:val="001B67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74C"/>
    <w:rPr>
      <w:rFonts w:ascii="Times New Roman" w:eastAsia="Times New Roman" w:hAnsi="Times New Roman" w:cs="Times New Roman"/>
      <w:sz w:val="24"/>
      <w:lang w:eastAsia="en-US"/>
    </w:rPr>
  </w:style>
  <w:style w:type="paragraph" w:styleId="ListBullet">
    <w:name w:val="List Bullet"/>
    <w:basedOn w:val="List"/>
    <w:rsid w:val="001B674C"/>
    <w:pPr>
      <w:numPr>
        <w:numId w:val="12"/>
      </w:numPr>
      <w:tabs>
        <w:tab w:val="clear" w:pos="340"/>
      </w:tabs>
      <w:spacing w:before="40" w:after="40"/>
    </w:pPr>
  </w:style>
  <w:style w:type="character" w:customStyle="1" w:styleId="SpecialBold">
    <w:name w:val="Special Bold"/>
    <w:basedOn w:val="DefaultParagraphFont"/>
    <w:rsid w:val="001B674C"/>
    <w:rPr>
      <w:b/>
      <w:spacing w:val="0"/>
    </w:rPr>
  </w:style>
  <w:style w:type="paragraph" w:styleId="ListBullet2">
    <w:name w:val="List Bullet 2"/>
    <w:basedOn w:val="List2"/>
    <w:rsid w:val="001B674C"/>
    <w:pPr>
      <w:numPr>
        <w:numId w:val="13"/>
      </w:numPr>
      <w:tabs>
        <w:tab w:val="clear" w:pos="680"/>
      </w:tabs>
    </w:pPr>
  </w:style>
  <w:style w:type="paragraph" w:customStyle="1" w:styleId="SuperHeading">
    <w:name w:val="SuperHeading"/>
    <w:basedOn w:val="Normal"/>
    <w:rsid w:val="001B674C"/>
    <w:pPr>
      <w:spacing w:before="240" w:after="120"/>
      <w:outlineLvl w:val="0"/>
    </w:pPr>
    <w:rPr>
      <w:rFonts w:ascii="Times New Roman" w:hAnsi="Times New Roman"/>
      <w:b/>
      <w:sz w:val="32"/>
    </w:rPr>
  </w:style>
  <w:style w:type="paragraph" w:customStyle="1" w:styleId="AllowPageBreak">
    <w:name w:val="AllowPageBreak"/>
    <w:rsid w:val="001B67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7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7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7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7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7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7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7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74C"/>
    <w:rPr>
      <w:rFonts w:ascii="Courier New" w:eastAsia="Times New Roman" w:hAnsi="Courier New" w:cs="Times New Roman"/>
      <w:i/>
      <w:szCs w:val="20"/>
      <w:lang w:eastAsia="en-US"/>
    </w:rPr>
  </w:style>
  <w:style w:type="paragraph" w:customStyle="1" w:styleId="HeadingBase">
    <w:name w:val="Heading Base"/>
    <w:rsid w:val="001B67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74C"/>
    <w:pPr>
      <w:tabs>
        <w:tab w:val="right" w:leader="dot" w:pos="9072"/>
      </w:tabs>
      <w:ind w:left="567"/>
    </w:pPr>
    <w:rPr>
      <w:szCs w:val="22"/>
    </w:rPr>
  </w:style>
  <w:style w:type="paragraph" w:customStyle="1" w:styleId="TOCBase">
    <w:name w:val="TOC Base"/>
    <w:rsid w:val="001B67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74C"/>
    <w:pPr>
      <w:tabs>
        <w:tab w:val="right" w:leader="dot" w:pos="9072"/>
      </w:tabs>
      <w:spacing w:before="40" w:after="40"/>
      <w:ind w:left="284"/>
    </w:pPr>
    <w:rPr>
      <w:rFonts w:ascii="Times New Roman" w:hAnsi="Times New Roman"/>
    </w:rPr>
  </w:style>
  <w:style w:type="paragraph" w:styleId="TOC1">
    <w:name w:val="toc 1"/>
    <w:basedOn w:val="TOCBase"/>
    <w:next w:val="Normal"/>
    <w:rsid w:val="001B67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7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74C"/>
    <w:rPr>
      <w:rFonts w:ascii="Times New Roman" w:eastAsia="Times New Roman" w:hAnsi="Times New Roman" w:cs="Times New Roman"/>
      <w:sz w:val="16"/>
      <w:lang w:eastAsia="en-US"/>
    </w:rPr>
  </w:style>
  <w:style w:type="paragraph" w:styleId="Title">
    <w:name w:val="Title"/>
    <w:basedOn w:val="HeadingBase"/>
    <w:link w:val="TitleChar"/>
    <w:qFormat/>
    <w:rsid w:val="001B674C"/>
    <w:pPr>
      <w:spacing w:before="5040"/>
      <w:jc w:val="center"/>
    </w:pPr>
    <w:rPr>
      <w:sz w:val="48"/>
      <w:szCs w:val="72"/>
      <w:lang w:val="en-US"/>
    </w:rPr>
  </w:style>
  <w:style w:type="character" w:customStyle="1" w:styleId="TitleChar">
    <w:name w:val="Title Char"/>
    <w:basedOn w:val="DefaultParagraphFont"/>
    <w:link w:val="Title"/>
    <w:rsid w:val="001B67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74C"/>
    <w:pPr>
      <w:tabs>
        <w:tab w:val="left" w:pos="3600"/>
        <w:tab w:val="left" w:pos="3958"/>
      </w:tabs>
    </w:pPr>
  </w:style>
  <w:style w:type="paragraph" w:styleId="List">
    <w:name w:val="List"/>
    <w:basedOn w:val="BodyText"/>
    <w:next w:val="BodyText"/>
    <w:rsid w:val="001B674C"/>
    <w:pPr>
      <w:tabs>
        <w:tab w:val="left" w:pos="340"/>
      </w:tabs>
      <w:spacing w:before="60" w:after="60"/>
      <w:ind w:left="340" w:hanging="340"/>
    </w:pPr>
  </w:style>
  <w:style w:type="paragraph" w:customStyle="1" w:styleId="Note">
    <w:name w:val="Note"/>
    <w:basedOn w:val="BodyText"/>
    <w:rsid w:val="001B67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74C"/>
    <w:pPr>
      <w:framePr w:wrap="auto" w:hAnchor="text" w:y="6049"/>
    </w:pPr>
    <w:rPr>
      <w:color w:val="000000"/>
      <w:sz w:val="40"/>
    </w:rPr>
  </w:style>
  <w:style w:type="paragraph" w:customStyle="1" w:styleId="TOCTitle">
    <w:name w:val="TOCTitle"/>
    <w:basedOn w:val="Heading1"/>
    <w:rsid w:val="001B674C"/>
    <w:pPr>
      <w:spacing w:after="240"/>
      <w:jc w:val="center"/>
      <w:outlineLvl w:val="9"/>
    </w:pPr>
    <w:rPr>
      <w:caps/>
    </w:rPr>
  </w:style>
  <w:style w:type="paragraph" w:customStyle="1" w:styleId="Version">
    <w:name w:val="Version"/>
    <w:rsid w:val="001B67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74C"/>
    <w:pPr>
      <w:keepNext w:val="0"/>
      <w:tabs>
        <w:tab w:val="right" w:pos="4176"/>
      </w:tabs>
      <w:ind w:left="198" w:hanging="198"/>
    </w:pPr>
    <w:rPr>
      <w:rFonts w:ascii="Garamond" w:hAnsi="Garamond"/>
    </w:rPr>
  </w:style>
  <w:style w:type="paragraph" w:styleId="IndexHeading">
    <w:name w:val="index heading"/>
    <w:basedOn w:val="Normal"/>
    <w:next w:val="Index1"/>
    <w:semiHidden/>
    <w:rsid w:val="001B674C"/>
    <w:pPr>
      <w:spacing w:before="120" w:after="120"/>
    </w:pPr>
    <w:rPr>
      <w:rFonts w:ascii="Arial" w:hAnsi="Arial"/>
      <w:b/>
      <w:color w:val="918585"/>
      <w:sz w:val="24"/>
    </w:rPr>
  </w:style>
  <w:style w:type="paragraph" w:styleId="Header">
    <w:name w:val="header"/>
    <w:basedOn w:val="Normal"/>
    <w:link w:val="HeaderChar"/>
    <w:rsid w:val="001B67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74C"/>
    <w:rPr>
      <w:rFonts w:ascii="Times New Roman" w:eastAsia="Times New Roman" w:hAnsi="Times New Roman" w:cs="Times New Roman"/>
      <w:sz w:val="16"/>
      <w:szCs w:val="20"/>
      <w:lang w:val="en-GB" w:eastAsia="en-US"/>
    </w:rPr>
  </w:style>
  <w:style w:type="paragraph" w:customStyle="1" w:styleId="Chapter">
    <w:name w:val="Chapter"/>
    <w:basedOn w:val="Normal"/>
    <w:rsid w:val="001B674C"/>
    <w:pPr>
      <w:spacing w:before="240"/>
    </w:pPr>
    <w:rPr>
      <w:rFonts w:ascii="Times New Roman" w:hAnsi="Times New Roman"/>
      <w:smallCaps/>
      <w:spacing w:val="80"/>
      <w:sz w:val="28"/>
    </w:rPr>
  </w:style>
  <w:style w:type="paragraph" w:customStyle="1" w:styleId="InChapter">
    <w:name w:val="InChapter"/>
    <w:basedOn w:val="Heading3"/>
    <w:rsid w:val="001B674C"/>
    <w:pPr>
      <w:spacing w:after="240"/>
      <w:outlineLvl w:val="9"/>
    </w:pPr>
    <w:rPr>
      <w:noProof/>
    </w:rPr>
  </w:style>
  <w:style w:type="paragraph" w:styleId="Index2">
    <w:name w:val="index 2"/>
    <w:basedOn w:val="Normal"/>
    <w:next w:val="Normal"/>
    <w:semiHidden/>
    <w:rsid w:val="001B674C"/>
    <w:pPr>
      <w:tabs>
        <w:tab w:val="right" w:pos="4176"/>
      </w:tabs>
      <w:ind w:left="568" w:hanging="284"/>
    </w:pPr>
    <w:rPr>
      <w:rFonts w:ascii="Garamond" w:hAnsi="Garamond"/>
    </w:rPr>
  </w:style>
  <w:style w:type="paragraph" w:customStyle="1" w:styleId="Byline">
    <w:name w:val="Byline"/>
    <w:rsid w:val="001B67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74C"/>
    <w:pPr>
      <w:tabs>
        <w:tab w:val="clear" w:pos="3600"/>
        <w:tab w:val="clear" w:pos="3958"/>
      </w:tabs>
      <w:jc w:val="right"/>
    </w:pPr>
  </w:style>
  <w:style w:type="character" w:styleId="Emphasis">
    <w:name w:val="Emphasis"/>
    <w:basedOn w:val="DefaultParagraphFont"/>
    <w:qFormat/>
    <w:rsid w:val="001B674C"/>
    <w:rPr>
      <w:i/>
    </w:rPr>
  </w:style>
  <w:style w:type="paragraph" w:styleId="Caption">
    <w:name w:val="caption"/>
    <w:basedOn w:val="BodyText"/>
    <w:next w:val="Normal"/>
    <w:qFormat/>
    <w:rsid w:val="001B674C"/>
    <w:pPr>
      <w:framePr w:w="2268" w:hSpace="181" w:vSpace="181" w:wrap="around" w:vAnchor="text" w:hAnchor="page" w:x="1135" w:y="285" w:anchorLock="1"/>
    </w:pPr>
    <w:rPr>
      <w:i/>
    </w:rPr>
  </w:style>
  <w:style w:type="paragraph" w:customStyle="1" w:styleId="MiniTOCTitle">
    <w:name w:val="MiniTOCTitle"/>
    <w:basedOn w:val="Heading4"/>
    <w:rsid w:val="001B674C"/>
    <w:pPr>
      <w:spacing w:before="240"/>
      <w:outlineLvl w:val="9"/>
    </w:pPr>
    <w:rPr>
      <w:noProof/>
      <w:sz w:val="24"/>
    </w:rPr>
  </w:style>
  <w:style w:type="paragraph" w:customStyle="1" w:styleId="MiniTOCItem">
    <w:name w:val="MiniTOCItem"/>
    <w:basedOn w:val="ListBullet"/>
    <w:rsid w:val="001B674C"/>
    <w:pPr>
      <w:numPr>
        <w:numId w:val="0"/>
      </w:numPr>
      <w:tabs>
        <w:tab w:val="right" w:leader="dot" w:pos="6521"/>
      </w:tabs>
      <w:spacing w:before="0" w:after="0"/>
    </w:pPr>
  </w:style>
  <w:style w:type="paragraph" w:customStyle="1" w:styleId="TOFTitle">
    <w:name w:val="TOFTitle"/>
    <w:basedOn w:val="TOCTitle"/>
    <w:rsid w:val="001B674C"/>
  </w:style>
  <w:style w:type="paragraph" w:styleId="TableofFigures">
    <w:name w:val="table of figures"/>
    <w:basedOn w:val="Normal"/>
    <w:next w:val="Normal"/>
    <w:semiHidden/>
    <w:rsid w:val="001B674C"/>
    <w:pPr>
      <w:tabs>
        <w:tab w:val="right" w:leader="dot" w:pos="9072"/>
      </w:tabs>
      <w:ind w:left="970" w:hanging="403"/>
    </w:pPr>
    <w:rPr>
      <w:rFonts w:ascii="Times New Roman" w:hAnsi="Times New Roman"/>
      <w:b/>
    </w:rPr>
  </w:style>
  <w:style w:type="paragraph" w:styleId="ListNumber">
    <w:name w:val="List Number"/>
    <w:basedOn w:val="List"/>
    <w:rsid w:val="001B674C"/>
    <w:pPr>
      <w:numPr>
        <w:numId w:val="15"/>
      </w:numPr>
      <w:tabs>
        <w:tab w:val="clear" w:pos="340"/>
      </w:tabs>
    </w:pPr>
  </w:style>
  <w:style w:type="character" w:customStyle="1" w:styleId="WingdingSymbols">
    <w:name w:val="Wingding Symbols"/>
    <w:rsid w:val="001B674C"/>
    <w:rPr>
      <w:rFonts w:ascii="Wingdings" w:hAnsi="Wingdings"/>
    </w:rPr>
  </w:style>
  <w:style w:type="paragraph" w:customStyle="1" w:styleId="TableHeading">
    <w:name w:val="Table Heading"/>
    <w:basedOn w:val="HeadingBase"/>
    <w:rsid w:val="001B674C"/>
    <w:pPr>
      <w:keepLines/>
      <w:pBdr>
        <w:bottom w:val="single" w:sz="6" w:space="1" w:color="918585"/>
      </w:pBdr>
      <w:spacing w:before="240"/>
    </w:pPr>
  </w:style>
  <w:style w:type="character" w:customStyle="1" w:styleId="HotSpot">
    <w:name w:val="HotSpot"/>
    <w:rsid w:val="001B674C"/>
    <w:rPr>
      <w:color w:val="0033CC"/>
      <w:u w:val="none"/>
    </w:rPr>
  </w:style>
  <w:style w:type="paragraph" w:customStyle="1" w:styleId="BodyTextRight">
    <w:name w:val="Body Text Right"/>
    <w:basedOn w:val="BodyText"/>
    <w:rsid w:val="001B674C"/>
    <w:pPr>
      <w:spacing w:before="0" w:after="0"/>
      <w:jc w:val="right"/>
    </w:pPr>
  </w:style>
  <w:style w:type="paragraph" w:styleId="Index3">
    <w:name w:val="index 3"/>
    <w:basedOn w:val="ListNumber2"/>
    <w:next w:val="Normal"/>
    <w:semiHidden/>
    <w:rsid w:val="001B674C"/>
    <w:pPr>
      <w:numPr>
        <w:numId w:val="0"/>
      </w:numPr>
      <w:tabs>
        <w:tab w:val="right" w:leader="dot" w:pos="4176"/>
      </w:tabs>
    </w:pPr>
  </w:style>
  <w:style w:type="paragraph" w:styleId="ListNumber2">
    <w:name w:val="List Number 2"/>
    <w:basedOn w:val="List2"/>
    <w:rsid w:val="001B674C"/>
    <w:pPr>
      <w:numPr>
        <w:numId w:val="10"/>
      </w:numPr>
      <w:tabs>
        <w:tab w:val="clear" w:pos="1060"/>
      </w:tabs>
    </w:pPr>
  </w:style>
  <w:style w:type="paragraph" w:customStyle="1" w:styleId="MarginNote">
    <w:name w:val="Margin Note"/>
    <w:basedOn w:val="BodyText"/>
    <w:rsid w:val="001B67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7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7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74C"/>
    <w:rPr>
      <w:sz w:val="32"/>
    </w:rPr>
  </w:style>
  <w:style w:type="paragraph" w:customStyle="1" w:styleId="HeadingProcedure">
    <w:name w:val="Heading Procedure"/>
    <w:basedOn w:val="HeadingBase"/>
    <w:next w:val="Normal"/>
    <w:rsid w:val="001B674C"/>
    <w:pPr>
      <w:tabs>
        <w:tab w:val="left" w:pos="0"/>
      </w:tabs>
      <w:spacing w:before="120" w:after="60"/>
    </w:pPr>
    <w:rPr>
      <w:i/>
      <w:color w:val="918585"/>
      <w:sz w:val="22"/>
    </w:rPr>
  </w:style>
  <w:style w:type="paragraph" w:customStyle="1" w:styleId="TableBodyText">
    <w:name w:val="Table Body Text"/>
    <w:basedOn w:val="BodyText"/>
    <w:rsid w:val="001B674C"/>
    <w:pPr>
      <w:spacing w:before="60" w:after="60"/>
    </w:pPr>
  </w:style>
  <w:style w:type="paragraph" w:styleId="ListContinue">
    <w:name w:val="List Continue"/>
    <w:basedOn w:val="List"/>
    <w:rsid w:val="001B674C"/>
    <w:pPr>
      <w:ind w:firstLine="0"/>
    </w:pPr>
  </w:style>
  <w:style w:type="paragraph" w:customStyle="1" w:styleId="ListNote">
    <w:name w:val="List Note"/>
    <w:basedOn w:val="List"/>
    <w:rsid w:val="001B674C"/>
    <w:pPr>
      <w:pBdr>
        <w:top w:val="single" w:sz="6" w:space="2" w:color="918585"/>
        <w:bottom w:val="single" w:sz="6" w:space="2" w:color="918585"/>
      </w:pBdr>
      <w:tabs>
        <w:tab w:val="left" w:pos="1021"/>
      </w:tabs>
      <w:ind w:firstLine="0"/>
    </w:pPr>
  </w:style>
  <w:style w:type="paragraph" w:customStyle="1" w:styleId="Warning">
    <w:name w:val="Warning"/>
    <w:basedOn w:val="BodyText"/>
    <w:rsid w:val="001B674C"/>
    <w:pPr>
      <w:shd w:val="clear" w:color="auto" w:fill="D9D9D9"/>
      <w:tabs>
        <w:tab w:val="left" w:pos="992"/>
      </w:tabs>
      <w:ind w:left="119" w:right="119"/>
    </w:pPr>
    <w:rPr>
      <w:sz w:val="20"/>
    </w:rPr>
  </w:style>
  <w:style w:type="paragraph" w:customStyle="1" w:styleId="MarginIcons">
    <w:name w:val="Margin Icons"/>
    <w:basedOn w:val="BodyText"/>
    <w:rsid w:val="001B67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74C"/>
    <w:rPr>
      <w:rFonts w:ascii="Courier New" w:hAnsi="Courier New"/>
    </w:rPr>
  </w:style>
  <w:style w:type="paragraph" w:customStyle="1" w:styleId="NoteBullet">
    <w:name w:val="Note Bullet"/>
    <w:basedOn w:val="Note"/>
    <w:rsid w:val="001B674C"/>
    <w:pPr>
      <w:tabs>
        <w:tab w:val="clear" w:pos="680"/>
      </w:tabs>
      <w:spacing w:before="60" w:after="60"/>
    </w:pPr>
  </w:style>
  <w:style w:type="paragraph" w:customStyle="1" w:styleId="SubHeading2">
    <w:name w:val="SubHeading2"/>
    <w:basedOn w:val="HeadingBase"/>
    <w:rsid w:val="001B674C"/>
    <w:pPr>
      <w:spacing w:before="240" w:after="60"/>
    </w:pPr>
    <w:rPr>
      <w:sz w:val="20"/>
    </w:rPr>
  </w:style>
  <w:style w:type="paragraph" w:customStyle="1" w:styleId="SubHeading1">
    <w:name w:val="SubHeading1"/>
    <w:basedOn w:val="HeadingBase"/>
    <w:rsid w:val="001B674C"/>
    <w:pPr>
      <w:spacing w:before="240" w:after="60"/>
    </w:pPr>
    <w:rPr>
      <w:color w:val="918585"/>
      <w:sz w:val="22"/>
    </w:rPr>
  </w:style>
  <w:style w:type="paragraph" w:customStyle="1" w:styleId="SideHeading">
    <w:name w:val="Side Heading"/>
    <w:basedOn w:val="HeadingBase"/>
    <w:rsid w:val="001B67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74C"/>
    <w:pPr>
      <w:tabs>
        <w:tab w:val="num" w:pos="360"/>
      </w:tabs>
    </w:pPr>
  </w:style>
  <w:style w:type="paragraph" w:styleId="PlainText">
    <w:name w:val="Plain Text"/>
    <w:basedOn w:val="Normal"/>
    <w:link w:val="PlainTextChar"/>
    <w:rsid w:val="001B674C"/>
    <w:rPr>
      <w:sz w:val="20"/>
    </w:rPr>
  </w:style>
  <w:style w:type="character" w:customStyle="1" w:styleId="PlainTextChar">
    <w:name w:val="Plain Text Char"/>
    <w:basedOn w:val="DefaultParagraphFont"/>
    <w:link w:val="PlainText"/>
    <w:rsid w:val="001B674C"/>
    <w:rPr>
      <w:rFonts w:ascii="Courier New" w:eastAsia="Times New Roman" w:hAnsi="Courier New" w:cs="Times New Roman"/>
      <w:sz w:val="20"/>
      <w:szCs w:val="20"/>
      <w:lang w:eastAsia="en-US"/>
    </w:rPr>
  </w:style>
  <w:style w:type="character" w:customStyle="1" w:styleId="MenuOption">
    <w:name w:val="Menu Option"/>
    <w:basedOn w:val="DefaultParagraphFont"/>
    <w:rsid w:val="001B674C"/>
    <w:rPr>
      <w:b/>
      <w:smallCaps/>
    </w:rPr>
  </w:style>
  <w:style w:type="paragraph" w:customStyle="1" w:styleId="TableListNumber">
    <w:name w:val="Table List Number"/>
    <w:basedOn w:val="ListNumber"/>
    <w:rsid w:val="001B674C"/>
    <w:pPr>
      <w:numPr>
        <w:numId w:val="0"/>
      </w:numPr>
    </w:pPr>
  </w:style>
  <w:style w:type="paragraph" w:styleId="TOC4">
    <w:name w:val="toc 4"/>
    <w:basedOn w:val="TOCBase"/>
    <w:next w:val="Normal"/>
    <w:semiHidden/>
    <w:rsid w:val="001B674C"/>
    <w:pPr>
      <w:tabs>
        <w:tab w:val="right" w:leader="dot" w:pos="9071"/>
      </w:tabs>
      <w:ind w:left="1701"/>
    </w:pPr>
  </w:style>
  <w:style w:type="paragraph" w:customStyle="1" w:styleId="ListAlpha">
    <w:name w:val="List Alpha"/>
    <w:basedOn w:val="List"/>
    <w:rsid w:val="001B674C"/>
    <w:pPr>
      <w:numPr>
        <w:numId w:val="9"/>
      </w:numPr>
    </w:pPr>
  </w:style>
  <w:style w:type="paragraph" w:customStyle="1" w:styleId="ListAlpha2">
    <w:name w:val="List Alpha 2"/>
    <w:basedOn w:val="List2"/>
    <w:rsid w:val="001B674C"/>
    <w:pPr>
      <w:numPr>
        <w:numId w:val="8"/>
      </w:numPr>
    </w:pPr>
  </w:style>
  <w:style w:type="paragraph" w:styleId="List2">
    <w:name w:val="List 2"/>
    <w:basedOn w:val="BodyText"/>
    <w:rsid w:val="001B674C"/>
    <w:pPr>
      <w:tabs>
        <w:tab w:val="left" w:pos="680"/>
      </w:tabs>
      <w:spacing w:before="60" w:after="60"/>
      <w:ind w:left="680" w:hanging="340"/>
    </w:pPr>
  </w:style>
  <w:style w:type="paragraph" w:styleId="List3">
    <w:name w:val="List 3"/>
    <w:basedOn w:val="BodyText"/>
    <w:rsid w:val="001B674C"/>
    <w:pPr>
      <w:tabs>
        <w:tab w:val="left" w:pos="1021"/>
      </w:tabs>
      <w:spacing w:before="60" w:after="60"/>
      <w:ind w:left="1020" w:hanging="340"/>
    </w:pPr>
  </w:style>
  <w:style w:type="paragraph" w:styleId="List4">
    <w:name w:val="List 4"/>
    <w:basedOn w:val="BodyText"/>
    <w:rsid w:val="001B674C"/>
    <w:pPr>
      <w:tabs>
        <w:tab w:val="left" w:pos="1361"/>
      </w:tabs>
      <w:spacing w:before="60" w:after="60"/>
      <w:ind w:left="1361" w:hanging="340"/>
    </w:pPr>
  </w:style>
  <w:style w:type="paragraph" w:styleId="List5">
    <w:name w:val="List 5"/>
    <w:basedOn w:val="BodyText"/>
    <w:rsid w:val="001B674C"/>
    <w:pPr>
      <w:tabs>
        <w:tab w:val="left" w:pos="1701"/>
      </w:tabs>
      <w:spacing w:before="60" w:after="60"/>
      <w:ind w:left="1701" w:hanging="340"/>
    </w:pPr>
  </w:style>
  <w:style w:type="paragraph" w:styleId="ListBullet3">
    <w:name w:val="List Bullet 3"/>
    <w:basedOn w:val="List3"/>
    <w:rsid w:val="001B674C"/>
    <w:pPr>
      <w:numPr>
        <w:numId w:val="14"/>
      </w:numPr>
      <w:tabs>
        <w:tab w:val="clear" w:pos="1021"/>
      </w:tabs>
      <w:ind w:left="1037" w:hanging="357"/>
    </w:pPr>
  </w:style>
  <w:style w:type="paragraph" w:styleId="ListBullet4">
    <w:name w:val="List Bullet 4"/>
    <w:basedOn w:val="List4"/>
    <w:rsid w:val="001B674C"/>
    <w:pPr>
      <w:numPr>
        <w:numId w:val="3"/>
      </w:numPr>
      <w:tabs>
        <w:tab w:val="clear" w:pos="1361"/>
      </w:tabs>
    </w:pPr>
  </w:style>
  <w:style w:type="paragraph" w:styleId="ListBullet5">
    <w:name w:val="List Bullet 5"/>
    <w:basedOn w:val="List5"/>
    <w:rsid w:val="001B674C"/>
    <w:pPr>
      <w:numPr>
        <w:numId w:val="4"/>
      </w:numPr>
    </w:pPr>
  </w:style>
  <w:style w:type="paragraph" w:styleId="ListContinue2">
    <w:name w:val="List Continue 2"/>
    <w:basedOn w:val="List2"/>
    <w:rsid w:val="001B674C"/>
    <w:pPr>
      <w:ind w:firstLine="0"/>
    </w:pPr>
  </w:style>
  <w:style w:type="paragraph" w:styleId="ListContinue3">
    <w:name w:val="List Continue 3"/>
    <w:basedOn w:val="List3"/>
    <w:rsid w:val="001B674C"/>
    <w:pPr>
      <w:ind w:left="1021" w:firstLine="0"/>
    </w:pPr>
  </w:style>
  <w:style w:type="paragraph" w:styleId="ListContinue4">
    <w:name w:val="List Continue 4"/>
    <w:basedOn w:val="List4"/>
    <w:rsid w:val="001B674C"/>
    <w:pPr>
      <w:ind w:firstLine="0"/>
    </w:pPr>
  </w:style>
  <w:style w:type="paragraph" w:styleId="ListContinue5">
    <w:name w:val="List Continue 5"/>
    <w:basedOn w:val="List5"/>
    <w:rsid w:val="001B674C"/>
    <w:pPr>
      <w:ind w:firstLine="0"/>
    </w:pPr>
  </w:style>
  <w:style w:type="paragraph" w:styleId="ListNumber3">
    <w:name w:val="List Number 3"/>
    <w:basedOn w:val="List3"/>
    <w:rsid w:val="001B674C"/>
    <w:pPr>
      <w:numPr>
        <w:numId w:val="5"/>
      </w:numPr>
    </w:pPr>
  </w:style>
  <w:style w:type="paragraph" w:styleId="ListNumber4">
    <w:name w:val="List Number 4"/>
    <w:basedOn w:val="List4"/>
    <w:rsid w:val="001B674C"/>
    <w:pPr>
      <w:numPr>
        <w:numId w:val="6"/>
      </w:numPr>
    </w:pPr>
  </w:style>
  <w:style w:type="paragraph" w:styleId="ListNumber5">
    <w:name w:val="List Number 5"/>
    <w:basedOn w:val="List5"/>
    <w:rsid w:val="001B674C"/>
    <w:pPr>
      <w:numPr>
        <w:numId w:val="7"/>
      </w:numPr>
    </w:pPr>
  </w:style>
  <w:style w:type="paragraph" w:styleId="BlockText">
    <w:name w:val="Block Text"/>
    <w:basedOn w:val="Normal"/>
    <w:rsid w:val="001B674C"/>
    <w:pPr>
      <w:spacing w:after="120"/>
      <w:ind w:left="1440" w:right="1440"/>
    </w:pPr>
  </w:style>
  <w:style w:type="character" w:customStyle="1" w:styleId="Subscript">
    <w:name w:val="Subscript"/>
    <w:basedOn w:val="DefaultParagraphFont"/>
    <w:rsid w:val="001B674C"/>
    <w:rPr>
      <w:sz w:val="16"/>
      <w:vertAlign w:val="subscript"/>
    </w:rPr>
  </w:style>
  <w:style w:type="character" w:customStyle="1" w:styleId="Superscript">
    <w:name w:val="Superscript"/>
    <w:basedOn w:val="DefaultParagraphFont"/>
    <w:rsid w:val="001B674C"/>
    <w:rPr>
      <w:sz w:val="16"/>
      <w:vertAlign w:val="superscript"/>
    </w:rPr>
  </w:style>
  <w:style w:type="character" w:customStyle="1" w:styleId="Symbols">
    <w:name w:val="Symbols"/>
    <w:basedOn w:val="DefaultParagraphFont"/>
    <w:rsid w:val="001B674C"/>
    <w:rPr>
      <w:rFonts w:ascii="Symbol" w:hAnsi="Symbol"/>
    </w:rPr>
  </w:style>
  <w:style w:type="character" w:customStyle="1" w:styleId="MenuOptions">
    <w:name w:val="Menu Options"/>
    <w:basedOn w:val="DefaultParagraphFont"/>
    <w:rsid w:val="001B674C"/>
    <w:rPr>
      <w:rFonts w:ascii="Arial Narrow" w:hAnsi="Arial Narrow"/>
      <w:smallCaps/>
    </w:rPr>
  </w:style>
  <w:style w:type="character" w:customStyle="1" w:styleId="Buttons">
    <w:name w:val="Buttons"/>
    <w:basedOn w:val="DefaultParagraphFont"/>
    <w:rsid w:val="001B674C"/>
    <w:rPr>
      <w:b/>
    </w:rPr>
  </w:style>
  <w:style w:type="character" w:customStyle="1" w:styleId="Underlined">
    <w:name w:val="Underlined"/>
    <w:basedOn w:val="DefaultParagraphFont"/>
    <w:rsid w:val="001B674C"/>
    <w:rPr>
      <w:u w:val="single"/>
    </w:rPr>
  </w:style>
  <w:style w:type="paragraph" w:customStyle="1" w:styleId="TableBodyTextRight">
    <w:name w:val="Table Body Text Right"/>
    <w:basedOn w:val="TableBodyText"/>
    <w:rsid w:val="001B674C"/>
    <w:pPr>
      <w:widowControl w:val="0"/>
      <w:autoSpaceDE w:val="0"/>
      <w:autoSpaceDN w:val="0"/>
      <w:adjustRightInd w:val="0"/>
      <w:jc w:val="right"/>
    </w:pPr>
    <w:rPr>
      <w:rFonts w:cs="Arial"/>
      <w:szCs w:val="18"/>
    </w:rPr>
  </w:style>
  <w:style w:type="paragraph" w:customStyle="1" w:styleId="CopyrightText">
    <w:name w:val="Copyright Text"/>
    <w:basedOn w:val="BodyText"/>
    <w:rsid w:val="001B674C"/>
    <w:rPr>
      <w:sz w:val="18"/>
    </w:rPr>
  </w:style>
  <w:style w:type="paragraph" w:customStyle="1" w:styleId="BodySmallRight">
    <w:name w:val="Body Small Right"/>
    <w:basedOn w:val="BodyTextRight"/>
    <w:rsid w:val="001B674C"/>
    <w:rPr>
      <w:sz w:val="18"/>
      <w:szCs w:val="18"/>
    </w:rPr>
  </w:style>
  <w:style w:type="paragraph" w:customStyle="1" w:styleId="MarginEdition">
    <w:name w:val="Margin Edition"/>
    <w:basedOn w:val="MarginNote"/>
    <w:rsid w:val="001B674C"/>
    <w:pPr>
      <w:spacing w:before="0" w:after="0"/>
    </w:pPr>
    <w:rPr>
      <w:rFonts w:ascii="Times New Roman" w:hAnsi="Times New Roman"/>
      <w:color w:val="999999"/>
    </w:rPr>
  </w:style>
  <w:style w:type="paragraph" w:customStyle="1" w:styleId="Spacer">
    <w:name w:val="Spacer"/>
    <w:basedOn w:val="Normal"/>
    <w:rsid w:val="001B674C"/>
    <w:rPr>
      <w:sz w:val="2"/>
      <w:szCs w:val="2"/>
    </w:rPr>
  </w:style>
  <w:style w:type="character" w:customStyle="1" w:styleId="Small">
    <w:name w:val="Small"/>
    <w:basedOn w:val="DefaultParagraphFont"/>
    <w:rsid w:val="001B674C"/>
    <w:rPr>
      <w:sz w:val="16"/>
    </w:rPr>
  </w:style>
  <w:style w:type="paragraph" w:customStyle="1" w:styleId="WideTable">
    <w:name w:val="Wide Table"/>
    <w:basedOn w:val="Normal"/>
    <w:rsid w:val="001B674C"/>
    <w:pPr>
      <w:ind w:left="-1418"/>
    </w:pPr>
    <w:rPr>
      <w:sz w:val="2"/>
      <w:szCs w:val="2"/>
    </w:rPr>
  </w:style>
  <w:style w:type="character" w:styleId="PageNumber">
    <w:name w:val="page number"/>
    <w:basedOn w:val="DefaultParagraphFont"/>
    <w:rsid w:val="001B674C"/>
  </w:style>
  <w:style w:type="paragraph" w:styleId="Quote">
    <w:name w:val="Quote"/>
    <w:basedOn w:val="Heading1"/>
    <w:link w:val="QuoteChar"/>
    <w:qFormat/>
    <w:rsid w:val="001B674C"/>
    <w:rPr>
      <w:b w:val="0"/>
      <w:sz w:val="72"/>
      <w:szCs w:val="72"/>
      <w:lang w:val="en-NZ"/>
    </w:rPr>
  </w:style>
  <w:style w:type="character" w:customStyle="1" w:styleId="QuoteChar">
    <w:name w:val="Quote Char"/>
    <w:basedOn w:val="DefaultParagraphFont"/>
    <w:link w:val="Quote"/>
    <w:rsid w:val="001B67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74C"/>
    <w:pPr>
      <w:pageBreakBefore/>
    </w:pPr>
  </w:style>
  <w:style w:type="paragraph" w:customStyle="1" w:styleId="Border">
    <w:name w:val="Border"/>
    <w:basedOn w:val="Normal"/>
    <w:qFormat/>
    <w:rsid w:val="001B67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74C"/>
    <w:rPr>
      <w:b/>
      <w:bCs/>
      <w:i/>
      <w:iCs/>
      <w:color w:val="auto"/>
    </w:rPr>
  </w:style>
  <w:style w:type="paragraph" w:styleId="IntenseQuote">
    <w:name w:val="Intense Quote"/>
    <w:basedOn w:val="Normal"/>
    <w:next w:val="Normal"/>
    <w:link w:val="IntenseQuoteChar"/>
    <w:uiPriority w:val="30"/>
    <w:qFormat/>
    <w:rsid w:val="001B67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7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74C"/>
    <w:rPr>
      <w:smallCaps/>
      <w:color w:val="auto"/>
      <w:u w:val="single"/>
    </w:rPr>
  </w:style>
  <w:style w:type="character" w:styleId="IntenseReference">
    <w:name w:val="Intense Reference"/>
    <w:basedOn w:val="DefaultParagraphFont"/>
    <w:uiPriority w:val="32"/>
    <w:qFormat/>
    <w:rsid w:val="001B674C"/>
    <w:rPr>
      <w:b/>
      <w:bCs/>
      <w:smallCaps/>
      <w:color w:val="auto"/>
      <w:spacing w:val="5"/>
      <w:u w:val="single"/>
    </w:rPr>
  </w:style>
  <w:style w:type="paragraph" w:customStyle="1" w:styleId="2ColumnHeading">
    <w:name w:val="2Column Heading"/>
    <w:basedOn w:val="BodyText"/>
    <w:qFormat/>
    <w:rsid w:val="001B674C"/>
    <w:pPr>
      <w:spacing w:after="60"/>
      <w:ind w:left="-2268"/>
    </w:pPr>
    <w:rPr>
      <w:b/>
    </w:rPr>
  </w:style>
  <w:style w:type="paragraph" w:customStyle="1" w:styleId="Heading1TOC">
    <w:name w:val="Heading1 TOC"/>
    <w:basedOn w:val="Normal"/>
    <w:qFormat/>
    <w:rsid w:val="001B674C"/>
    <w:pPr>
      <w:spacing w:before="240" w:after="120"/>
    </w:pPr>
    <w:rPr>
      <w:rFonts w:ascii="Times New Roman" w:hAnsi="Times New Roman"/>
      <w:b/>
      <w:sz w:val="32"/>
    </w:rPr>
  </w:style>
  <w:style w:type="paragraph" w:customStyle="1" w:styleId="Heading2TOC">
    <w:name w:val="Heading2 TOC"/>
    <w:basedOn w:val="Normal"/>
    <w:qFormat/>
    <w:rsid w:val="001B674C"/>
    <w:pPr>
      <w:spacing w:before="240" w:after="60"/>
    </w:pPr>
    <w:rPr>
      <w:rFonts w:ascii="Times New Roman" w:hAnsi="Times New Roman"/>
      <w:b/>
      <w:sz w:val="28"/>
    </w:rPr>
  </w:style>
  <w:style w:type="character" w:customStyle="1" w:styleId="Underline">
    <w:name w:val="Underline"/>
    <w:basedOn w:val="DefaultParagraphFont"/>
    <w:qFormat/>
    <w:rsid w:val="001B674C"/>
    <w:rPr>
      <w:u w:val="single"/>
    </w:rPr>
  </w:style>
  <w:style w:type="character" w:customStyle="1" w:styleId="BoldandItalics">
    <w:name w:val="Bold and Italics"/>
    <w:qFormat/>
    <w:rsid w:val="001B674C"/>
    <w:rPr>
      <w:b/>
      <w:i/>
      <w:u w:val="none"/>
    </w:rPr>
  </w:style>
  <w:style w:type="paragraph" w:styleId="BalloonText">
    <w:name w:val="Balloon Text"/>
    <w:basedOn w:val="Normal"/>
    <w:link w:val="BalloonTextChar"/>
    <w:rsid w:val="001B674C"/>
    <w:rPr>
      <w:rFonts w:ascii="Tahoma" w:hAnsi="Tahoma" w:cs="Tahoma"/>
      <w:sz w:val="16"/>
      <w:szCs w:val="16"/>
    </w:rPr>
  </w:style>
  <w:style w:type="character" w:customStyle="1" w:styleId="BalloonTextChar">
    <w:name w:val="Balloon Text Char"/>
    <w:basedOn w:val="DefaultParagraphFont"/>
    <w:link w:val="BalloonText"/>
    <w:rsid w:val="001B67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7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7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74C"/>
    <w:rPr>
      <w:b/>
      <w:color w:val="660033"/>
      <w:spacing w:val="0"/>
    </w:rPr>
  </w:style>
  <w:style w:type="paragraph" w:customStyle="1" w:styleId="Nameditemlist">
    <w:name w:val="Named item list"/>
    <w:basedOn w:val="BodyText"/>
    <w:qFormat/>
    <w:rsid w:val="001B674C"/>
    <w:pPr>
      <w:tabs>
        <w:tab w:val="left" w:pos="2835"/>
      </w:tabs>
      <w:ind w:left="2835" w:hanging="2835"/>
    </w:pPr>
  </w:style>
  <w:style w:type="paragraph" w:customStyle="1" w:styleId="BodyTextnopadding">
    <w:name w:val="Body Text no padding"/>
    <w:basedOn w:val="BodyText"/>
    <w:qFormat/>
    <w:rsid w:val="001B674C"/>
    <w:pPr>
      <w:spacing w:before="0" w:after="0"/>
    </w:pPr>
  </w:style>
  <w:style w:type="paragraph" w:customStyle="1" w:styleId="BodyTextBold">
    <w:name w:val="Body Text Bold"/>
    <w:basedOn w:val="BodyText"/>
    <w:qFormat/>
    <w:rsid w:val="001B674C"/>
    <w:rPr>
      <w:b/>
    </w:rPr>
  </w:style>
  <w:style w:type="character" w:styleId="Hyperlink">
    <w:name w:val="Hyperlink"/>
    <w:basedOn w:val="DefaultParagraphFont"/>
    <w:uiPriority w:val="99"/>
    <w:unhideWhenUsed/>
    <w:rsid w:val="00465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6320</Characters>
  <Application>Microsoft Office Word</Application>
  <DocSecurity>0</DocSecurity>
  <Lines>158</Lines>
  <Paragraphs>91</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MEAMEC0067 Test gas turbine engines and engine modules after overhaul or repair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