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533" w:rsidP="00035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MEAENG0003 Select and test aviation engineering materials</w:t>
      </w:r>
      <w:r>
        <w:fldChar w:fldCharType="end"/>
      </w:r>
    </w:p>
    <w:p w:rsidR="00035533" w:rsidP="00035533">
      <w:pPr>
        <w:pStyle w:val="Version"/>
        <w:sectPr w:rsidSect="00DA3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5CF" w:rsidP="00DA35CF">
      <w:pPr>
        <w:pStyle w:val="SuperHeading"/>
      </w:pPr>
      <w:r w:rsidRPr="00DA35CF">
        <w:t>Assessment Requirements for MEAENG0003 Select and test aviation engineering materials</w:t>
      </w:r>
    </w:p>
    <w:p w:rsidR="00000000" w:rsidRPr="00DA35CF" w:rsidP="00DA35CF">
      <w:pPr>
        <w:pStyle w:val="Heading1"/>
      </w:pPr>
      <w:bookmarkStart w:id="1" w:name="O_1251351"/>
      <w:bookmarkEnd w:id="1"/>
      <w:r w:rsidRPr="00DA35CF">
        <w:t>Modification History</w:t>
      </w:r>
    </w:p>
    <w:p w:rsidR="00000000" w:rsidRPr="00DA35CF" w:rsidP="00035533">
      <w:pPr>
        <w:pStyle w:val="BodyText"/>
      </w:pPr>
      <w:r w:rsidRPr="00DA35CF">
        <w:t>Release 1. New unit of competency. Supersedes and is not eq</w:t>
      </w:r>
      <w:r w:rsidRPr="00DA35CF">
        <w:t>uivalent to MEA707 Select and test aeronautical engineering materials and MEA708 Select and test avionic engineering materials.</w:t>
      </w:r>
    </w:p>
    <w:p w:rsidR="00000000" w:rsidRPr="00DA35CF" w:rsidP="00DA35CF">
      <w:pPr>
        <w:pStyle w:val="Heading1"/>
      </w:pPr>
      <w:bookmarkStart w:id="2" w:name="O_1251352"/>
      <w:bookmarkEnd w:id="2"/>
      <w:r w:rsidRPr="00DA35CF">
        <w:t>Performance Evidence</w:t>
      </w:r>
    </w:p>
    <w:p w:rsidR="00000000" w:rsidRPr="00DA35CF" w:rsidP="00035533">
      <w:pPr>
        <w:pStyle w:val="BodyText"/>
      </w:pPr>
      <w:r w:rsidRPr="00DA35CF">
        <w:t>There must be evidence the candidate has completed all the tasks outlined in the element</w:t>
      </w:r>
      <w:r w:rsidRPr="00DA35CF">
        <w:t>s and performance criteria of this unit, and demonstrated the ability to conduct at least two tests on two or more aeronautical engineering materials from the following material groups:</w:t>
      </w:r>
    </w:p>
    <w:p w:rsidR="00000000" w:rsidRPr="00DA35CF" w:rsidP="00DA35CF">
      <w:pPr>
        <w:pStyle w:val="ListBullet"/>
      </w:pPr>
      <w:r w:rsidRPr="00DA35CF">
        <w:t>non-ferrous metals and alloys</w:t>
      </w:r>
    </w:p>
    <w:p w:rsidR="00000000" w:rsidRPr="00DA35CF" w:rsidP="00DA35CF">
      <w:pPr>
        <w:pStyle w:val="ListBullet"/>
      </w:pPr>
      <w:r w:rsidRPr="00DA35CF">
        <w:t>ferrous metals</w:t>
      </w:r>
    </w:p>
    <w:p w:rsidR="00000000" w:rsidRPr="00DA35CF" w:rsidP="00DA35CF">
      <w:pPr>
        <w:pStyle w:val="ListBullet"/>
      </w:pPr>
      <w:r w:rsidRPr="00DA35CF">
        <w:t>non-metallic</w:t>
      </w:r>
    </w:p>
    <w:p w:rsidR="00000000" w:rsidRPr="00DA35CF" w:rsidP="00DA35CF">
      <w:pPr>
        <w:pStyle w:val="ListBullet"/>
      </w:pPr>
      <w:r w:rsidRPr="00DA35CF">
        <w:t xml:space="preserve">electrical </w:t>
      </w:r>
      <w:r w:rsidRPr="00DA35CF">
        <w:t>insulation.</w:t>
      </w:r>
    </w:p>
    <w:p w:rsidR="00000000" w:rsidRPr="00DA35CF" w:rsidP="00DA35CF">
      <w:pPr>
        <w:pStyle w:val="AllowPageBreak"/>
      </w:pPr>
    </w:p>
    <w:p w:rsidR="00000000" w:rsidRPr="00DA35CF" w:rsidP="00DA35CF">
      <w:pPr>
        <w:pStyle w:val="Heading1"/>
      </w:pPr>
      <w:bookmarkStart w:id="3" w:name="O_1251353"/>
      <w:bookmarkEnd w:id="3"/>
      <w:r w:rsidRPr="00DA35CF">
        <w:t>Knowledge Evidence</w:t>
      </w:r>
    </w:p>
    <w:p w:rsidR="00000000" w:rsidRPr="00DA35CF" w:rsidP="00035533">
      <w:pPr>
        <w:pStyle w:val="BodyText"/>
      </w:pPr>
      <w:r w:rsidRPr="00DA35CF">
        <w:t>There must be evidence the candidate has knowledge of:</w:t>
      </w:r>
    </w:p>
    <w:p w:rsidR="00000000" w:rsidRPr="00DA35CF" w:rsidP="00DA35CF">
      <w:pPr>
        <w:pStyle w:val="ListBullet"/>
      </w:pPr>
      <w:r w:rsidRPr="00DA35CF">
        <w:t>regulatory bodies and industrial authorities, including:</w:t>
      </w:r>
    </w:p>
    <w:p w:rsidR="00000000" w:rsidRPr="00DA35CF" w:rsidP="00DA35CF">
      <w:pPr>
        <w:pStyle w:val="ListBullet2"/>
      </w:pPr>
      <w:r w:rsidRPr="00DA35CF">
        <w:t>Australian Standards (AS)</w:t>
      </w:r>
    </w:p>
    <w:p w:rsidR="00000000" w:rsidRPr="00DA35CF" w:rsidP="00DA35CF">
      <w:pPr>
        <w:pStyle w:val="ListBullet2"/>
      </w:pPr>
      <w:r w:rsidRPr="00DA35CF">
        <w:t>American Society of Testing and Materials (ASTM)</w:t>
      </w:r>
    </w:p>
    <w:p w:rsidR="00000000" w:rsidRPr="00DA35CF" w:rsidP="00DA35CF">
      <w:pPr>
        <w:pStyle w:val="ListBullet2"/>
      </w:pPr>
      <w:r w:rsidRPr="00DA35CF">
        <w:t>US Military Specification (MIL Spec.)</w:t>
      </w:r>
    </w:p>
    <w:p w:rsidR="00000000" w:rsidRPr="00DA35CF" w:rsidP="00DA35CF">
      <w:pPr>
        <w:pStyle w:val="ListBullet2"/>
      </w:pPr>
      <w:r w:rsidRPr="00DA35CF">
        <w:t>American Society of Manufacturing Engineers (ASME)</w:t>
      </w:r>
    </w:p>
    <w:p w:rsidR="00000000" w:rsidRPr="00DA35CF" w:rsidP="00DA35CF">
      <w:pPr>
        <w:pStyle w:val="ListBullet2"/>
      </w:pPr>
      <w:r w:rsidRPr="00DA35CF">
        <w:t>International Standards Organisation (ISO)</w:t>
      </w:r>
    </w:p>
    <w:p w:rsidR="00000000" w:rsidRPr="00DA35CF" w:rsidP="00DA35CF">
      <w:pPr>
        <w:pStyle w:val="ListBullet2"/>
      </w:pPr>
      <w:r w:rsidRPr="00DA35CF">
        <w:t>Civil Aviation Safety Authority (CASA)</w:t>
      </w:r>
    </w:p>
    <w:p w:rsidR="00000000" w:rsidRPr="00DA35CF" w:rsidP="00DA35CF">
      <w:pPr>
        <w:pStyle w:val="ListBullet2"/>
      </w:pPr>
      <w:r w:rsidRPr="00DA35CF">
        <w:t>Australian Defence Force (ADF)</w:t>
      </w:r>
    </w:p>
    <w:p w:rsidR="00000000" w:rsidRPr="00DA35CF" w:rsidP="00DA35CF">
      <w:pPr>
        <w:pStyle w:val="ListBullet2"/>
      </w:pPr>
      <w:r w:rsidRPr="00DA35CF">
        <w:t xml:space="preserve">United States Federal Aviation Authority </w:t>
      </w:r>
    </w:p>
    <w:p w:rsidR="00000000" w:rsidRPr="00DA35CF" w:rsidP="00DA35CF">
      <w:pPr>
        <w:pStyle w:val="ListBullet2"/>
      </w:pPr>
      <w:r w:rsidRPr="00DA35CF">
        <w:t>European Avi</w:t>
      </w:r>
      <w:r w:rsidRPr="00DA35CF">
        <w:t>ation Safety Agency</w:t>
      </w:r>
    </w:p>
    <w:p w:rsidR="00000000" w:rsidRPr="00DA35CF" w:rsidP="00DA35CF">
      <w:pPr>
        <w:pStyle w:val="ListBullet"/>
      </w:pPr>
      <w:r w:rsidRPr="00DA35CF">
        <w:t>codes, standards, legislation and regulations related to selection of materials and products for engineering applications, including environmental impact and sustainability assessment</w:t>
      </w:r>
    </w:p>
    <w:p w:rsidR="00000000" w:rsidRPr="00DA35CF" w:rsidP="00DA35CF">
      <w:pPr>
        <w:pStyle w:val="ListBullet"/>
      </w:pPr>
      <w:r w:rsidRPr="00DA35CF">
        <w:t>materials, components and products, including chara</w:t>
      </w:r>
      <w:r w:rsidRPr="00DA35CF">
        <w:t>cteristics, faults and flaws</w:t>
      </w:r>
    </w:p>
    <w:p w:rsidR="00000000" w:rsidRPr="00DA35CF" w:rsidP="00DA35CF">
      <w:pPr>
        <w:pStyle w:val="ListBullet"/>
      </w:pPr>
      <w:r w:rsidRPr="00DA35CF">
        <w:t>classes of materials, including:</w:t>
      </w:r>
    </w:p>
    <w:p w:rsidR="00000000" w:rsidRPr="00DA35CF" w:rsidP="00DA35CF">
      <w:pPr>
        <w:pStyle w:val="ListBullet2"/>
      </w:pPr>
      <w:r w:rsidRPr="00DA35CF">
        <w:t>non-ferrous metals and alloys – copper, aluminium, zinc, lead, tin, titanium and their alloys</w:t>
      </w:r>
    </w:p>
    <w:p w:rsidR="00000000" w:rsidRPr="00DA35CF" w:rsidP="00DA35CF">
      <w:pPr>
        <w:pStyle w:val="ListBullet2"/>
      </w:pPr>
      <w:r w:rsidRPr="00DA35CF">
        <w:t>ferrous metals – carbon steels, alloy steels and cast irons</w:t>
      </w:r>
    </w:p>
    <w:p w:rsidR="00000000" w:rsidRPr="00DA35CF" w:rsidP="00DA35CF">
      <w:pPr>
        <w:pStyle w:val="ListBullet2"/>
      </w:pPr>
      <w:r w:rsidRPr="00DA35CF">
        <w:t>non-metallic – composite materials, bea</w:t>
      </w:r>
      <w:r w:rsidRPr="00DA35CF">
        <w:t>ring materials, lubricants, ceramics, polymers and fabrics, adhesives</w:t>
      </w:r>
    </w:p>
    <w:p w:rsidR="00000000" w:rsidRPr="00DA35CF" w:rsidP="00DA35CF">
      <w:pPr>
        <w:pStyle w:val="ListBullet2"/>
      </w:pPr>
      <w:r w:rsidRPr="00DA35CF">
        <w:t>electrical insulation materials, thermal conductors and insulators, electrical conductors, semiconductors and insulators</w:t>
      </w:r>
    </w:p>
    <w:p w:rsidR="00000000" w:rsidRPr="00DA35CF" w:rsidP="00DA35CF">
      <w:pPr>
        <w:pStyle w:val="ListBullet"/>
      </w:pPr>
      <w:r w:rsidRPr="00DA35CF">
        <w:t>properties of materials, including:</w:t>
      </w:r>
    </w:p>
    <w:p w:rsidR="00000000" w:rsidRPr="00DA35CF" w:rsidP="00DA35CF">
      <w:pPr>
        <w:pStyle w:val="ListBullet2"/>
      </w:pPr>
      <w:r w:rsidRPr="00DA35CF">
        <w:t>strength</w:t>
      </w:r>
    </w:p>
    <w:p w:rsidR="00000000" w:rsidRPr="00DA35CF" w:rsidP="00DA35CF">
      <w:pPr>
        <w:pStyle w:val="ListBullet2"/>
      </w:pPr>
      <w:r w:rsidRPr="00DA35CF">
        <w:t>elasticity and plasticity</w:t>
      </w:r>
    </w:p>
    <w:p w:rsidR="00000000" w:rsidRPr="00DA35CF" w:rsidP="00DA35CF">
      <w:pPr>
        <w:pStyle w:val="ListBullet2"/>
      </w:pPr>
      <w:r w:rsidRPr="00DA35CF">
        <w:t>malleability</w:t>
      </w:r>
    </w:p>
    <w:p w:rsidR="00000000" w:rsidRPr="00DA35CF" w:rsidP="00DA35CF">
      <w:pPr>
        <w:pStyle w:val="ListBullet2"/>
      </w:pPr>
      <w:r w:rsidRPr="00DA35CF">
        <w:t>toughness and brittleness</w:t>
      </w:r>
    </w:p>
    <w:p w:rsidR="00000000" w:rsidRPr="00DA35CF" w:rsidP="00DA35CF">
      <w:pPr>
        <w:pStyle w:val="ListBullet2"/>
      </w:pPr>
      <w:r w:rsidRPr="00DA35CF">
        <w:t>fatigue endurance</w:t>
      </w:r>
    </w:p>
    <w:p w:rsidR="00000000" w:rsidRPr="00DA35CF" w:rsidP="00DA35CF">
      <w:pPr>
        <w:pStyle w:val="ListBullet2"/>
      </w:pPr>
      <w:r w:rsidRPr="00DA35CF">
        <w:t>mouldability, weldability, machinability and formability</w:t>
      </w:r>
    </w:p>
    <w:p w:rsidR="00000000" w:rsidRPr="00DA35CF" w:rsidP="00DA35CF">
      <w:pPr>
        <w:pStyle w:val="ListBullet2"/>
      </w:pPr>
      <w:r w:rsidRPr="00DA35CF">
        <w:t>resistance to creep and stress relaxation</w:t>
      </w:r>
    </w:p>
    <w:p w:rsidR="00000000" w:rsidRPr="00DA35CF" w:rsidP="00DA35CF">
      <w:pPr>
        <w:pStyle w:val="ListBullet2"/>
      </w:pPr>
      <w:r w:rsidRPr="00DA35CF">
        <w:t>resistance to degradation (e.g. use of plastic fillers to enhance UV resis</w:t>
      </w:r>
      <w:r w:rsidRPr="00DA35CF">
        <w:t>tance)</w:t>
      </w:r>
    </w:p>
    <w:p w:rsidR="00000000" w:rsidRPr="00DA35CF" w:rsidP="00DA35CF">
      <w:pPr>
        <w:pStyle w:val="ListBullet2"/>
      </w:pPr>
      <w:r w:rsidRPr="00DA35CF">
        <w:t>adhesion</w:t>
      </w:r>
    </w:p>
    <w:p w:rsidR="00000000" w:rsidRPr="00DA35CF" w:rsidP="00DA35CF">
      <w:pPr>
        <w:pStyle w:val="ListBullet2"/>
      </w:pPr>
      <w:r w:rsidRPr="00DA35CF">
        <w:t>electrical, magnetic, thermal, chemical and optical</w:t>
      </w:r>
    </w:p>
    <w:p w:rsidR="00000000" w:rsidRPr="00DA35CF" w:rsidP="00DA35CF">
      <w:pPr>
        <w:pStyle w:val="ListBullet2"/>
      </w:pPr>
      <w:r w:rsidRPr="00DA35CF">
        <w:t>material structure and effect on properties</w:t>
      </w:r>
    </w:p>
    <w:p w:rsidR="00000000" w:rsidRPr="00DA35CF" w:rsidP="00DA35CF">
      <w:pPr>
        <w:pStyle w:val="ListBullet2"/>
      </w:pPr>
      <w:r w:rsidRPr="00DA35CF">
        <w:t>flammability of fabrics</w:t>
      </w:r>
    </w:p>
    <w:p w:rsidR="00000000" w:rsidRPr="00DA35CF" w:rsidP="00DA35CF">
      <w:pPr>
        <w:pStyle w:val="ListBullet"/>
      </w:pPr>
      <w:r w:rsidRPr="00DA35CF">
        <w:t>effect of the following on engineering materials:</w:t>
      </w:r>
    </w:p>
    <w:p w:rsidR="00000000" w:rsidRPr="00DA35CF" w:rsidP="00DA35CF">
      <w:pPr>
        <w:pStyle w:val="ListBullet2"/>
      </w:pPr>
      <w:r w:rsidRPr="00DA35CF">
        <w:t>manufacturing and construction processes on material properties (e.g</w:t>
      </w:r>
      <w:r w:rsidRPr="00DA35CF">
        <w:t>. effect of heat treatment on corrosion resistance and fatigue properties, hydrogen embrittlement, shot peening of surfaces)</w:t>
      </w:r>
    </w:p>
    <w:p w:rsidR="00000000" w:rsidRPr="00DA35CF" w:rsidP="00DA35CF">
      <w:pPr>
        <w:pStyle w:val="ListBullet2"/>
      </w:pPr>
      <w:r w:rsidRPr="00DA35CF">
        <w:t>material characteristics, faults and flaws on product and processes</w:t>
      </w:r>
    </w:p>
    <w:p w:rsidR="00000000" w:rsidRPr="00DA35CF" w:rsidP="00DA35CF">
      <w:pPr>
        <w:pStyle w:val="ListBullet2"/>
      </w:pPr>
      <w:r w:rsidRPr="00DA35CF">
        <w:t>corrosion and corrosion protection methods</w:t>
      </w:r>
    </w:p>
    <w:p w:rsidR="00000000" w:rsidRPr="00DA35CF" w:rsidP="00DA35CF">
      <w:pPr>
        <w:pStyle w:val="ListBullet2"/>
      </w:pPr>
      <w:r w:rsidRPr="00DA35CF">
        <w:t>aging of metals and fatigue</w:t>
      </w:r>
    </w:p>
    <w:p w:rsidR="00000000" w:rsidRPr="00DA35CF" w:rsidP="00DA35CF">
      <w:pPr>
        <w:pStyle w:val="ListBullet2"/>
      </w:pPr>
      <w:r w:rsidRPr="00DA35CF">
        <w:t>property enhancement on design (e.g. adhesives plus sintering replacing some forging and machining of gears on shafts)</w:t>
      </w:r>
    </w:p>
    <w:p w:rsidR="00000000" w:rsidRPr="00DA35CF" w:rsidP="00DA35CF">
      <w:pPr>
        <w:pStyle w:val="ListBullet2"/>
      </w:pPr>
      <w:r w:rsidRPr="00DA35CF">
        <w:t>lay-up methods for composite structures</w:t>
      </w:r>
    </w:p>
    <w:p w:rsidR="00000000" w:rsidRPr="00DA35CF" w:rsidP="00DA35CF">
      <w:pPr>
        <w:pStyle w:val="ListBullet2"/>
      </w:pPr>
      <w:r w:rsidRPr="00DA35CF">
        <w:t>costs, such as manufacture of material, source of material, and typic</w:t>
      </w:r>
      <w:r w:rsidRPr="00DA35CF">
        <w:t>al applications and possibilities</w:t>
      </w:r>
    </w:p>
    <w:p w:rsidR="00000000" w:rsidRPr="00DA35CF" w:rsidP="00DA35CF">
      <w:pPr>
        <w:pStyle w:val="ListBullet"/>
      </w:pPr>
      <w:r w:rsidRPr="00DA35CF">
        <w:t>organisational procedures, including:</w:t>
      </w:r>
    </w:p>
    <w:p w:rsidR="00000000" w:rsidRPr="00DA35CF" w:rsidP="00DA35CF">
      <w:pPr>
        <w:pStyle w:val="ListBullet2"/>
      </w:pPr>
      <w:r w:rsidRPr="00DA35CF">
        <w:t>calibration procedures</w:t>
      </w:r>
    </w:p>
    <w:p w:rsidR="00000000" w:rsidRPr="00DA35CF" w:rsidP="00DA35CF">
      <w:pPr>
        <w:pStyle w:val="ListBullet2"/>
      </w:pPr>
      <w:r w:rsidRPr="00DA35CF">
        <w:t>traceability requirements</w:t>
      </w:r>
    </w:p>
    <w:p w:rsidR="00000000" w:rsidRPr="00DA35CF" w:rsidP="00DA35CF">
      <w:pPr>
        <w:pStyle w:val="ListBullet2"/>
      </w:pPr>
      <w:r w:rsidRPr="00DA35CF">
        <w:t>reporting and record keeping</w:t>
      </w:r>
    </w:p>
    <w:p w:rsidR="00000000" w:rsidRPr="00DA35CF" w:rsidP="00DA35CF">
      <w:pPr>
        <w:pStyle w:val="ListBullet2"/>
      </w:pPr>
      <w:r w:rsidRPr="00DA35CF">
        <w:t>testing including typical applications for tests</w:t>
      </w:r>
    </w:p>
    <w:p w:rsidR="00000000" w:rsidRPr="00DA35CF" w:rsidP="00DA35CF">
      <w:pPr>
        <w:pStyle w:val="ListBullet2"/>
      </w:pPr>
      <w:r w:rsidRPr="00DA35CF">
        <w:t>material safety data sheets (MSDSs)</w:t>
      </w:r>
    </w:p>
    <w:p w:rsidR="00000000" w:rsidRPr="00DA35CF" w:rsidP="00DA35CF">
      <w:pPr>
        <w:pStyle w:val="ListBullet"/>
      </w:pPr>
      <w:r w:rsidRPr="00DA35CF">
        <w:t>test methods, stan</w:t>
      </w:r>
      <w:r w:rsidRPr="00DA35CF">
        <w:t>dards and regulations for:</w:t>
      </w:r>
    </w:p>
    <w:p w:rsidR="00000000" w:rsidRPr="00DA35CF" w:rsidP="00DA35CF">
      <w:pPr>
        <w:pStyle w:val="ListBullet2"/>
      </w:pPr>
      <w:r w:rsidRPr="00DA35CF">
        <w:t xml:space="preserve">materials and components </w:t>
      </w:r>
    </w:p>
    <w:p w:rsidR="00000000" w:rsidRPr="00DA35CF" w:rsidP="00DA35CF">
      <w:pPr>
        <w:pStyle w:val="ListBullet2"/>
      </w:pPr>
      <w:r w:rsidRPr="00DA35CF">
        <w:t>faults and flaws in materials and components or product</w:t>
      </w:r>
    </w:p>
    <w:p w:rsidR="00000000" w:rsidRPr="00DA35CF" w:rsidP="00DA35CF">
      <w:pPr>
        <w:pStyle w:val="ListBullet"/>
      </w:pPr>
      <w:r w:rsidRPr="00DA35CF">
        <w:t>sources and uses of information on materials, materials tests, test certificates, regulations, standards, including:</w:t>
      </w:r>
    </w:p>
    <w:p w:rsidR="00000000" w:rsidRPr="00DA35CF" w:rsidP="00DA35CF">
      <w:pPr>
        <w:pStyle w:val="ListBullet2"/>
      </w:pPr>
      <w:r w:rsidRPr="00DA35CF">
        <w:t>reference texts</w:t>
      </w:r>
    </w:p>
    <w:p w:rsidR="00000000" w:rsidRPr="00DA35CF" w:rsidP="00DA35CF">
      <w:pPr>
        <w:pStyle w:val="ListBullet2"/>
      </w:pPr>
      <w:r w:rsidRPr="00DA35CF">
        <w:t>manufacturer’s catalogues and industrial magazines</w:t>
      </w:r>
    </w:p>
    <w:p w:rsidR="00000000" w:rsidRPr="00DA35CF" w:rsidP="00DA35CF">
      <w:pPr>
        <w:pStyle w:val="ListBullet2"/>
      </w:pPr>
      <w:r w:rsidRPr="00DA35CF">
        <w:t>websites</w:t>
      </w:r>
    </w:p>
    <w:p w:rsidR="00000000" w:rsidRPr="00DA35CF" w:rsidP="00DA35CF">
      <w:pPr>
        <w:pStyle w:val="ListBullet2"/>
      </w:pPr>
      <w:r w:rsidRPr="00DA35CF">
        <w:t xml:space="preserve">use of phone, email and fax information gathering </w:t>
      </w:r>
    </w:p>
    <w:p w:rsidR="00000000" w:rsidRPr="00DA35CF" w:rsidP="00DA35CF">
      <w:pPr>
        <w:pStyle w:val="ListBullet"/>
      </w:pPr>
      <w:r w:rsidRPr="00DA35CF">
        <w:t>methods of accessing and using alternative information sources</w:t>
      </w:r>
    </w:p>
    <w:p w:rsidR="00000000" w:rsidRPr="00DA35CF" w:rsidP="00DA35CF">
      <w:pPr>
        <w:pStyle w:val="ListBullet"/>
      </w:pPr>
      <w:r w:rsidRPr="00DA35CF">
        <w:t xml:space="preserve">identification of materials for an application based on comparison of properties </w:t>
      </w:r>
      <w:r w:rsidRPr="00DA35CF">
        <w:t>of materials</w:t>
      </w:r>
    </w:p>
    <w:p w:rsidR="00000000" w:rsidRPr="00DA35CF" w:rsidP="00DA35CF">
      <w:pPr>
        <w:pStyle w:val="ListBullet"/>
      </w:pPr>
      <w:r w:rsidRPr="00DA35CF">
        <w:t>Australia’s national measurement system and its role and governing bodies, including:</w:t>
      </w:r>
    </w:p>
    <w:p w:rsidR="00000000" w:rsidRPr="00DA35CF" w:rsidP="00DA35CF">
      <w:pPr>
        <w:pStyle w:val="ListBullet2"/>
      </w:pPr>
      <w:r w:rsidRPr="00DA35CF">
        <w:t>National Measurement Institute (NMI)</w:t>
      </w:r>
    </w:p>
    <w:p w:rsidR="00000000" w:rsidRPr="00DA35CF" w:rsidP="00DA35CF">
      <w:pPr>
        <w:pStyle w:val="ListBullet2"/>
      </w:pPr>
      <w:r w:rsidRPr="00DA35CF">
        <w:t>National Association of Testing Authorities</w:t>
      </w:r>
    </w:p>
    <w:p w:rsidR="00000000" w:rsidRPr="00DA35CF" w:rsidP="00DA35CF">
      <w:pPr>
        <w:pStyle w:val="ListBullet2"/>
      </w:pPr>
      <w:r w:rsidRPr="00DA35CF">
        <w:t>Standards Australia</w:t>
      </w:r>
    </w:p>
    <w:p w:rsidR="00000000" w:rsidRPr="00DA35CF" w:rsidP="00DA35CF">
      <w:pPr>
        <w:pStyle w:val="ListBullet2"/>
      </w:pPr>
      <w:r w:rsidRPr="00DA35CF">
        <w:t>Joint Accreditation System of Australia and New Zealand</w:t>
      </w:r>
    </w:p>
    <w:p w:rsidR="00000000" w:rsidRPr="00DA35CF" w:rsidP="00DA35CF">
      <w:pPr>
        <w:pStyle w:val="ListBullet"/>
      </w:pPr>
      <w:r w:rsidRPr="00DA35CF">
        <w:t>measurement standard requirements</w:t>
      </w:r>
    </w:p>
    <w:p w:rsidR="00000000" w:rsidRPr="00DA35CF" w:rsidP="00DA35CF">
      <w:pPr>
        <w:pStyle w:val="ListBullet"/>
      </w:pPr>
      <w:r w:rsidRPr="00DA35CF">
        <w:t>common production and construction methods and processes</w:t>
      </w:r>
    </w:p>
    <w:p w:rsidR="00000000" w:rsidRPr="00DA35CF" w:rsidP="00DA35CF">
      <w:pPr>
        <w:pStyle w:val="ListBullet"/>
      </w:pPr>
      <w:r w:rsidRPr="00DA35CF">
        <w:t>design functional requirements.</w:t>
      </w:r>
    </w:p>
    <w:p w:rsidR="00000000" w:rsidRPr="00DA35CF" w:rsidP="00DA35CF">
      <w:pPr>
        <w:pStyle w:val="AllowPageBreak"/>
      </w:pPr>
    </w:p>
    <w:p w:rsidR="00000000" w:rsidRPr="00DA35CF" w:rsidP="00DA35CF">
      <w:pPr>
        <w:pStyle w:val="Heading1"/>
      </w:pPr>
      <w:bookmarkStart w:id="4" w:name="O_1251354"/>
      <w:bookmarkEnd w:id="4"/>
      <w:r w:rsidRPr="00DA35CF">
        <w:t>Assessment Conditions</w:t>
      </w:r>
    </w:p>
    <w:p w:rsidR="00000000" w:rsidRPr="00DA35CF" w:rsidP="00035533">
      <w:pPr>
        <w:pStyle w:val="BodyText"/>
      </w:pPr>
      <w:r w:rsidRPr="00DA35CF">
        <w:t>The following conditions of assessment represent the requirements of the regulators (DASA and CASA) and maintenance stakeholders and must be rigorously observed.</w:t>
      </w:r>
    </w:p>
    <w:p w:rsidR="00000000" w:rsidRPr="00DA35CF" w:rsidP="00035533">
      <w:pPr>
        <w:pStyle w:val="BodyText"/>
      </w:pPr>
      <w:r w:rsidRPr="00DA35CF">
        <w:t>Skills must have been demonstrated in the workplace or in a simulated environment that reflect</w:t>
      </w:r>
      <w:r w:rsidRPr="00DA35CF">
        <w:t xml:space="preserve">s workplace conditions and contingencies encountered in selecting and testing aviation engineering materials. The following conditions must be met for this unit: </w:t>
      </w:r>
    </w:p>
    <w:p w:rsidR="00000000" w:rsidRPr="00DA35CF" w:rsidP="00DA35CF">
      <w:pPr>
        <w:pStyle w:val="ListBullet"/>
      </w:pPr>
      <w:r w:rsidRPr="00DA35CF">
        <w:t>use of suitable facilities, equipment and resources, including workplace procedures, manufac</w:t>
      </w:r>
      <w:r w:rsidRPr="00DA35CF">
        <w:t>turing specifications, codes, standards, manuals, and reference materials relevant to selecting and testing engineering materials.</w:t>
      </w:r>
    </w:p>
    <w:p w:rsidR="00000000" w:rsidRPr="00DA35CF" w:rsidP="00035533">
      <w:pPr>
        <w:pStyle w:val="BodyText"/>
      </w:pPr>
      <w:r w:rsidRPr="00DA35CF">
        <w:t>Evidence of tasks demonstrating competency must be recorded in a log of industrial experience and achievement.</w:t>
      </w:r>
    </w:p>
    <w:p w:rsidR="00000000" w:rsidRPr="00DA35CF" w:rsidP="00035533">
      <w:pPr>
        <w:pStyle w:val="BodyText"/>
      </w:pPr>
      <w:r w:rsidRPr="00DA35CF">
        <w:t>Assessors must</w:t>
      </w:r>
      <w:r w:rsidRPr="00DA35CF">
        <w:t xml:space="preserve"> satisfy the NVR/AQTF mandatory competency requirements for assessors. </w:t>
      </w:r>
    </w:p>
    <w:p w:rsidR="00000000" w:rsidRPr="00DA35CF" w:rsidP="00DA35CF">
      <w:pPr>
        <w:pStyle w:val="Heading1"/>
      </w:pPr>
      <w:bookmarkStart w:id="5" w:name="O_1251357"/>
      <w:bookmarkEnd w:id="5"/>
      <w:r w:rsidRPr="00DA35CF">
        <w:t>Links</w:t>
      </w:r>
    </w:p>
    <w:p w:rsidR="00000000" w:rsidRPr="00DA35CF" w:rsidP="00035533">
      <w:pPr>
        <w:pStyle w:val="BodyText"/>
      </w:pPr>
      <w:r w:rsidRPr="00DA35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36D2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A35CF" w:rsidP="00DA35CF"/>
    <w:sectPr w:rsidSect="00DA35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CF" w:rsidRPr="00035533" w:rsidP="00035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33" w:rsidP="00DA3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533" w:rsidP="00DA3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5533" w:rsidP="00DA3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5CF" w:rsidRPr="00035533" w:rsidP="00035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33" w:rsidRPr="002D2AF8" w:rsidP="00DA3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MEAENG0003 Select and test aviation engineering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35533" w:rsidP="00DA3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08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A4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9E8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5CF"/>
  </w:style>
  <w:style w:type="character" w:customStyle="1" w:styleId="Heading1Char">
    <w:name w:val="Heading 1 Char"/>
    <w:basedOn w:val="DefaultParagraphFont"/>
    <w:link w:val="Heading1"/>
    <w:rsid w:val="00DA3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5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5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35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5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5CF"/>
    <w:rPr>
      <w:b/>
      <w:spacing w:val="0"/>
    </w:rPr>
  </w:style>
  <w:style w:type="paragraph" w:customStyle="1" w:styleId="SuperTitle">
    <w:name w:val="SuperTitle"/>
    <w:basedOn w:val="Title"/>
    <w:rsid w:val="00DA3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5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5CF"/>
    <w:rPr>
      <w:i/>
    </w:rPr>
  </w:style>
  <w:style w:type="paragraph" w:styleId="Caption">
    <w:name w:val="caption"/>
    <w:basedOn w:val="BodyText"/>
    <w:next w:val="Normal"/>
    <w:qFormat/>
    <w:rsid w:val="00DA3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5CF"/>
  </w:style>
  <w:style w:type="paragraph" w:styleId="TableofFigures">
    <w:name w:val="table of figures"/>
    <w:basedOn w:val="Normal"/>
    <w:next w:val="Normal"/>
    <w:semiHidden/>
    <w:rsid w:val="00DA3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5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5CF"/>
    <w:rPr>
      <w:rFonts w:ascii="Wingdings" w:hAnsi="Wingdings"/>
    </w:rPr>
  </w:style>
  <w:style w:type="paragraph" w:customStyle="1" w:styleId="TableHeading">
    <w:name w:val="Table Heading"/>
    <w:basedOn w:val="HeadingBase"/>
    <w:rsid w:val="00DA3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5CF"/>
    <w:rPr>
      <w:color w:val="0033CC"/>
      <w:u w:val="none"/>
    </w:rPr>
  </w:style>
  <w:style w:type="paragraph" w:customStyle="1" w:styleId="BodyTextRight">
    <w:name w:val="Body Text Right"/>
    <w:basedOn w:val="BodyText"/>
    <w:rsid w:val="00DA3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5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5CF"/>
    <w:rPr>
      <w:sz w:val="32"/>
    </w:rPr>
  </w:style>
  <w:style w:type="paragraph" w:customStyle="1" w:styleId="HeadingProcedure">
    <w:name w:val="Heading Procedure"/>
    <w:basedOn w:val="HeadingBase"/>
    <w:next w:val="Normal"/>
    <w:rsid w:val="00DA3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5CF"/>
    <w:pPr>
      <w:spacing w:before="60" w:after="60"/>
    </w:pPr>
  </w:style>
  <w:style w:type="paragraph" w:styleId="ListContinue">
    <w:name w:val="List Continue"/>
    <w:basedOn w:val="List"/>
    <w:rsid w:val="00DA35CF"/>
    <w:pPr>
      <w:ind w:firstLine="0"/>
    </w:pPr>
  </w:style>
  <w:style w:type="paragraph" w:customStyle="1" w:styleId="ListNote">
    <w:name w:val="List Note"/>
    <w:basedOn w:val="List"/>
    <w:rsid w:val="00DA3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5CF"/>
    <w:rPr>
      <w:rFonts w:ascii="Courier New" w:hAnsi="Courier New"/>
    </w:rPr>
  </w:style>
  <w:style w:type="paragraph" w:customStyle="1" w:styleId="NoteBullet">
    <w:name w:val="Note Bullet"/>
    <w:basedOn w:val="Note"/>
    <w:rsid w:val="00DA3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5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5CF"/>
    <w:rPr>
      <w:b/>
      <w:smallCaps/>
    </w:rPr>
  </w:style>
  <w:style w:type="paragraph" w:customStyle="1" w:styleId="TableListNumber">
    <w:name w:val="Table List Number"/>
    <w:basedOn w:val="ListNumber"/>
    <w:rsid w:val="00DA3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5CF"/>
    <w:pPr>
      <w:numPr>
        <w:numId w:val="9"/>
      </w:numPr>
    </w:pPr>
  </w:style>
  <w:style w:type="paragraph" w:customStyle="1" w:styleId="ListAlpha2">
    <w:name w:val="List Alpha 2"/>
    <w:basedOn w:val="List2"/>
    <w:rsid w:val="00DA35CF"/>
    <w:pPr>
      <w:numPr>
        <w:numId w:val="8"/>
      </w:numPr>
    </w:pPr>
  </w:style>
  <w:style w:type="paragraph" w:styleId="List2">
    <w:name w:val="List 2"/>
    <w:basedOn w:val="BodyText"/>
    <w:rsid w:val="00DA3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5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5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5CF"/>
    <w:pPr>
      <w:numPr>
        <w:numId w:val="4"/>
      </w:numPr>
    </w:pPr>
  </w:style>
  <w:style w:type="paragraph" w:styleId="ListContinue2">
    <w:name w:val="List Continue 2"/>
    <w:basedOn w:val="List2"/>
    <w:rsid w:val="00DA35CF"/>
    <w:pPr>
      <w:ind w:firstLine="0"/>
    </w:pPr>
  </w:style>
  <w:style w:type="paragraph" w:styleId="ListContinue3">
    <w:name w:val="List Continue 3"/>
    <w:basedOn w:val="List3"/>
    <w:rsid w:val="00DA35CF"/>
    <w:pPr>
      <w:ind w:left="1021" w:firstLine="0"/>
    </w:pPr>
  </w:style>
  <w:style w:type="paragraph" w:styleId="ListContinue4">
    <w:name w:val="List Continue 4"/>
    <w:basedOn w:val="List4"/>
    <w:rsid w:val="00DA35CF"/>
    <w:pPr>
      <w:ind w:firstLine="0"/>
    </w:pPr>
  </w:style>
  <w:style w:type="paragraph" w:styleId="ListContinue5">
    <w:name w:val="List Continue 5"/>
    <w:basedOn w:val="List5"/>
    <w:rsid w:val="00DA35CF"/>
    <w:pPr>
      <w:ind w:firstLine="0"/>
    </w:pPr>
  </w:style>
  <w:style w:type="paragraph" w:styleId="ListNumber3">
    <w:name w:val="List Number 3"/>
    <w:basedOn w:val="List3"/>
    <w:rsid w:val="00DA35CF"/>
    <w:pPr>
      <w:numPr>
        <w:numId w:val="5"/>
      </w:numPr>
    </w:pPr>
  </w:style>
  <w:style w:type="paragraph" w:styleId="ListNumber4">
    <w:name w:val="List Number 4"/>
    <w:basedOn w:val="List4"/>
    <w:rsid w:val="00DA35CF"/>
    <w:pPr>
      <w:numPr>
        <w:numId w:val="6"/>
      </w:numPr>
    </w:pPr>
  </w:style>
  <w:style w:type="paragraph" w:styleId="ListNumber5">
    <w:name w:val="List Number 5"/>
    <w:basedOn w:val="List5"/>
    <w:rsid w:val="00DA35CF"/>
    <w:pPr>
      <w:numPr>
        <w:numId w:val="7"/>
      </w:numPr>
    </w:pPr>
  </w:style>
  <w:style w:type="paragraph" w:styleId="BlockText">
    <w:name w:val="Block Text"/>
    <w:basedOn w:val="Normal"/>
    <w:rsid w:val="00DA3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5CF"/>
    <w:rPr>
      <w:sz w:val="16"/>
      <w:vertAlign w:val="superscript"/>
    </w:rPr>
  </w:style>
  <w:style w:type="character" w:customStyle="1" w:styleId="Symbols">
    <w:name w:val="Symbols"/>
    <w:basedOn w:val="DefaultParagraphFont"/>
    <w:rsid w:val="00DA35CF"/>
    <w:rPr>
      <w:rFonts w:ascii="Symbol" w:hAnsi="Symbol"/>
    </w:rPr>
  </w:style>
  <w:style w:type="character" w:customStyle="1" w:styleId="MenuOptions">
    <w:name w:val="Menu Options"/>
    <w:basedOn w:val="DefaultParagraphFont"/>
    <w:rsid w:val="00DA3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5CF"/>
    <w:rPr>
      <w:b/>
    </w:rPr>
  </w:style>
  <w:style w:type="character" w:customStyle="1" w:styleId="Underlined">
    <w:name w:val="Underlined"/>
    <w:basedOn w:val="DefaultParagraphFont"/>
    <w:rsid w:val="00DA35CF"/>
    <w:rPr>
      <w:u w:val="single"/>
    </w:rPr>
  </w:style>
  <w:style w:type="paragraph" w:customStyle="1" w:styleId="TableBodyTextRight">
    <w:name w:val="Table Body Text Right"/>
    <w:basedOn w:val="TableBodyText"/>
    <w:rsid w:val="00DA3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5CF"/>
    <w:rPr>
      <w:sz w:val="18"/>
    </w:rPr>
  </w:style>
  <w:style w:type="paragraph" w:customStyle="1" w:styleId="BodySmallRight">
    <w:name w:val="Body Small Right"/>
    <w:basedOn w:val="BodyTextRight"/>
    <w:rsid w:val="00DA35CF"/>
    <w:rPr>
      <w:sz w:val="18"/>
      <w:szCs w:val="18"/>
    </w:rPr>
  </w:style>
  <w:style w:type="paragraph" w:customStyle="1" w:styleId="MarginEdition">
    <w:name w:val="Margin Edition"/>
    <w:basedOn w:val="MarginNote"/>
    <w:rsid w:val="00DA3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5CF"/>
    <w:rPr>
      <w:sz w:val="2"/>
      <w:szCs w:val="2"/>
    </w:rPr>
  </w:style>
  <w:style w:type="character" w:customStyle="1" w:styleId="Small">
    <w:name w:val="Small"/>
    <w:basedOn w:val="DefaultParagraphFont"/>
    <w:rsid w:val="00DA35CF"/>
    <w:rPr>
      <w:sz w:val="16"/>
    </w:rPr>
  </w:style>
  <w:style w:type="paragraph" w:customStyle="1" w:styleId="WideTable">
    <w:name w:val="Wide Table"/>
    <w:basedOn w:val="Normal"/>
    <w:rsid w:val="00DA3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5CF"/>
  </w:style>
  <w:style w:type="paragraph" w:styleId="Quote">
    <w:name w:val="Quote"/>
    <w:basedOn w:val="Heading1"/>
    <w:link w:val="QuoteChar"/>
    <w:qFormat/>
    <w:rsid w:val="00DA3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5CF"/>
    <w:pPr>
      <w:pageBreakBefore/>
    </w:pPr>
  </w:style>
  <w:style w:type="paragraph" w:customStyle="1" w:styleId="Border">
    <w:name w:val="Border"/>
    <w:basedOn w:val="Normal"/>
    <w:qFormat/>
    <w:rsid w:val="00DA3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5CF"/>
    <w:rPr>
      <w:u w:val="single"/>
    </w:rPr>
  </w:style>
  <w:style w:type="character" w:customStyle="1" w:styleId="BoldandItalics">
    <w:name w:val="Bold and Italics"/>
    <w:qFormat/>
    <w:rsid w:val="00DA35CF"/>
    <w:rPr>
      <w:b/>
      <w:i/>
      <w:u w:val="none"/>
    </w:rPr>
  </w:style>
  <w:style w:type="paragraph" w:styleId="BalloonText">
    <w:name w:val="Balloon Text"/>
    <w:basedOn w:val="Normal"/>
    <w:link w:val="BalloonTextChar"/>
    <w:rsid w:val="00DA3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5CF"/>
    <w:pPr>
      <w:spacing w:before="0" w:after="0"/>
    </w:pPr>
  </w:style>
  <w:style w:type="paragraph" w:customStyle="1" w:styleId="BodyTextBold">
    <w:name w:val="Body Text Bold"/>
    <w:basedOn w:val="BodyText"/>
    <w:qFormat/>
    <w:rsid w:val="00DA35CF"/>
    <w:rPr>
      <w:b/>
    </w:rPr>
  </w:style>
  <w:style w:type="character" w:styleId="Hyperlink">
    <w:name w:val="Hyperlink"/>
    <w:basedOn w:val="DefaultParagraphFont"/>
    <w:uiPriority w:val="99"/>
    <w:unhideWhenUsed/>
    <w:rsid w:val="00035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4639</Characters>
  <Application>Microsoft Office Word</Application>
  <DocSecurity>0</DocSecurity>
  <Lines>115</Lines>
  <Paragraphs>96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MEAENG0003 Select and test aviation engineering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