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A81" w:rsidP="00EC3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MEACOM0040 Assess aviation maintenance spares and manage repairable items</w:t>
      </w:r>
      <w:r>
        <w:fldChar w:fldCharType="end"/>
      </w:r>
    </w:p>
    <w:p w:rsidR="00EC3A81" w:rsidP="00EC3A81">
      <w:pPr>
        <w:pStyle w:val="Version"/>
        <w:sectPr w:rsidSect="00717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B95" w:rsidP="00717B95">
      <w:pPr>
        <w:pStyle w:val="SuperHeading"/>
      </w:pPr>
      <w:r w:rsidRPr="00717B95">
        <w:t>Assessment Requirements for MEACOM0040 Assess aviation maintenance spares and manage repairable items</w:t>
      </w:r>
    </w:p>
    <w:p w:rsidR="00000000" w:rsidRPr="00717B95" w:rsidP="00717B95">
      <w:pPr>
        <w:pStyle w:val="Heading1"/>
      </w:pPr>
      <w:bookmarkStart w:id="1" w:name="O_1251218"/>
      <w:bookmarkEnd w:id="1"/>
      <w:r w:rsidRPr="00717B95">
        <w:t>Modification History</w:t>
      </w:r>
    </w:p>
    <w:p w:rsidR="00000000" w:rsidRPr="00717B95" w:rsidP="00EC3A81">
      <w:pPr>
        <w:pStyle w:val="BodyText"/>
      </w:pPr>
      <w:r w:rsidRPr="00717B95">
        <w:t xml:space="preserve">Release 1. Application changed. Foundation </w:t>
      </w:r>
      <w:r w:rsidRPr="00717B95">
        <w:t>Skills made explicit. Assessment Requirements clarified. Supersedes and is equivalent to MEA161 Assess aviation maintenance spares and manage repairable items.</w:t>
      </w:r>
    </w:p>
    <w:p w:rsidR="00000000" w:rsidRPr="00717B95" w:rsidP="00717B95">
      <w:pPr>
        <w:pStyle w:val="Heading1"/>
      </w:pPr>
      <w:bookmarkStart w:id="2" w:name="O_1251219"/>
      <w:bookmarkEnd w:id="2"/>
      <w:r w:rsidRPr="00717B95">
        <w:t>Performance Evidence</w:t>
      </w:r>
    </w:p>
    <w:p w:rsidR="00000000" w:rsidRPr="00717B95" w:rsidP="00EC3A81">
      <w:pPr>
        <w:pStyle w:val="BodyText"/>
      </w:pPr>
      <w:r w:rsidRPr="00717B95">
        <w:t>There must be evidence the candidate has completed the t</w:t>
      </w:r>
      <w:r w:rsidRPr="00717B95">
        <w:t>asks outlined in the elements and performance criteria of this unit, and demonstrated ability to:</w:t>
      </w:r>
    </w:p>
    <w:p w:rsidR="00000000" w:rsidRPr="00717B95" w:rsidP="00717B95">
      <w:pPr>
        <w:pStyle w:val="ListBullet"/>
      </w:pPr>
      <w:r w:rsidRPr="00717B95">
        <w:t>assess aviation maintenance spares during one scheduled or one unscheduled aviation maintenance activity, and during the activity:</w:t>
      </w:r>
    </w:p>
    <w:p w:rsidR="00000000" w:rsidRPr="00717B95" w:rsidP="00717B95">
      <w:pPr>
        <w:pStyle w:val="ListBullet2"/>
      </w:pPr>
      <w:r w:rsidRPr="00717B95">
        <w:t>use manual or computer-ba</w:t>
      </w:r>
      <w:r w:rsidRPr="00717B95">
        <w:t>sed organisational or proprietary system</w:t>
      </w:r>
    </w:p>
    <w:p w:rsidR="00000000" w:rsidRPr="00717B95" w:rsidP="00717B95">
      <w:pPr>
        <w:pStyle w:val="ListBullet2"/>
      </w:pPr>
      <w:r w:rsidRPr="00717B95">
        <w:t>identify suitable substitute parts from modification data; drawings, standards and specifications (in the case of piece parts and materials); and manufacturer catalogues and specifications (in the case of complete c</w:t>
      </w:r>
      <w:r w:rsidRPr="00717B95">
        <w:t>omponents, items of aeronautical product)</w:t>
      </w:r>
    </w:p>
    <w:p w:rsidR="00000000" w:rsidRPr="00717B95" w:rsidP="00717B95">
      <w:pPr>
        <w:pStyle w:val="ListBullet2"/>
      </w:pPr>
      <w:r w:rsidRPr="00717B95">
        <w:t>specify documentation required for substitute parts, including certification reports and release notes</w:t>
      </w:r>
    </w:p>
    <w:p w:rsidR="00000000" w:rsidRPr="00717B95" w:rsidP="00717B95">
      <w:pPr>
        <w:pStyle w:val="ListBullet"/>
      </w:pPr>
      <w:r w:rsidRPr="00717B95">
        <w:t xml:space="preserve">manage the repair of at least three of the following repairable items during one scheduled or one unscheduled </w:t>
      </w:r>
      <w:r w:rsidRPr="00717B95">
        <w:t>aviation maintenance activity:</w:t>
      </w:r>
    </w:p>
    <w:p w:rsidR="00000000" w:rsidRPr="00717B95" w:rsidP="00717B95">
      <w:pPr>
        <w:pStyle w:val="ListBullet2"/>
      </w:pPr>
      <w:r w:rsidRPr="00717B95">
        <w:t>removable structural components</w:t>
      </w:r>
    </w:p>
    <w:p w:rsidR="00000000" w:rsidRPr="00717B95" w:rsidP="00717B95">
      <w:pPr>
        <w:pStyle w:val="ListBullet2"/>
      </w:pPr>
      <w:r w:rsidRPr="00717B95">
        <w:t>mechanical components</w:t>
      </w:r>
    </w:p>
    <w:p w:rsidR="00000000" w:rsidRPr="00717B95" w:rsidP="00717B95">
      <w:pPr>
        <w:pStyle w:val="ListBullet2"/>
      </w:pPr>
      <w:r w:rsidRPr="00717B95">
        <w:t>items of role equipment</w:t>
      </w:r>
    </w:p>
    <w:p w:rsidR="00000000" w:rsidRPr="00717B95" w:rsidP="00717B95">
      <w:pPr>
        <w:pStyle w:val="ListBullet2"/>
      </w:pPr>
      <w:r w:rsidRPr="00717B95">
        <w:t>hydraulic, pneumatic and fuel components</w:t>
      </w:r>
    </w:p>
    <w:p w:rsidR="00000000" w:rsidRPr="00717B95" w:rsidP="00717B95">
      <w:pPr>
        <w:pStyle w:val="ListBullet2"/>
      </w:pPr>
      <w:r w:rsidRPr="00717B95">
        <w:t>items of safety equipment</w:t>
      </w:r>
    </w:p>
    <w:p w:rsidR="00000000" w:rsidRPr="00717B95" w:rsidP="00717B95">
      <w:pPr>
        <w:pStyle w:val="ListBullet2"/>
      </w:pPr>
      <w:r w:rsidRPr="00717B95">
        <w:t>fire detection and extinguishing components</w:t>
      </w:r>
    </w:p>
    <w:p w:rsidR="00000000" w:rsidRPr="00717B95" w:rsidP="00717B95">
      <w:pPr>
        <w:pStyle w:val="ListBullet2"/>
      </w:pPr>
      <w:r w:rsidRPr="00717B95">
        <w:t>engines and engine components</w:t>
      </w:r>
    </w:p>
    <w:p w:rsidR="00000000" w:rsidRPr="00717B95" w:rsidP="00717B95">
      <w:pPr>
        <w:pStyle w:val="ListBullet2"/>
      </w:pPr>
      <w:r w:rsidRPr="00717B95">
        <w:t>propellers and rotors</w:t>
      </w:r>
    </w:p>
    <w:p w:rsidR="00000000" w:rsidRPr="00717B95" w:rsidP="00717B95">
      <w:pPr>
        <w:pStyle w:val="ListBullet2"/>
      </w:pPr>
      <w:r w:rsidRPr="00717B95">
        <w:t>electrical system components</w:t>
      </w:r>
    </w:p>
    <w:p w:rsidR="00000000" w:rsidRPr="00717B95" w:rsidP="00717B95">
      <w:pPr>
        <w:pStyle w:val="ListBullet2"/>
      </w:pPr>
      <w:r w:rsidRPr="00717B95">
        <w:t>instrument system components</w:t>
      </w:r>
    </w:p>
    <w:p w:rsidR="00000000" w:rsidRPr="00717B95" w:rsidP="00717B95">
      <w:pPr>
        <w:pStyle w:val="ListBullet2"/>
      </w:pPr>
      <w:r w:rsidRPr="00717B95">
        <w:t>radio system components</w:t>
      </w:r>
    </w:p>
    <w:p w:rsidR="00000000" w:rsidRPr="00717B95" w:rsidP="00717B95">
      <w:pPr>
        <w:pStyle w:val="ListBullet2"/>
      </w:pPr>
      <w:r w:rsidRPr="00717B95">
        <w:t>electronic systems components.</w:t>
      </w:r>
    </w:p>
    <w:p w:rsidR="00000000" w:rsidRPr="00717B95" w:rsidP="00717B95">
      <w:pPr>
        <w:pStyle w:val="ListBullet"/>
      </w:pPr>
      <w:r w:rsidRPr="00717B95">
        <w:t>specify the need for further investigation or additional maintenance, including that involving:</w:t>
      </w:r>
    </w:p>
    <w:p w:rsidR="00000000" w:rsidRPr="00717B95" w:rsidP="00717B95">
      <w:pPr>
        <w:pStyle w:val="ListBullet2"/>
      </w:pPr>
      <w:r w:rsidRPr="00717B95">
        <w:t>service difficulty (def</w:t>
      </w:r>
      <w:r w:rsidRPr="00717B95">
        <w:t>ect) report investigation</w:t>
      </w:r>
    </w:p>
    <w:p w:rsidR="00000000" w:rsidRPr="00717B95" w:rsidP="00717B95">
      <w:pPr>
        <w:pStyle w:val="ListBullet2"/>
      </w:pPr>
      <w:r w:rsidRPr="00717B95">
        <w:t>incident investigation</w:t>
      </w:r>
    </w:p>
    <w:p w:rsidR="00000000" w:rsidRPr="00717B95" w:rsidP="00717B95">
      <w:pPr>
        <w:pStyle w:val="ListBullet2"/>
      </w:pPr>
      <w:r w:rsidRPr="00717B95">
        <w:t>warranty claims</w:t>
      </w:r>
    </w:p>
    <w:p w:rsidR="00000000" w:rsidRPr="00717B95" w:rsidP="00717B95">
      <w:pPr>
        <w:pStyle w:val="ListBullet2"/>
      </w:pPr>
      <w:r w:rsidRPr="00717B95">
        <w:t>modifications</w:t>
      </w:r>
    </w:p>
    <w:p w:rsidR="00000000" w:rsidRPr="00717B95" w:rsidP="00717B95">
      <w:pPr>
        <w:pStyle w:val="ListBullet2"/>
      </w:pPr>
      <w:r w:rsidRPr="00717B95">
        <w:t>compliance with Airworthiness Directives or special technical instructions</w:t>
      </w:r>
    </w:p>
    <w:p w:rsidR="00000000" w:rsidRPr="00717B95" w:rsidP="00717B95">
      <w:pPr>
        <w:pStyle w:val="ListBullet2"/>
      </w:pPr>
      <w:r w:rsidRPr="00717B95">
        <w:t>service bulletin compliance.</w:t>
      </w:r>
    </w:p>
    <w:p w:rsidR="00000000" w:rsidRPr="00717B95" w:rsidP="00717B95">
      <w:pPr>
        <w:pStyle w:val="AllowPageBreak"/>
      </w:pPr>
    </w:p>
    <w:p w:rsidR="00000000" w:rsidRPr="00717B95" w:rsidP="00717B95">
      <w:pPr>
        <w:pStyle w:val="Heading1"/>
      </w:pPr>
      <w:bookmarkStart w:id="3" w:name="O_1251220"/>
      <w:bookmarkEnd w:id="3"/>
      <w:r w:rsidRPr="00717B95">
        <w:t>Knowledge Evidence</w:t>
      </w:r>
    </w:p>
    <w:p w:rsidR="00000000" w:rsidRPr="00717B95" w:rsidP="00EC3A81">
      <w:pPr>
        <w:pStyle w:val="BodyText"/>
      </w:pPr>
      <w:r w:rsidRPr="00717B95">
        <w:t>There must be evidence the candidate has knowledge of:</w:t>
      </w:r>
    </w:p>
    <w:p w:rsidR="00000000" w:rsidRPr="00717B95" w:rsidP="00717B95">
      <w:pPr>
        <w:pStyle w:val="ListBullet"/>
      </w:pPr>
      <w:r w:rsidRPr="00717B95">
        <w:t>ILS (integrated logistic support) principles and procedures relating to assessing spares, managing repairable items, and configuration management</w:t>
      </w:r>
    </w:p>
    <w:p w:rsidR="00000000" w:rsidRPr="00717B95" w:rsidP="00717B95">
      <w:pPr>
        <w:pStyle w:val="ListBullet"/>
      </w:pPr>
      <w:r w:rsidRPr="00717B95">
        <w:t>key features of ILS records, including:</w:t>
      </w:r>
    </w:p>
    <w:p w:rsidR="00000000" w:rsidRPr="00717B95" w:rsidP="00717B95">
      <w:pPr>
        <w:pStyle w:val="ListBullet2"/>
      </w:pPr>
      <w:r w:rsidRPr="00717B95">
        <w:t>logistic supp</w:t>
      </w:r>
      <w:r w:rsidRPr="00717B95">
        <w:t>ort analysis plans</w:t>
      </w:r>
    </w:p>
    <w:p w:rsidR="00000000" w:rsidRPr="00717B95" w:rsidP="00717B95">
      <w:pPr>
        <w:pStyle w:val="ListBullet2"/>
      </w:pPr>
      <w:r w:rsidRPr="00717B95">
        <w:t>life cycle costing data</w:t>
      </w:r>
    </w:p>
    <w:p w:rsidR="00000000" w:rsidRPr="00717B95" w:rsidP="00717B95">
      <w:pPr>
        <w:pStyle w:val="ListBullet2"/>
      </w:pPr>
      <w:r w:rsidRPr="00717B95">
        <w:t>failure modes, effects and criticality analysis</w:t>
      </w:r>
    </w:p>
    <w:p w:rsidR="00000000" w:rsidRPr="00717B95" w:rsidP="00717B95">
      <w:pPr>
        <w:pStyle w:val="ListBullet2"/>
      </w:pPr>
      <w:r w:rsidRPr="00717B95">
        <w:t>baselines for reliability, availability, and maintainability</w:t>
      </w:r>
    </w:p>
    <w:p w:rsidR="00000000" w:rsidRPr="00717B95" w:rsidP="00717B95">
      <w:pPr>
        <w:pStyle w:val="ListBullet2"/>
      </w:pPr>
      <w:r w:rsidRPr="00717B95">
        <w:t>life support analysis record data</w:t>
      </w:r>
    </w:p>
    <w:p w:rsidR="00000000" w:rsidRPr="00717B95" w:rsidP="00717B95">
      <w:pPr>
        <w:pStyle w:val="ListBullet"/>
      </w:pPr>
      <w:r w:rsidRPr="00717B95">
        <w:t>software packages used by the organisation for assessing spares, mana</w:t>
      </w:r>
      <w:r w:rsidRPr="00717B95">
        <w:t>ging supply, and managing repairable items</w:t>
      </w:r>
    </w:p>
    <w:p w:rsidR="00000000" w:rsidRPr="00717B95" w:rsidP="00717B95">
      <w:pPr>
        <w:pStyle w:val="ListBullet"/>
      </w:pPr>
      <w:r w:rsidRPr="00717B95">
        <w:t>use of drawings, standards and specifications to identify substitute piece parts and materials</w:t>
      </w:r>
    </w:p>
    <w:p w:rsidR="00000000" w:rsidRPr="00717B95" w:rsidP="00717B95">
      <w:pPr>
        <w:pStyle w:val="ListBullet"/>
      </w:pPr>
      <w:r w:rsidRPr="00717B95">
        <w:t>use of catalogues and specifications to identify substitute components (items of aeronautical product)</w:t>
      </w:r>
    </w:p>
    <w:p w:rsidR="00000000" w:rsidRPr="00717B95" w:rsidP="00717B95">
      <w:pPr>
        <w:pStyle w:val="ListBullet"/>
      </w:pPr>
      <w:r w:rsidRPr="00717B95">
        <w:t>regulations, organisational policies and procedures for assessing spares and managing repairable items, including:</w:t>
      </w:r>
    </w:p>
    <w:p w:rsidR="00000000" w:rsidRPr="00717B95" w:rsidP="00717B95">
      <w:pPr>
        <w:pStyle w:val="ListBullet"/>
      </w:pPr>
      <w:r w:rsidRPr="00717B95">
        <w:t>engineering approvals for the use of substitute parts</w:t>
      </w:r>
    </w:p>
    <w:p w:rsidR="00000000" w:rsidRPr="00717B95" w:rsidP="00717B95">
      <w:pPr>
        <w:pStyle w:val="ListBullet"/>
      </w:pPr>
      <w:r w:rsidRPr="00717B95">
        <w:t>work health and safety (WHS) requirements relating to substitute piece parts, materials</w:t>
      </w:r>
      <w:r w:rsidRPr="00717B95">
        <w:t xml:space="preserve"> and components</w:t>
      </w:r>
    </w:p>
    <w:p w:rsidR="00000000" w:rsidRPr="00717B95" w:rsidP="00717B95">
      <w:pPr>
        <w:pStyle w:val="ListBullet"/>
      </w:pPr>
      <w:r w:rsidRPr="00717B95">
        <w:t xml:space="preserve">fraud and ethics requirements set out in organisational code of conduct specific to the work </w:t>
      </w:r>
    </w:p>
    <w:p w:rsidR="00000000" w:rsidRPr="00717B95" w:rsidP="00717B95">
      <w:pPr>
        <w:pStyle w:val="ListBullet2"/>
      </w:pPr>
      <w:r w:rsidRPr="00717B95">
        <w:t>Civil Aviation Regulations (CAR) and associated advisory circulars (ACs)</w:t>
      </w:r>
    </w:p>
    <w:p w:rsidR="00000000" w:rsidRPr="00717B95" w:rsidP="00717B95">
      <w:pPr>
        <w:pStyle w:val="ListBullet2"/>
      </w:pPr>
      <w:r w:rsidRPr="00717B95">
        <w:t>Civil Aviation Safety Regulations (CASR), Manuals of Standards and assoc</w:t>
      </w:r>
      <w:r w:rsidRPr="00717B95">
        <w:t>iated Acceptable Means of Compliance and Guidance Material</w:t>
      </w:r>
    </w:p>
    <w:p w:rsidR="00000000" w:rsidRPr="00717B95" w:rsidP="00717B95">
      <w:pPr>
        <w:pStyle w:val="ListBullet2"/>
      </w:pPr>
      <w:r w:rsidRPr="00717B95">
        <w:t>aviation maintenance organisation expositions</w:t>
      </w:r>
    </w:p>
    <w:p w:rsidR="00000000" w:rsidRPr="00717B95" w:rsidP="00717B95">
      <w:pPr>
        <w:pStyle w:val="ListBullet2"/>
      </w:pPr>
      <w:r w:rsidRPr="00717B95">
        <w:t>continuing airworthiness management organisation expositions</w:t>
      </w:r>
    </w:p>
    <w:p w:rsidR="00000000" w:rsidRPr="00717B95" w:rsidP="00717B95">
      <w:pPr>
        <w:pStyle w:val="ListBullet2"/>
      </w:pPr>
      <w:r w:rsidRPr="00717B95">
        <w:t>organisational policy manuals</w:t>
      </w:r>
    </w:p>
    <w:p w:rsidR="00000000" w:rsidRPr="00717B95" w:rsidP="00717B95">
      <w:pPr>
        <w:pStyle w:val="ListBullet2"/>
      </w:pPr>
      <w:r w:rsidRPr="00717B95">
        <w:t>quality manuals</w:t>
      </w:r>
    </w:p>
    <w:p w:rsidR="00000000" w:rsidRPr="00717B95" w:rsidP="00717B95">
      <w:pPr>
        <w:pStyle w:val="ListBullet2"/>
      </w:pPr>
      <w:r w:rsidRPr="00717B95">
        <w:t>organisational procedures manuals</w:t>
      </w:r>
    </w:p>
    <w:p w:rsidR="00000000" w:rsidRPr="00717B95" w:rsidP="00717B95">
      <w:pPr>
        <w:pStyle w:val="ListBullet2"/>
      </w:pPr>
      <w:r w:rsidRPr="00717B95">
        <w:t>work instr</w:t>
      </w:r>
      <w:r w:rsidRPr="00717B95">
        <w:t>uctions</w:t>
      </w:r>
    </w:p>
    <w:p w:rsidR="00000000" w:rsidRPr="00717B95" w:rsidP="00717B95">
      <w:pPr>
        <w:pStyle w:val="ListBullet2"/>
      </w:pPr>
      <w:r w:rsidRPr="00717B95">
        <w:t>Defence regulations and instructions</w:t>
      </w:r>
    </w:p>
    <w:p w:rsidR="00000000" w:rsidRPr="00717B95" w:rsidP="00717B95">
      <w:pPr>
        <w:pStyle w:val="ListBullet2"/>
      </w:pPr>
      <w:r w:rsidRPr="00717B95">
        <w:t>maintenance management plan</w:t>
      </w:r>
    </w:p>
    <w:p w:rsidR="00000000" w:rsidRPr="00717B95" w:rsidP="00717B95">
      <w:pPr>
        <w:pStyle w:val="ListBullet2"/>
      </w:pPr>
      <w:r w:rsidRPr="00717B95">
        <w:t>standing instructions.</w:t>
      </w:r>
    </w:p>
    <w:p w:rsidR="00000000" w:rsidRPr="00717B95" w:rsidP="00717B95">
      <w:pPr>
        <w:pStyle w:val="AllowPageBreak"/>
      </w:pPr>
    </w:p>
    <w:p w:rsidR="00000000" w:rsidRPr="00717B95" w:rsidP="00717B95">
      <w:pPr>
        <w:pStyle w:val="Heading1"/>
      </w:pPr>
      <w:bookmarkStart w:id="4" w:name="O_1251221"/>
      <w:bookmarkEnd w:id="4"/>
      <w:r w:rsidRPr="00717B95">
        <w:t>Assessment Conditions</w:t>
      </w:r>
    </w:p>
    <w:p w:rsidR="00000000" w:rsidRPr="00717B95" w:rsidP="00EC3A81">
      <w:pPr>
        <w:pStyle w:val="BodyText"/>
      </w:pPr>
      <w:r w:rsidRPr="00717B95">
        <w:t>The following conditions of assessment represent the requirements of the regulators (DASA and CASA) and maintenance stakeholders and must be rigorously observed.</w:t>
      </w:r>
    </w:p>
    <w:p w:rsidR="00000000" w:rsidRPr="00717B95" w:rsidP="00EC3A81">
      <w:pPr>
        <w:pStyle w:val="BodyText"/>
      </w:pPr>
      <w:r w:rsidRPr="00717B95">
        <w:t>Skills must have been demonstrated under routine supervision in the workplace or in a simulate</w:t>
      </w:r>
      <w:r w:rsidRPr="00717B95">
        <w:t>d environment that reflects workplace conditions and contingencies encountered in assessing aviation maintenance spares and managing repairable items, and in relation to component or piece-part substitution. The following conditions must be met for this un</w:t>
      </w:r>
      <w:r w:rsidRPr="00717B95">
        <w:t xml:space="preserve">it: </w:t>
      </w:r>
    </w:p>
    <w:p w:rsidR="00000000" w:rsidRPr="00717B95" w:rsidP="00717B95">
      <w:pPr>
        <w:pStyle w:val="ListBullet"/>
      </w:pPr>
      <w:r w:rsidRPr="00717B95">
        <w:t xml:space="preserve">use of suitable facilities, equipment and resources, including: </w:t>
      </w:r>
    </w:p>
    <w:p w:rsidR="00000000" w:rsidRPr="00717B95" w:rsidP="00717B95">
      <w:pPr>
        <w:pStyle w:val="ListBullet2"/>
      </w:pPr>
      <w:r w:rsidRPr="00717B95">
        <w:t xml:space="preserve">regulations, organisational policies and procedures </w:t>
      </w:r>
    </w:p>
    <w:p w:rsidR="00000000" w:rsidRPr="00717B95" w:rsidP="00717B95">
      <w:pPr>
        <w:pStyle w:val="ListBullet2"/>
      </w:pPr>
      <w:r w:rsidRPr="00717B95">
        <w:t>software packages used by the organisation for assessing spares, managing supply, and managing repairable items</w:t>
      </w:r>
    </w:p>
    <w:p w:rsidR="00000000" w:rsidRPr="00717B95" w:rsidP="00717B95">
      <w:pPr>
        <w:pStyle w:val="ListBullet2"/>
      </w:pPr>
      <w:r w:rsidRPr="00717B95">
        <w:t>drawings, standards</w:t>
      </w:r>
      <w:r w:rsidRPr="00717B95">
        <w:t xml:space="preserve"> and specifications to identify substitute piece parts and materials</w:t>
      </w:r>
    </w:p>
    <w:p w:rsidR="00000000" w:rsidRPr="00717B95" w:rsidP="00717B95">
      <w:pPr>
        <w:pStyle w:val="ListBullet2"/>
      </w:pPr>
      <w:r w:rsidRPr="00717B95">
        <w:t>catalogues and specifications to identify substitute components</w:t>
      </w:r>
    </w:p>
    <w:p w:rsidR="00000000" w:rsidRPr="00717B95" w:rsidP="00717B95">
      <w:pPr>
        <w:pStyle w:val="ListBullet2"/>
      </w:pPr>
      <w:r w:rsidRPr="00717B95">
        <w:t>codes, manuals, and reference materials relevant to assessing aviation maintenance spares and managing repairable items</w:t>
      </w:r>
    </w:p>
    <w:p w:rsidR="00000000" w:rsidRPr="00717B95" w:rsidP="00717B95">
      <w:pPr>
        <w:pStyle w:val="ListBullet"/>
      </w:pPr>
      <w:r w:rsidRPr="00717B95">
        <w:t>mo</w:t>
      </w:r>
      <w:r w:rsidRPr="00717B95">
        <w:t>delling of industry operating conditions</w:t>
      </w:r>
    </w:p>
    <w:p w:rsidR="00000000" w:rsidRPr="00717B95" w:rsidP="00717B95">
      <w:pPr>
        <w:pStyle w:val="ListBullet"/>
      </w:pPr>
      <w:r w:rsidRPr="00717B95">
        <w:t>permitting candidate to refer to relevant documentation.</w:t>
      </w:r>
    </w:p>
    <w:p w:rsidR="00000000" w:rsidRPr="00717B95" w:rsidP="00EC3A81">
      <w:pPr>
        <w:pStyle w:val="BodyText"/>
      </w:pPr>
      <w:r w:rsidRPr="00717B95">
        <w:t xml:space="preserve">Evidence of tasks demonstrating competency must be recorded in a log of industrial experience and achievement.   </w:t>
      </w:r>
    </w:p>
    <w:p w:rsidR="00000000" w:rsidRPr="00717B95" w:rsidP="00EC3A81">
      <w:pPr>
        <w:pStyle w:val="BodyText"/>
      </w:pPr>
      <w:r w:rsidRPr="00717B95">
        <w:t>Assessors must satisfy the NVR/AQTF mandator</w:t>
      </w:r>
      <w:r w:rsidRPr="00717B95">
        <w:t>y competency requirements for assessors.</w:t>
      </w:r>
    </w:p>
    <w:p w:rsidR="00000000" w:rsidRPr="00717B95" w:rsidP="00717B95">
      <w:pPr>
        <w:pStyle w:val="Heading1"/>
      </w:pPr>
      <w:bookmarkStart w:id="5" w:name="O_1251224"/>
      <w:bookmarkEnd w:id="5"/>
      <w:r w:rsidRPr="00717B95">
        <w:t>Links</w:t>
      </w:r>
    </w:p>
    <w:p w:rsidR="00000000" w:rsidRPr="00717B95" w:rsidP="00EC3A81">
      <w:pPr>
        <w:pStyle w:val="BodyText"/>
      </w:pPr>
      <w:r w:rsidRPr="00717B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8D141A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17B95" w:rsidP="00717B95"/>
    <w:sectPr w:rsidSect="00717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95" w:rsidRPr="00EC3A81" w:rsidP="00EC3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1" w:rsidP="00717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A81" w:rsidP="00717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3A81" w:rsidP="00717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B95" w:rsidRPr="00EC3A81" w:rsidP="00EC3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81" w:rsidRPr="002D2AF8" w:rsidP="00717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MEACOM0040 Assess aviation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C3A81" w:rsidP="00717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00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81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45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B95"/>
  </w:style>
  <w:style w:type="character" w:customStyle="1" w:styleId="Heading1Char">
    <w:name w:val="Heading 1 Char"/>
    <w:basedOn w:val="DefaultParagraphFont"/>
    <w:link w:val="Heading1"/>
    <w:rsid w:val="00717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B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7B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7B95"/>
    <w:rPr>
      <w:b/>
      <w:spacing w:val="0"/>
    </w:rPr>
  </w:style>
  <w:style w:type="paragraph" w:customStyle="1" w:styleId="SuperTitle">
    <w:name w:val="SuperTitle"/>
    <w:basedOn w:val="Title"/>
    <w:rsid w:val="00717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B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B95"/>
    <w:rPr>
      <w:i/>
    </w:rPr>
  </w:style>
  <w:style w:type="paragraph" w:styleId="Caption">
    <w:name w:val="caption"/>
    <w:basedOn w:val="BodyText"/>
    <w:next w:val="Normal"/>
    <w:qFormat/>
    <w:rsid w:val="00717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B95"/>
  </w:style>
  <w:style w:type="paragraph" w:styleId="TableofFigures">
    <w:name w:val="table of figures"/>
    <w:basedOn w:val="Normal"/>
    <w:next w:val="Normal"/>
    <w:semiHidden/>
    <w:rsid w:val="00717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B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B95"/>
    <w:rPr>
      <w:rFonts w:ascii="Wingdings" w:hAnsi="Wingdings"/>
    </w:rPr>
  </w:style>
  <w:style w:type="paragraph" w:customStyle="1" w:styleId="TableHeading">
    <w:name w:val="Table Heading"/>
    <w:basedOn w:val="HeadingBase"/>
    <w:rsid w:val="00717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B95"/>
    <w:rPr>
      <w:color w:val="0033CC"/>
      <w:u w:val="none"/>
    </w:rPr>
  </w:style>
  <w:style w:type="paragraph" w:customStyle="1" w:styleId="BodyTextRight">
    <w:name w:val="Body Text Right"/>
    <w:basedOn w:val="BodyText"/>
    <w:rsid w:val="00717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B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B95"/>
    <w:rPr>
      <w:sz w:val="32"/>
    </w:rPr>
  </w:style>
  <w:style w:type="paragraph" w:customStyle="1" w:styleId="HeadingProcedure">
    <w:name w:val="Heading Procedure"/>
    <w:basedOn w:val="HeadingBase"/>
    <w:next w:val="Normal"/>
    <w:rsid w:val="00717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B95"/>
    <w:pPr>
      <w:spacing w:before="60" w:after="60"/>
    </w:pPr>
  </w:style>
  <w:style w:type="paragraph" w:styleId="ListContinue">
    <w:name w:val="List Continue"/>
    <w:basedOn w:val="List"/>
    <w:rsid w:val="00717B95"/>
    <w:pPr>
      <w:ind w:firstLine="0"/>
    </w:pPr>
  </w:style>
  <w:style w:type="paragraph" w:customStyle="1" w:styleId="ListNote">
    <w:name w:val="List Note"/>
    <w:basedOn w:val="List"/>
    <w:rsid w:val="00717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B95"/>
    <w:rPr>
      <w:rFonts w:ascii="Courier New" w:hAnsi="Courier New"/>
    </w:rPr>
  </w:style>
  <w:style w:type="paragraph" w:customStyle="1" w:styleId="NoteBullet">
    <w:name w:val="Note Bullet"/>
    <w:basedOn w:val="Note"/>
    <w:rsid w:val="00717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B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B95"/>
    <w:rPr>
      <w:b/>
      <w:smallCaps/>
    </w:rPr>
  </w:style>
  <w:style w:type="paragraph" w:customStyle="1" w:styleId="TableListNumber">
    <w:name w:val="Table List Number"/>
    <w:basedOn w:val="ListNumber"/>
    <w:rsid w:val="00717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B95"/>
    <w:pPr>
      <w:numPr>
        <w:numId w:val="9"/>
      </w:numPr>
    </w:pPr>
  </w:style>
  <w:style w:type="paragraph" w:customStyle="1" w:styleId="ListAlpha2">
    <w:name w:val="List Alpha 2"/>
    <w:basedOn w:val="List2"/>
    <w:rsid w:val="00717B95"/>
    <w:pPr>
      <w:numPr>
        <w:numId w:val="8"/>
      </w:numPr>
    </w:pPr>
  </w:style>
  <w:style w:type="paragraph" w:styleId="List2">
    <w:name w:val="List 2"/>
    <w:basedOn w:val="BodyText"/>
    <w:rsid w:val="00717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B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B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B95"/>
    <w:pPr>
      <w:numPr>
        <w:numId w:val="4"/>
      </w:numPr>
    </w:pPr>
  </w:style>
  <w:style w:type="paragraph" w:styleId="ListContinue2">
    <w:name w:val="List Continue 2"/>
    <w:basedOn w:val="List2"/>
    <w:rsid w:val="00717B95"/>
    <w:pPr>
      <w:ind w:firstLine="0"/>
    </w:pPr>
  </w:style>
  <w:style w:type="paragraph" w:styleId="ListContinue3">
    <w:name w:val="List Continue 3"/>
    <w:basedOn w:val="List3"/>
    <w:rsid w:val="00717B95"/>
    <w:pPr>
      <w:ind w:left="1021" w:firstLine="0"/>
    </w:pPr>
  </w:style>
  <w:style w:type="paragraph" w:styleId="ListContinue4">
    <w:name w:val="List Continue 4"/>
    <w:basedOn w:val="List4"/>
    <w:rsid w:val="00717B95"/>
    <w:pPr>
      <w:ind w:firstLine="0"/>
    </w:pPr>
  </w:style>
  <w:style w:type="paragraph" w:styleId="ListContinue5">
    <w:name w:val="List Continue 5"/>
    <w:basedOn w:val="List5"/>
    <w:rsid w:val="00717B95"/>
    <w:pPr>
      <w:ind w:firstLine="0"/>
    </w:pPr>
  </w:style>
  <w:style w:type="paragraph" w:styleId="ListNumber3">
    <w:name w:val="List Number 3"/>
    <w:basedOn w:val="List3"/>
    <w:rsid w:val="00717B95"/>
    <w:pPr>
      <w:numPr>
        <w:numId w:val="5"/>
      </w:numPr>
    </w:pPr>
  </w:style>
  <w:style w:type="paragraph" w:styleId="ListNumber4">
    <w:name w:val="List Number 4"/>
    <w:basedOn w:val="List4"/>
    <w:rsid w:val="00717B95"/>
    <w:pPr>
      <w:numPr>
        <w:numId w:val="6"/>
      </w:numPr>
    </w:pPr>
  </w:style>
  <w:style w:type="paragraph" w:styleId="ListNumber5">
    <w:name w:val="List Number 5"/>
    <w:basedOn w:val="List5"/>
    <w:rsid w:val="00717B95"/>
    <w:pPr>
      <w:numPr>
        <w:numId w:val="7"/>
      </w:numPr>
    </w:pPr>
  </w:style>
  <w:style w:type="paragraph" w:styleId="BlockText">
    <w:name w:val="Block Text"/>
    <w:basedOn w:val="Normal"/>
    <w:rsid w:val="00717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B95"/>
    <w:rPr>
      <w:sz w:val="16"/>
      <w:vertAlign w:val="superscript"/>
    </w:rPr>
  </w:style>
  <w:style w:type="character" w:customStyle="1" w:styleId="Symbols">
    <w:name w:val="Symbols"/>
    <w:basedOn w:val="DefaultParagraphFont"/>
    <w:rsid w:val="00717B95"/>
    <w:rPr>
      <w:rFonts w:ascii="Symbol" w:hAnsi="Symbol"/>
    </w:rPr>
  </w:style>
  <w:style w:type="character" w:customStyle="1" w:styleId="MenuOptions">
    <w:name w:val="Menu Options"/>
    <w:basedOn w:val="DefaultParagraphFont"/>
    <w:rsid w:val="00717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B95"/>
    <w:rPr>
      <w:b/>
    </w:rPr>
  </w:style>
  <w:style w:type="character" w:customStyle="1" w:styleId="Underlined">
    <w:name w:val="Underlined"/>
    <w:basedOn w:val="DefaultParagraphFont"/>
    <w:rsid w:val="00717B95"/>
    <w:rPr>
      <w:u w:val="single"/>
    </w:rPr>
  </w:style>
  <w:style w:type="paragraph" w:customStyle="1" w:styleId="TableBodyTextRight">
    <w:name w:val="Table Body Text Right"/>
    <w:basedOn w:val="TableBodyText"/>
    <w:rsid w:val="00717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B95"/>
    <w:rPr>
      <w:sz w:val="18"/>
    </w:rPr>
  </w:style>
  <w:style w:type="paragraph" w:customStyle="1" w:styleId="BodySmallRight">
    <w:name w:val="Body Small Right"/>
    <w:basedOn w:val="BodyTextRight"/>
    <w:rsid w:val="00717B95"/>
    <w:rPr>
      <w:sz w:val="18"/>
      <w:szCs w:val="18"/>
    </w:rPr>
  </w:style>
  <w:style w:type="paragraph" w:customStyle="1" w:styleId="MarginEdition">
    <w:name w:val="Margin Edition"/>
    <w:basedOn w:val="MarginNote"/>
    <w:rsid w:val="00717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B95"/>
    <w:rPr>
      <w:sz w:val="2"/>
      <w:szCs w:val="2"/>
    </w:rPr>
  </w:style>
  <w:style w:type="character" w:customStyle="1" w:styleId="Small">
    <w:name w:val="Small"/>
    <w:basedOn w:val="DefaultParagraphFont"/>
    <w:rsid w:val="00717B95"/>
    <w:rPr>
      <w:sz w:val="16"/>
    </w:rPr>
  </w:style>
  <w:style w:type="paragraph" w:customStyle="1" w:styleId="WideTable">
    <w:name w:val="Wide Table"/>
    <w:basedOn w:val="Normal"/>
    <w:rsid w:val="00717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B95"/>
  </w:style>
  <w:style w:type="paragraph" w:styleId="Quote">
    <w:name w:val="Quote"/>
    <w:basedOn w:val="Heading1"/>
    <w:link w:val="QuoteChar"/>
    <w:qFormat/>
    <w:rsid w:val="00717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B95"/>
    <w:pPr>
      <w:pageBreakBefore/>
    </w:pPr>
  </w:style>
  <w:style w:type="paragraph" w:customStyle="1" w:styleId="Border">
    <w:name w:val="Border"/>
    <w:basedOn w:val="Normal"/>
    <w:qFormat/>
    <w:rsid w:val="00717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B95"/>
    <w:rPr>
      <w:u w:val="single"/>
    </w:rPr>
  </w:style>
  <w:style w:type="character" w:customStyle="1" w:styleId="BoldandItalics">
    <w:name w:val="Bold and Italics"/>
    <w:qFormat/>
    <w:rsid w:val="00717B95"/>
    <w:rPr>
      <w:b/>
      <w:i/>
      <w:u w:val="none"/>
    </w:rPr>
  </w:style>
  <w:style w:type="paragraph" w:styleId="BalloonText">
    <w:name w:val="Balloon Text"/>
    <w:basedOn w:val="Normal"/>
    <w:link w:val="BalloonTextChar"/>
    <w:rsid w:val="00717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B95"/>
    <w:pPr>
      <w:spacing w:before="0" w:after="0"/>
    </w:pPr>
  </w:style>
  <w:style w:type="paragraph" w:customStyle="1" w:styleId="BodyTextBold">
    <w:name w:val="Body Text Bold"/>
    <w:basedOn w:val="BodyText"/>
    <w:qFormat/>
    <w:rsid w:val="00717B95"/>
    <w:rPr>
      <w:b/>
    </w:rPr>
  </w:style>
  <w:style w:type="character" w:styleId="Hyperlink">
    <w:name w:val="Hyperlink"/>
    <w:basedOn w:val="DefaultParagraphFont"/>
    <w:uiPriority w:val="99"/>
    <w:unhideWhenUsed/>
    <w:rsid w:val="00EC3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4635</Characters>
  <Application>Microsoft Office Word</Application>
  <DocSecurity>0</DocSecurity>
  <Lines>113</Lines>
  <Paragraphs>85</Paragraphs>
  <ScaleCrop>false</ScaleCrop>
  <Company>Author-it Software Corporation Ltd.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MEACOM0040 Assess aviation maintenance spares and manage repairable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2022-11-22T03:45:00Z</dcterms:created>
  <dcterms:modified xsi:type="dcterms:W3CDTF">2022-11-22T03:45:00Z</dcterms:modified>
</cp:coreProperties>
</file>