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64B8" w:rsidP="008064B8">
      <w:pPr>
        <w:pStyle w:val="Title"/>
      </w:pPr>
      <w:r>
        <w:fldChar w:fldCharType="begin"/>
      </w:r>
      <w:r>
        <w:instrText xml:space="preserve"> TITLE   \* MERGEFORMAT </w:instrText>
      </w:r>
      <w:r>
        <w:fldChar w:fldCharType="separate"/>
      </w:r>
      <w:r>
        <w:t>MEACOM0021 Establish, maintain and evaluate the organisations work health and safety system</w:t>
      </w:r>
      <w:r>
        <w:fldChar w:fldCharType="end"/>
      </w:r>
    </w:p>
    <w:p w:rsidR="008064B8" w:rsidP="008064B8">
      <w:pPr>
        <w:pStyle w:val="Version"/>
        <w:sectPr w:rsidSect="00DE1D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1D35" w:rsidP="00DE1D35">
      <w:pPr>
        <w:pStyle w:val="SuperHeading"/>
      </w:pPr>
      <w:r w:rsidRPr="00DE1D35">
        <w:t>MEACOM0021 Es</w:t>
      </w:r>
      <w:r w:rsidRPr="00DE1D35">
        <w:t>tablish, maintain and evaluate the organisations work health and safety system</w:t>
      </w:r>
    </w:p>
    <w:p w:rsidR="00000000" w:rsidRPr="00DE1D35" w:rsidP="00DE1D35">
      <w:pPr>
        <w:pStyle w:val="Heading1"/>
      </w:pPr>
      <w:bookmarkStart w:id="1" w:name="O_1250866"/>
      <w:bookmarkEnd w:id="1"/>
      <w:r w:rsidRPr="00DE1D35">
        <w:t>Modification History</w:t>
      </w:r>
    </w:p>
    <w:p w:rsidR="00000000" w:rsidRPr="00DE1D35" w:rsidP="008064B8">
      <w:pPr>
        <w:pStyle w:val="BodyText"/>
      </w:pPr>
      <w:r w:rsidRPr="00DE1D35">
        <w:t>Release 1. Application changed. Elements and Performance Criteria changed. Foundation Skills ma</w:t>
      </w:r>
      <w:r w:rsidRPr="00DE1D35">
        <w:t>de explicit. Assessment Requirements clarified. Supersedes and is equivalent to MEA134 Establish, maintain and evaluate the organisation’s work health and safety system.</w:t>
      </w:r>
    </w:p>
    <w:p w:rsidR="00000000" w:rsidRPr="00DE1D35" w:rsidP="00DE1D35">
      <w:pPr>
        <w:pStyle w:val="Heading1"/>
      </w:pPr>
      <w:bookmarkStart w:id="2" w:name="O_1250867"/>
      <w:bookmarkEnd w:id="2"/>
      <w:r w:rsidRPr="00DE1D35">
        <w:t>Application</w:t>
      </w:r>
    </w:p>
    <w:p w:rsidR="00000000" w:rsidRPr="00DE1D35" w:rsidP="008064B8">
      <w:pPr>
        <w:pStyle w:val="BodyText"/>
      </w:pPr>
      <w:r w:rsidRPr="00DE1D35">
        <w:t>This unit describes the skills and knowledge required t</w:t>
      </w:r>
      <w:r w:rsidRPr="00DE1D35">
        <w:t>o establish, maintain and evaluate a work health and safety (WHS) system in an aviation maintenance organisation. The WHS system must apply required WHS legislation and principles and ensure that the workplace is, as far as practicable, safe and without ri</w:t>
      </w:r>
      <w:r w:rsidRPr="00DE1D35">
        <w:t>sks to the health of employees. Work may be performed individually or as part of a team.</w:t>
      </w:r>
    </w:p>
    <w:p w:rsidR="00000000" w:rsidRPr="00DE1D35" w:rsidP="008064B8">
      <w:pPr>
        <w:pStyle w:val="BodyText"/>
      </w:pPr>
      <w:r w:rsidRPr="00DE1D35">
        <w:t>The unit is used in workplaces that operate under the airworthiness regulatory systems of the Civil Aviation Safety Authority (CASA) and the Defence Aviation Safety Au</w:t>
      </w:r>
      <w:r w:rsidRPr="00DE1D35">
        <w:t>thority (DASA).</w:t>
      </w:r>
    </w:p>
    <w:p w:rsidR="00000000" w:rsidRPr="00DE1D35" w:rsidP="008064B8">
      <w:pPr>
        <w:pStyle w:val="BodyText"/>
      </w:pPr>
      <w:r w:rsidRPr="00DE1D35">
        <w:t>Any other relevant legislation, industry standards and codes of practice within Australia must be applied.</w:t>
      </w:r>
    </w:p>
    <w:p w:rsidR="00000000" w:rsidRPr="00DE1D35" w:rsidP="00DE1D35">
      <w:pPr>
        <w:pStyle w:val="Heading1"/>
      </w:pPr>
      <w:bookmarkStart w:id="3" w:name="O_1250868"/>
      <w:bookmarkEnd w:id="3"/>
      <w:r w:rsidRPr="00DE1D35">
        <w:t>Pre-requisite Unit</w:t>
      </w:r>
    </w:p>
    <w:p w:rsidR="00000000" w:rsidRPr="00DE1D35" w:rsidP="008064B8">
      <w:pPr>
        <w:pStyle w:val="BodyText"/>
      </w:pPr>
      <w:r w:rsidRPr="00DE1D35">
        <w:t>Nil.</w:t>
      </w:r>
    </w:p>
    <w:p w:rsidR="00000000" w:rsidRPr="00DE1D35" w:rsidP="00DE1D35">
      <w:pPr>
        <w:pStyle w:val="Heading1"/>
      </w:pPr>
      <w:bookmarkStart w:id="4" w:name="O_1250869"/>
      <w:bookmarkEnd w:id="4"/>
      <w:r w:rsidRPr="00DE1D35">
        <w:t>Competency Field</w:t>
      </w:r>
    </w:p>
    <w:p w:rsidR="00000000" w:rsidRPr="00DE1D35" w:rsidP="008064B8">
      <w:pPr>
        <w:pStyle w:val="BodyText"/>
      </w:pPr>
      <w:r w:rsidRPr="00DE1D35">
        <w:t>Work health and safety</w:t>
      </w:r>
    </w:p>
    <w:p w:rsidR="00000000" w:rsidRPr="00DE1D35" w:rsidP="00DE1D35">
      <w:pPr>
        <w:pStyle w:val="Heading1"/>
      </w:pPr>
      <w:bookmarkStart w:id="5" w:name="O_1250871"/>
      <w:bookmarkEnd w:id="5"/>
      <w:r w:rsidRPr="00DE1D35">
        <w:t>Elements and</w:t>
      </w:r>
      <w:r w:rsidRPr="00DE1D35">
        <w:t xml:space="preserve"> Performance Criteria</w:t>
      </w:r>
    </w:p>
    <w:tbl>
      <w:tblPr>
        <w:tblW w:w="0" w:type="auto"/>
        <w:tblLayout w:type="fixed"/>
        <w:tblCellMar>
          <w:left w:w="62" w:type="dxa"/>
          <w:right w:w="62" w:type="dxa"/>
        </w:tblCellMar>
        <w:tblLook w:val="0000"/>
      </w:tblPr>
      <w:tblGrid>
        <w:gridCol w:w="3125"/>
        <w:gridCol w:w="5945"/>
      </w:tblGrid>
      <w:tr w:rsidTr="00DE1D35">
        <w:tblPrEx>
          <w:tblW w:w="0" w:type="auto"/>
          <w:tblLayout w:type="fixed"/>
          <w:tblCellMar>
            <w:left w:w="62" w:type="dxa"/>
            <w:right w:w="62" w:type="dxa"/>
          </w:tblCellMar>
          <w:tblLook w:val="0000"/>
        </w:tblPrEx>
        <w:trPr>
          <w:trHeight w:val="1007"/>
          <w:tblHeader/>
        </w:trPr>
        <w:tc>
          <w:tcPr>
            <w:tcW w:w="3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D35" w:rsidP="00DE1D35">
            <w:pPr>
              <w:pStyle w:val="BodyText"/>
            </w:pPr>
            <w:r w:rsidRPr="00DE1D35">
              <w:rPr>
                <w:rStyle w:val="SpecialBold"/>
              </w:rPr>
              <w:t>Elements</w:t>
            </w:r>
          </w:p>
          <w:p w:rsidR="00000000" w:rsidRPr="00DE1D35" w:rsidP="00DE1D35">
            <w:pPr>
              <w:pStyle w:val="BodyText"/>
            </w:pPr>
            <w:r w:rsidRPr="00DE1D35">
              <w:t>Elements describe the essential outcomes.</w:t>
            </w:r>
          </w:p>
        </w:tc>
        <w:tc>
          <w:tcPr>
            <w:tcW w:w="5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D35" w:rsidP="00DE1D35">
            <w:pPr>
              <w:pStyle w:val="BodyText"/>
            </w:pPr>
            <w:r w:rsidRPr="00DE1D35">
              <w:rPr>
                <w:rStyle w:val="SpecialBold"/>
              </w:rPr>
              <w:t>Performance criteria</w:t>
            </w:r>
          </w:p>
          <w:p w:rsidR="00000000" w:rsidP="00DE1D35">
            <w:pPr>
              <w:pStyle w:val="BodyText"/>
              <w:rPr>
                <w:lang w:val="en-NZ"/>
              </w:rPr>
            </w:pPr>
            <w:r w:rsidRPr="00DE1D35">
              <w:t>Performance criteria describe the performance needed to demonstrate achievement of the element.</w:t>
            </w:r>
          </w:p>
        </w:tc>
      </w:tr>
      <w:tr w:rsidTr="00DE1D35">
        <w:tblPrEx>
          <w:tblW w:w="0" w:type="auto"/>
          <w:tblLayout w:type="fixed"/>
          <w:tblCellMar>
            <w:left w:w="62" w:type="dxa"/>
            <w:right w:w="62" w:type="dxa"/>
          </w:tblCellMar>
          <w:tblLook w:val="0000"/>
        </w:tblPrEx>
        <w:trPr>
          <w:trHeight w:val="1007"/>
        </w:trPr>
        <w:tc>
          <w:tcPr>
            <w:tcW w:w="3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D35">
            <w:pPr>
              <w:pStyle w:val="BodyText"/>
              <w:rPr>
                <w:lang w:val="en-NZ"/>
              </w:rPr>
            </w:pPr>
            <w:r w:rsidRPr="00DE1D35">
              <w:t>1. Establish and maintain the framework for the WHS system</w:t>
            </w:r>
          </w:p>
        </w:tc>
        <w:tc>
          <w:tcPr>
            <w:tcW w:w="5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D35" w:rsidP="00DE1D35">
            <w:pPr>
              <w:pStyle w:val="BodyText"/>
            </w:pPr>
            <w:r w:rsidRPr="00DE1D35">
              <w:t>1.1 Develop WHS policies that clearly express the organisation’s commitment to WHS in the area of managerial responsibility and how required WHS legislation will be implemented, consistent with organisational policies</w:t>
            </w:r>
          </w:p>
          <w:p w:rsidR="00000000" w:rsidRPr="00DE1D35" w:rsidP="00DE1D35">
            <w:pPr>
              <w:pStyle w:val="BodyText"/>
            </w:pPr>
            <w:r w:rsidRPr="00DE1D35">
              <w:t>1.2 Clearly define and allocate WHS re</w:t>
            </w:r>
            <w:r w:rsidRPr="00DE1D35">
              <w:t xml:space="preserve">sponsibilities and </w:t>
            </w:r>
            <w:r w:rsidRPr="00DE1D35">
              <w:t>duties that allow implementation and integration of the WHS system, and include them in job descriptions and duty statements for all relevant positions</w:t>
            </w:r>
          </w:p>
          <w:p w:rsidR="00000000" w:rsidRPr="00DE1D35" w:rsidP="00DE1D35">
            <w:pPr>
              <w:pStyle w:val="BodyText"/>
            </w:pPr>
            <w:r w:rsidRPr="00DE1D35">
              <w:t>1.3 Identify and seek financial and human resources required to operate the WHS syste</w:t>
            </w:r>
            <w:r w:rsidRPr="00DE1D35">
              <w:t>m in a timely and consistent manner</w:t>
            </w:r>
          </w:p>
          <w:p w:rsidR="00000000" w:rsidP="00DE1D35">
            <w:pPr>
              <w:pStyle w:val="BodyText"/>
              <w:rPr>
                <w:lang w:val="en-NZ"/>
              </w:rPr>
            </w:pPr>
            <w:r w:rsidRPr="00DE1D35">
              <w:t>1.4 Provide information on the WHS system and procedures for the area of managerial responsibility, and explain it to employees in a readily accessible form</w:t>
            </w:r>
          </w:p>
        </w:tc>
      </w:tr>
      <w:tr w:rsidTr="00DE1D35">
        <w:tblPrEx>
          <w:tblW w:w="0" w:type="auto"/>
          <w:tblLayout w:type="fixed"/>
          <w:tblCellMar>
            <w:left w:w="62" w:type="dxa"/>
            <w:right w:w="62" w:type="dxa"/>
          </w:tblCellMar>
          <w:tblLook w:val="0000"/>
        </w:tblPrEx>
        <w:trPr>
          <w:trHeight w:val="1007"/>
        </w:trPr>
        <w:tc>
          <w:tcPr>
            <w:tcW w:w="3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D35">
            <w:pPr>
              <w:pStyle w:val="BodyText"/>
              <w:rPr>
                <w:lang w:val="en-NZ"/>
              </w:rPr>
            </w:pPr>
            <w:r w:rsidRPr="00DE1D35">
              <w:t>2. Establish and maintain participative arrangements for manag</w:t>
            </w:r>
            <w:r w:rsidRPr="00DE1D35">
              <w:t>ing WHS</w:t>
            </w:r>
          </w:p>
        </w:tc>
        <w:tc>
          <w:tcPr>
            <w:tcW w:w="5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D35" w:rsidP="00DE1D35">
            <w:pPr>
              <w:pStyle w:val="BodyText"/>
            </w:pPr>
            <w:r w:rsidRPr="00DE1D35">
              <w:t>2.1 Establish required consultative processes, and maintain them in consultation with employees and their representatives and according to WHS legislation and the organisation’s process for consultation</w:t>
            </w:r>
          </w:p>
          <w:p w:rsidR="00000000" w:rsidRPr="00DE1D35" w:rsidP="00DE1D35">
            <w:pPr>
              <w:pStyle w:val="BodyText"/>
            </w:pPr>
            <w:r w:rsidRPr="00DE1D35">
              <w:t>2.2 Deal with and resolve issues raised throu</w:t>
            </w:r>
            <w:r w:rsidRPr="00DE1D35">
              <w:t>gh participation and consultation in a timely and effective manner and according to organisational issue-resolution procedures</w:t>
            </w:r>
          </w:p>
          <w:p w:rsidR="00000000" w:rsidP="00DE1D35">
            <w:pPr>
              <w:pStyle w:val="BodyText"/>
              <w:rPr>
                <w:lang w:val="en-NZ"/>
              </w:rPr>
            </w:pPr>
            <w:r w:rsidRPr="00DE1D35">
              <w:t>2.3 Provide information about the outcomes of participation and consultation to employees in an accessible manner</w:t>
            </w:r>
          </w:p>
        </w:tc>
      </w:tr>
      <w:tr w:rsidTr="00DE1D35">
        <w:tblPrEx>
          <w:tblW w:w="0" w:type="auto"/>
          <w:tblLayout w:type="fixed"/>
          <w:tblCellMar>
            <w:left w:w="62" w:type="dxa"/>
            <w:right w:w="62" w:type="dxa"/>
          </w:tblCellMar>
          <w:tblLook w:val="0000"/>
        </w:tblPrEx>
        <w:trPr>
          <w:trHeight w:val="1007"/>
        </w:trPr>
        <w:tc>
          <w:tcPr>
            <w:tcW w:w="3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D35">
            <w:pPr>
              <w:pStyle w:val="BodyText"/>
              <w:rPr>
                <w:lang w:val="en-NZ"/>
              </w:rPr>
            </w:pPr>
            <w:r w:rsidRPr="00DE1D35">
              <w:t>3. Establish a</w:t>
            </w:r>
            <w:r w:rsidRPr="00DE1D35">
              <w:t>nd maintain procedures for identifying hazards</w:t>
            </w:r>
          </w:p>
        </w:tc>
        <w:tc>
          <w:tcPr>
            <w:tcW w:w="5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D35" w:rsidP="00DE1D35">
            <w:pPr>
              <w:pStyle w:val="BodyText"/>
            </w:pPr>
            <w:r w:rsidRPr="00DE1D35">
              <w:t>3.1 Identify and confirm existing and potential hazards in area of managerial responsibility according to WHS legislation, codes of practice, and trends identified from WHS records system</w:t>
            </w:r>
          </w:p>
          <w:p w:rsidR="00000000" w:rsidRPr="00DE1D35" w:rsidP="00DE1D35">
            <w:pPr>
              <w:pStyle w:val="BodyText"/>
            </w:pPr>
            <w:r w:rsidRPr="00DE1D35">
              <w:t>3.2 Develop a procedu</w:t>
            </w:r>
            <w:r w:rsidRPr="00DE1D35">
              <w:t>re for ongoing identification of hazards and integrate it into work systems and procedures</w:t>
            </w:r>
          </w:p>
          <w:p w:rsidR="00000000" w:rsidRPr="00DE1D35" w:rsidP="00DE1D35">
            <w:pPr>
              <w:pStyle w:val="BodyText"/>
            </w:pPr>
            <w:r w:rsidRPr="00DE1D35">
              <w:t>3.3 Monitor activities to ensure that developed procedure is adopted effectively throughout area of managerial responsibility</w:t>
            </w:r>
          </w:p>
          <w:p w:rsidR="00000000" w:rsidP="00DE1D35">
            <w:pPr>
              <w:pStyle w:val="BodyText"/>
              <w:rPr>
                <w:lang w:val="en-NZ"/>
              </w:rPr>
            </w:pPr>
            <w:r w:rsidRPr="00DE1D35">
              <w:t>3.4 Address hazard identification at pl</w:t>
            </w:r>
            <w:r w:rsidRPr="00DE1D35">
              <w:t>anning, design and evaluation stages of any workplace change to ensure that new hazards are not created</w:t>
            </w:r>
          </w:p>
        </w:tc>
      </w:tr>
      <w:tr w:rsidTr="00DE1D35">
        <w:tblPrEx>
          <w:tblW w:w="0" w:type="auto"/>
          <w:tblLayout w:type="fixed"/>
          <w:tblCellMar>
            <w:left w:w="62" w:type="dxa"/>
            <w:right w:w="62" w:type="dxa"/>
          </w:tblCellMar>
          <w:tblLook w:val="0000"/>
        </w:tblPrEx>
        <w:trPr>
          <w:trHeight w:val="1007"/>
        </w:trPr>
        <w:tc>
          <w:tcPr>
            <w:tcW w:w="3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D35">
            <w:pPr>
              <w:pStyle w:val="BodyText"/>
              <w:rPr>
                <w:lang w:val="en-NZ"/>
              </w:rPr>
            </w:pPr>
            <w:r w:rsidRPr="00DE1D35">
              <w:t>4. Establish and maintain procedures for assessing risks</w:t>
            </w:r>
          </w:p>
        </w:tc>
        <w:tc>
          <w:tcPr>
            <w:tcW w:w="5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D35" w:rsidP="00DE1D35">
            <w:pPr>
              <w:pStyle w:val="BodyText"/>
            </w:pPr>
            <w:r w:rsidRPr="00DE1D35">
              <w:t>4.1 Assess risks presented by identified hazards according to WHS legislat</w:t>
            </w:r>
            <w:r w:rsidRPr="00DE1D35">
              <w:t>ion and codes of practice</w:t>
            </w:r>
          </w:p>
          <w:p w:rsidR="00000000" w:rsidRPr="00DE1D35" w:rsidP="00DE1D35">
            <w:pPr>
              <w:pStyle w:val="BodyText"/>
            </w:pPr>
            <w:r w:rsidRPr="00DE1D35">
              <w:t>4.2 Develop a procedure for ongoing assessment of risks and integrate it into work systems and procedures</w:t>
            </w:r>
          </w:p>
          <w:p w:rsidR="00000000" w:rsidRPr="00DE1D35" w:rsidP="00DE1D35">
            <w:pPr>
              <w:pStyle w:val="BodyText"/>
            </w:pPr>
            <w:r w:rsidRPr="00DE1D35">
              <w:t>4.3 Monitor activities to ensure that developed procedure is adopted effectively throughout area of managerial responsibilit</w:t>
            </w:r>
            <w:r w:rsidRPr="00DE1D35">
              <w:t>y</w:t>
            </w:r>
          </w:p>
          <w:p w:rsidR="00000000" w:rsidP="00DE1D35">
            <w:pPr>
              <w:pStyle w:val="BodyText"/>
              <w:rPr>
                <w:lang w:val="en-NZ"/>
              </w:rPr>
            </w:pPr>
            <w:r w:rsidRPr="00DE1D35">
              <w:t>4.4 Address risk assessment at planning, design and evaluation stages of any change in managerial responsibility to ensure that risk from hazards is not increased</w:t>
            </w:r>
          </w:p>
        </w:tc>
      </w:tr>
      <w:tr w:rsidTr="00DE1D35">
        <w:tblPrEx>
          <w:tblW w:w="0" w:type="auto"/>
          <w:tblLayout w:type="fixed"/>
          <w:tblCellMar>
            <w:left w:w="62" w:type="dxa"/>
            <w:right w:w="62" w:type="dxa"/>
          </w:tblCellMar>
          <w:tblLook w:val="0000"/>
        </w:tblPrEx>
        <w:trPr>
          <w:trHeight w:val="1007"/>
        </w:trPr>
        <w:tc>
          <w:tcPr>
            <w:tcW w:w="3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D35">
            <w:pPr>
              <w:pStyle w:val="BodyText"/>
              <w:rPr>
                <w:lang w:val="en-NZ"/>
              </w:rPr>
            </w:pPr>
            <w:r w:rsidRPr="00DE1D35">
              <w:t>5. Establish and maintain procedures for controlling risks</w:t>
            </w:r>
          </w:p>
        </w:tc>
        <w:tc>
          <w:tcPr>
            <w:tcW w:w="5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D35" w:rsidP="00DE1D35">
            <w:pPr>
              <w:pStyle w:val="BodyText"/>
            </w:pPr>
            <w:r w:rsidRPr="00DE1D35">
              <w:t>5.1 Develop and implement measu</w:t>
            </w:r>
            <w:r w:rsidRPr="00DE1D35">
              <w:t>res to control assessed risks according to the hierarchy of control, WHS legislation, codes of practice, and trends identified from WHS records system</w:t>
            </w:r>
          </w:p>
          <w:p w:rsidR="00000000" w:rsidRPr="00DE1D35" w:rsidP="00DE1D35">
            <w:pPr>
              <w:pStyle w:val="BodyText"/>
            </w:pPr>
            <w:r w:rsidRPr="00DE1D35">
              <w:t>5.2 Implement interim solutions when measures that control a risk at its source are not immediately pract</w:t>
            </w:r>
            <w:r w:rsidRPr="00DE1D35">
              <w:t>icable, until a control measure is developed</w:t>
            </w:r>
          </w:p>
          <w:p w:rsidR="00000000" w:rsidRPr="00DE1D35" w:rsidP="00DE1D35">
            <w:pPr>
              <w:pStyle w:val="BodyText"/>
            </w:pPr>
            <w:r w:rsidRPr="00DE1D35">
              <w:t>5.3 Develop a procedure for ongoing control of risks, based on the hierarchy of control, and integrate it into general work systems and procedures</w:t>
            </w:r>
          </w:p>
          <w:p w:rsidR="00000000" w:rsidRPr="00DE1D35" w:rsidP="00DE1D35">
            <w:pPr>
              <w:pStyle w:val="BodyText"/>
            </w:pPr>
            <w:r w:rsidRPr="00DE1D35">
              <w:t>5.4 Monitor activities to ensure that developed risk control pro</w:t>
            </w:r>
            <w:r w:rsidRPr="00DE1D35">
              <w:t>cedure is adopted effectively throughout area of managerial responsibility</w:t>
            </w:r>
          </w:p>
          <w:p w:rsidR="00000000" w:rsidRPr="00DE1D35" w:rsidP="00DE1D35">
            <w:pPr>
              <w:pStyle w:val="BodyText"/>
            </w:pPr>
            <w:r w:rsidRPr="00DE1D35">
              <w:t>5.5 Address risk control at planning, design and evaluation stages of any change in managerial responsibility to ensure that adequate risk control measures are included</w:t>
            </w:r>
          </w:p>
          <w:p w:rsidR="00000000" w:rsidP="00DE1D35">
            <w:pPr>
              <w:pStyle w:val="BodyText"/>
              <w:rPr>
                <w:lang w:val="en-NZ"/>
              </w:rPr>
            </w:pPr>
            <w:r w:rsidRPr="00DE1D35">
              <w:t>5.6 Identify</w:t>
            </w:r>
            <w:r w:rsidRPr="00DE1D35">
              <w:t xml:space="preserve"> inadequacies in existing risk control measures according to the hierarchy of control, and seek and/or provide resources enabling implementation of new measures according to organisational procedures</w:t>
            </w:r>
          </w:p>
        </w:tc>
      </w:tr>
      <w:tr w:rsidTr="00DE1D35">
        <w:tblPrEx>
          <w:tblW w:w="0" w:type="auto"/>
          <w:tblLayout w:type="fixed"/>
          <w:tblCellMar>
            <w:left w:w="62" w:type="dxa"/>
            <w:right w:w="62" w:type="dxa"/>
          </w:tblCellMar>
          <w:tblLook w:val="0000"/>
        </w:tblPrEx>
        <w:trPr>
          <w:trHeight w:val="1007"/>
        </w:trPr>
        <w:tc>
          <w:tcPr>
            <w:tcW w:w="3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D35">
            <w:pPr>
              <w:pStyle w:val="BodyText"/>
              <w:rPr>
                <w:lang w:val="en-NZ"/>
              </w:rPr>
            </w:pPr>
            <w:r w:rsidRPr="00DE1D35">
              <w:t>6. Establish and maintain organisational procedures for</w:t>
            </w:r>
            <w:r w:rsidRPr="00DE1D35">
              <w:t xml:space="preserve"> dealing with hazardous events</w:t>
            </w:r>
          </w:p>
        </w:tc>
        <w:tc>
          <w:tcPr>
            <w:tcW w:w="5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D35" w:rsidP="00DE1D35">
            <w:pPr>
              <w:pStyle w:val="BodyText"/>
            </w:pPr>
            <w:r w:rsidRPr="00DE1D35">
              <w:t>6.1 Identify potential hazardous events</w:t>
            </w:r>
          </w:p>
          <w:p w:rsidR="00000000" w:rsidRPr="00DE1D35" w:rsidP="00DE1D35">
            <w:pPr>
              <w:pStyle w:val="BodyText"/>
            </w:pPr>
            <w:r w:rsidRPr="00DE1D35">
              <w:t>6.2 Develop procedures that control the risks associated with hazardous events and that meet legislative requirements as a minimum, in consultation with required emergency services</w:t>
            </w:r>
          </w:p>
          <w:p w:rsidR="00000000" w:rsidP="00DE1D35">
            <w:pPr>
              <w:pStyle w:val="BodyText"/>
              <w:rPr>
                <w:lang w:val="en-NZ"/>
              </w:rPr>
            </w:pPr>
            <w:r w:rsidRPr="00DE1D35">
              <w:t xml:space="preserve">6.3 </w:t>
            </w:r>
            <w:r w:rsidRPr="00DE1D35">
              <w:t>Provide information and training to employees to enable implementation of correct procedures in all required circumstances</w:t>
            </w:r>
          </w:p>
        </w:tc>
      </w:tr>
      <w:tr w:rsidTr="00DE1D35">
        <w:tblPrEx>
          <w:tblW w:w="0" w:type="auto"/>
          <w:tblLayout w:type="fixed"/>
          <w:tblCellMar>
            <w:left w:w="62" w:type="dxa"/>
            <w:right w:w="62" w:type="dxa"/>
          </w:tblCellMar>
          <w:tblLook w:val="0000"/>
        </w:tblPrEx>
        <w:trPr>
          <w:trHeight w:val="1007"/>
        </w:trPr>
        <w:tc>
          <w:tcPr>
            <w:tcW w:w="3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D35">
            <w:pPr>
              <w:pStyle w:val="BodyText"/>
              <w:rPr>
                <w:lang w:val="en-NZ"/>
              </w:rPr>
            </w:pPr>
            <w:r w:rsidRPr="00DE1D35">
              <w:t>7. Establish and maintain WHS systems</w:t>
            </w:r>
          </w:p>
        </w:tc>
        <w:tc>
          <w:tcPr>
            <w:tcW w:w="5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D35" w:rsidP="00DE1D35">
            <w:pPr>
              <w:pStyle w:val="BodyText"/>
            </w:pPr>
            <w:r w:rsidRPr="00DE1D35">
              <w:t>7.1 Develop and implement a WHS training program to identify and fulfil employees’ WHS trainin</w:t>
            </w:r>
            <w:r w:rsidRPr="00DE1D35">
              <w:t>g needs as part of organisation’s general training program</w:t>
            </w:r>
          </w:p>
          <w:p w:rsidR="00000000" w:rsidP="00DE1D35">
            <w:pPr>
              <w:pStyle w:val="BodyText"/>
              <w:rPr>
                <w:lang w:val="en-NZ"/>
              </w:rPr>
            </w:pPr>
            <w:r w:rsidRPr="00DE1D35">
              <w:t>7.2 Establish and monitor system for keeping WHS records to allow identification of patterns of occupational injury and disease in area of managerial responsibility</w:t>
            </w:r>
          </w:p>
        </w:tc>
      </w:tr>
      <w:tr w:rsidTr="00DE1D35">
        <w:tblPrEx>
          <w:tblW w:w="0" w:type="auto"/>
          <w:tblLayout w:type="fixed"/>
          <w:tblCellMar>
            <w:left w:w="62" w:type="dxa"/>
            <w:right w:w="62" w:type="dxa"/>
          </w:tblCellMar>
          <w:tblLook w:val="0000"/>
        </w:tblPrEx>
        <w:trPr>
          <w:trHeight w:val="1007"/>
        </w:trPr>
        <w:tc>
          <w:tcPr>
            <w:tcW w:w="3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D35">
            <w:pPr>
              <w:pStyle w:val="BodyText"/>
              <w:rPr>
                <w:lang w:val="en-NZ"/>
              </w:rPr>
            </w:pPr>
            <w:r w:rsidRPr="00DE1D35">
              <w:t>8. Evaluate the organisation’</w:t>
            </w:r>
            <w:r w:rsidRPr="00DE1D35">
              <w:t>s WHS system and related policies, procedures, and programs</w:t>
            </w:r>
          </w:p>
        </w:tc>
        <w:tc>
          <w:tcPr>
            <w:tcW w:w="5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D35" w:rsidP="00DE1D35">
            <w:pPr>
              <w:pStyle w:val="BodyText"/>
            </w:pPr>
            <w:r w:rsidRPr="00DE1D35">
              <w:t>8.1 Assess effectiveness of WHS system and related policies, procedures, and programs according to organisation’s WHS aims</w:t>
            </w:r>
          </w:p>
          <w:p w:rsidR="00000000" w:rsidRPr="00DE1D35" w:rsidP="00DE1D35">
            <w:pPr>
              <w:pStyle w:val="BodyText"/>
            </w:pPr>
            <w:r w:rsidRPr="00DE1D35">
              <w:t xml:space="preserve">8.2 Develop and implement improvements to WHS system to ensure effective </w:t>
            </w:r>
            <w:r w:rsidRPr="00DE1D35">
              <w:t>achievement of organisation’s WHS aims</w:t>
            </w:r>
          </w:p>
          <w:p w:rsidR="00000000" w:rsidRPr="00DE1D35" w:rsidP="00DE1D35">
            <w:pPr>
              <w:pStyle w:val="BodyText"/>
            </w:pPr>
            <w:r w:rsidRPr="00DE1D35">
              <w:t>8.3 Assess compliance with WHS legislation and codes of practice to ensure that legal WHS standards are maintained as a minimum</w:t>
            </w:r>
          </w:p>
        </w:tc>
      </w:tr>
    </w:tbl>
    <w:p w:rsidR="008064B8" w:rsidP="00DE1D35">
      <w:pPr>
        <w:pStyle w:val="BodyText"/>
      </w:pPr>
    </w:p>
    <w:p w:rsidR="008064B8" w:rsidP="00DE1D35">
      <w:pPr>
        <w:pStyle w:val="BodyText"/>
      </w:pPr>
    </w:p>
    <w:p w:rsidR="00000000" w:rsidRPr="00DE1D35" w:rsidP="00DE1D35">
      <w:pPr>
        <w:pStyle w:val="Heading1"/>
      </w:pPr>
      <w:bookmarkStart w:id="6" w:name="O_1250872"/>
      <w:bookmarkEnd w:id="6"/>
      <w:r w:rsidRPr="00DE1D35">
        <w:t>Foundation Skills</w:t>
      </w:r>
    </w:p>
    <w:p w:rsidR="00000000" w:rsidRPr="00DE1D35" w:rsidP="008064B8">
      <w:pPr>
        <w:pStyle w:val="BodyText"/>
      </w:pPr>
      <w:r w:rsidRPr="00DE1D35">
        <w:t xml:space="preserve">This section describes those language, literacy, </w:t>
      </w:r>
      <w:r w:rsidRPr="00DE1D35">
        <w:t>numeracy and employment skills that are essential to performance but not explicit in the performance criteria.</w:t>
      </w:r>
    </w:p>
    <w:p w:rsidR="00000000" w:rsidRPr="00DE1D35" w:rsidP="00DE1D35">
      <w:pPr>
        <w:pStyle w:val="ListBullet"/>
      </w:pPr>
      <w:r w:rsidRPr="00DE1D35">
        <w:t>Reading skills to interpret maintenance information.</w:t>
      </w:r>
    </w:p>
    <w:p w:rsidR="00000000" w:rsidRPr="00DE1D35" w:rsidP="00DE1D35">
      <w:pPr>
        <w:pStyle w:val="ListBullet"/>
      </w:pPr>
      <w:r w:rsidRPr="00DE1D35">
        <w:t>Writing skills to document procedures and report on systems.</w:t>
      </w:r>
    </w:p>
    <w:p w:rsidR="00000000" w:rsidRPr="00DE1D35" w:rsidP="00DE1D35">
      <w:pPr>
        <w:pStyle w:val="ListBullet"/>
      </w:pPr>
      <w:r w:rsidRPr="00DE1D35">
        <w:t>Numeracy skills to interpret a</w:t>
      </w:r>
      <w:r w:rsidRPr="00DE1D35">
        <w:t>nd communicate technical information.</w:t>
      </w:r>
    </w:p>
    <w:p w:rsidR="00000000" w:rsidRPr="00DE1D35" w:rsidP="008064B8">
      <w:pPr>
        <w:pStyle w:val="BodyText"/>
      </w:pPr>
      <w:r w:rsidRPr="00DE1D35">
        <w:t>Other foundation skills essential to performance are explicit in the performance criteria of this unit of competency.</w:t>
      </w:r>
    </w:p>
    <w:p w:rsidR="00000000" w:rsidRPr="00DE1D35" w:rsidP="00DE1D35">
      <w:pPr>
        <w:pStyle w:val="Heading1"/>
      </w:pPr>
      <w:bookmarkStart w:id="7" w:name="O_1250874"/>
      <w:bookmarkEnd w:id="7"/>
      <w:r w:rsidRPr="00DE1D35">
        <w:t>Unit Mapping Information</w:t>
      </w:r>
    </w:p>
    <w:p w:rsidR="00000000" w:rsidRPr="00DE1D35" w:rsidP="008064B8">
      <w:pPr>
        <w:pStyle w:val="BodyText"/>
      </w:pPr>
      <w:r w:rsidRPr="00DE1D35">
        <w:t>Release 1. Supersedes and is equivalent to MEA134 Establish, maintain and evaluate the organisation’s work health and safety system.</w:t>
      </w:r>
    </w:p>
    <w:p w:rsidR="00000000" w:rsidRPr="00DE1D35" w:rsidP="00DE1D35">
      <w:pPr>
        <w:pStyle w:val="Heading1"/>
      </w:pPr>
      <w:bookmarkStart w:id="8" w:name="O_1250881"/>
      <w:bookmarkEnd w:id="8"/>
      <w:r w:rsidRPr="00DE1D35">
        <w:t>Links</w:t>
      </w:r>
    </w:p>
    <w:p w:rsidR="00000000" w:rsidRPr="00DE1D35" w:rsidP="008064B8">
      <w:pPr>
        <w:pStyle w:val="BodyText"/>
      </w:pPr>
      <w:r w:rsidRPr="00DE1D3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70D51">
        <w:rPr>
          <w:rStyle w:val="Hyperlink"/>
        </w:rPr>
        <w:t>https://vetnet.gov.au/Pages/TrainingDocs.aspx?q=ce216c9c-04d5-4b3b-9bcf-4e81d0950371</w:t>
      </w:r>
      <w:r>
        <w:fldChar w:fldCharType="end"/>
      </w:r>
    </w:p>
    <w:p w:rsidR="00000000" w:rsidRPr="00DE1D35" w:rsidP="00DE1D35"/>
    <w:sectPr w:rsidSect="00DE1D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D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D35" w:rsidRPr="008064B8" w:rsidP="008064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D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4B8" w:rsidP="00DE1D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64B8" w:rsidP="00DE1D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64B8" w:rsidP="00DE1D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D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4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1D35" w:rsidRPr="008064B8" w:rsidP="008064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D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4B8" w:rsidRPr="002D2AF8" w:rsidP="00DE1D35">
    <w:pPr>
      <w:pStyle w:val="Header"/>
      <w:framePr w:wrap="around"/>
    </w:pPr>
    <w:r>
      <w:fldChar w:fldCharType="begin"/>
    </w:r>
    <w:r>
      <w:instrText xml:space="preserve"> TITLE   \* MERGEFORMAT </w:instrText>
    </w:r>
    <w:r>
      <w:fldChar w:fldCharType="separate"/>
    </w:r>
    <w:r>
      <w:t>MEACOM0021 Establish, maintain and evaluate the organisations work health and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064B8" w:rsidP="00DE1D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8CE4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FAAA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D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1D35"/>
    <w:pPr>
      <w:spacing w:before="360" w:after="60"/>
      <w:outlineLvl w:val="0"/>
    </w:pPr>
    <w:rPr>
      <w:sz w:val="32"/>
    </w:rPr>
  </w:style>
  <w:style w:type="paragraph" w:styleId="Heading2">
    <w:name w:val="heading 2"/>
    <w:basedOn w:val="HeadingBase"/>
    <w:next w:val="BodyText"/>
    <w:link w:val="Heading2Char"/>
    <w:qFormat/>
    <w:rsid w:val="00DE1D35"/>
    <w:pPr>
      <w:keepLines/>
      <w:spacing w:before="240" w:after="120"/>
      <w:outlineLvl w:val="1"/>
    </w:pPr>
    <w:rPr>
      <w:sz w:val="28"/>
      <w:szCs w:val="40"/>
    </w:rPr>
  </w:style>
  <w:style w:type="paragraph" w:styleId="Heading3">
    <w:name w:val="heading 3"/>
    <w:basedOn w:val="HeadingBase"/>
    <w:next w:val="BodyText"/>
    <w:link w:val="Heading3Char"/>
    <w:qFormat/>
    <w:rsid w:val="00DE1D35"/>
    <w:pPr>
      <w:spacing w:before="180" w:after="120"/>
      <w:outlineLvl w:val="2"/>
    </w:pPr>
    <w:rPr>
      <w:spacing w:val="-10"/>
      <w:kern w:val="32"/>
    </w:rPr>
  </w:style>
  <w:style w:type="paragraph" w:styleId="Heading4">
    <w:name w:val="heading 4"/>
    <w:basedOn w:val="HeadingBase"/>
    <w:next w:val="BodyText"/>
    <w:link w:val="Heading4Char"/>
    <w:qFormat/>
    <w:rsid w:val="00DE1D35"/>
    <w:pPr>
      <w:spacing w:before="160" w:after="120"/>
      <w:outlineLvl w:val="3"/>
    </w:pPr>
    <w:rPr>
      <w:sz w:val="22"/>
    </w:rPr>
  </w:style>
  <w:style w:type="paragraph" w:styleId="Heading5">
    <w:name w:val="heading 5"/>
    <w:basedOn w:val="HeadingBase"/>
    <w:next w:val="Normal"/>
    <w:link w:val="Heading5Char"/>
    <w:qFormat/>
    <w:rsid w:val="00DE1D35"/>
    <w:pPr>
      <w:spacing w:before="80"/>
      <w:outlineLvl w:val="4"/>
    </w:pPr>
    <w:rPr>
      <w:color w:val="918585"/>
      <w:sz w:val="20"/>
    </w:rPr>
  </w:style>
  <w:style w:type="paragraph" w:styleId="Heading6">
    <w:name w:val="heading 6"/>
    <w:basedOn w:val="HeadingBase"/>
    <w:next w:val="Normal"/>
    <w:link w:val="Heading6Char"/>
    <w:qFormat/>
    <w:rsid w:val="00DE1D35"/>
    <w:pPr>
      <w:spacing w:before="60"/>
      <w:outlineLvl w:val="5"/>
    </w:pPr>
    <w:rPr>
      <w:color w:val="918585"/>
      <w:sz w:val="20"/>
    </w:rPr>
  </w:style>
  <w:style w:type="paragraph" w:styleId="Heading7">
    <w:name w:val="heading 7"/>
    <w:basedOn w:val="Normal"/>
    <w:next w:val="Normal"/>
    <w:link w:val="Heading7Char"/>
    <w:qFormat/>
    <w:rsid w:val="00DE1D35"/>
    <w:pPr>
      <w:ind w:left="720"/>
      <w:outlineLvl w:val="6"/>
    </w:pPr>
    <w:rPr>
      <w:i/>
    </w:rPr>
  </w:style>
  <w:style w:type="paragraph" w:styleId="Heading8">
    <w:name w:val="heading 8"/>
    <w:basedOn w:val="Normal"/>
    <w:next w:val="Normal"/>
    <w:link w:val="Heading8Char"/>
    <w:qFormat/>
    <w:rsid w:val="00DE1D35"/>
    <w:pPr>
      <w:ind w:left="720"/>
      <w:outlineLvl w:val="7"/>
    </w:pPr>
    <w:rPr>
      <w:i/>
    </w:rPr>
  </w:style>
  <w:style w:type="paragraph" w:styleId="Heading9">
    <w:name w:val="heading 9"/>
    <w:basedOn w:val="Normal"/>
    <w:next w:val="Normal"/>
    <w:link w:val="Heading9Char"/>
    <w:qFormat/>
    <w:rsid w:val="00DE1D35"/>
    <w:pPr>
      <w:ind w:left="720"/>
      <w:outlineLvl w:val="8"/>
    </w:pPr>
    <w:rPr>
      <w:i/>
    </w:rPr>
  </w:style>
  <w:style w:type="character" w:default="1" w:styleId="DefaultParagraphFont">
    <w:name w:val="Default Paragraph Font"/>
    <w:uiPriority w:val="1"/>
    <w:unhideWhenUsed/>
    <w:rsid w:val="00DE1D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D35"/>
  </w:style>
  <w:style w:type="character" w:customStyle="1" w:styleId="Heading1Char">
    <w:name w:val="Heading 1 Char"/>
    <w:basedOn w:val="DefaultParagraphFont"/>
    <w:link w:val="Heading1"/>
    <w:rsid w:val="00DE1D35"/>
    <w:rPr>
      <w:rFonts w:ascii="Times New Roman" w:eastAsia="Times New Roman" w:hAnsi="Times New Roman" w:cs="Times New Roman"/>
      <w:b/>
      <w:sz w:val="32"/>
      <w:szCs w:val="20"/>
      <w:lang w:eastAsia="en-US"/>
    </w:rPr>
  </w:style>
  <w:style w:type="paragraph" w:styleId="BodyText">
    <w:name w:val="Body Text"/>
    <w:basedOn w:val="Normal"/>
    <w:link w:val="BodyTextChar"/>
    <w:rsid w:val="00DE1D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1D35"/>
    <w:rPr>
      <w:rFonts w:ascii="Times New Roman" w:eastAsia="Times New Roman" w:hAnsi="Times New Roman" w:cs="Times New Roman"/>
      <w:sz w:val="24"/>
      <w:lang w:eastAsia="en-US"/>
    </w:rPr>
  </w:style>
  <w:style w:type="paragraph" w:styleId="ListBullet">
    <w:name w:val="List Bullet"/>
    <w:basedOn w:val="List"/>
    <w:rsid w:val="00DE1D35"/>
    <w:pPr>
      <w:numPr>
        <w:numId w:val="11"/>
      </w:numPr>
      <w:tabs>
        <w:tab w:val="clear" w:pos="340"/>
      </w:tabs>
      <w:spacing w:before="40" w:after="40"/>
    </w:pPr>
  </w:style>
  <w:style w:type="character" w:customStyle="1" w:styleId="SpecialBold">
    <w:name w:val="Special Bold"/>
    <w:basedOn w:val="DefaultParagraphFont"/>
    <w:rsid w:val="00DE1D35"/>
    <w:rPr>
      <w:b/>
      <w:spacing w:val="0"/>
    </w:rPr>
  </w:style>
  <w:style w:type="paragraph" w:customStyle="1" w:styleId="SuperHeading">
    <w:name w:val="SuperHeading"/>
    <w:basedOn w:val="Normal"/>
    <w:rsid w:val="00DE1D35"/>
    <w:pPr>
      <w:spacing w:before="240" w:after="120"/>
      <w:outlineLvl w:val="0"/>
    </w:pPr>
    <w:rPr>
      <w:rFonts w:ascii="Times New Roman" w:hAnsi="Times New Roman"/>
      <w:b/>
      <w:sz w:val="32"/>
    </w:rPr>
  </w:style>
  <w:style w:type="paragraph" w:customStyle="1" w:styleId="AllowPageBreak">
    <w:name w:val="AllowPageBreak"/>
    <w:rsid w:val="00DE1D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1D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D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D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D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D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D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1D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1D35"/>
    <w:rPr>
      <w:rFonts w:ascii="Courier New" w:eastAsia="Times New Roman" w:hAnsi="Courier New" w:cs="Times New Roman"/>
      <w:i/>
      <w:szCs w:val="20"/>
      <w:lang w:eastAsia="en-US"/>
    </w:rPr>
  </w:style>
  <w:style w:type="paragraph" w:customStyle="1" w:styleId="HeadingBase">
    <w:name w:val="Heading Base"/>
    <w:rsid w:val="00DE1D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D35"/>
    <w:pPr>
      <w:tabs>
        <w:tab w:val="right" w:leader="dot" w:pos="9072"/>
      </w:tabs>
      <w:ind w:left="567"/>
    </w:pPr>
    <w:rPr>
      <w:szCs w:val="22"/>
    </w:rPr>
  </w:style>
  <w:style w:type="paragraph" w:customStyle="1" w:styleId="TOCBase">
    <w:name w:val="TOC Base"/>
    <w:rsid w:val="00DE1D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D35"/>
    <w:pPr>
      <w:tabs>
        <w:tab w:val="right" w:leader="dot" w:pos="9072"/>
      </w:tabs>
      <w:spacing w:before="40" w:after="40"/>
      <w:ind w:left="284"/>
    </w:pPr>
    <w:rPr>
      <w:rFonts w:ascii="Times New Roman" w:hAnsi="Times New Roman"/>
    </w:rPr>
  </w:style>
  <w:style w:type="paragraph" w:styleId="TOC1">
    <w:name w:val="toc 1"/>
    <w:basedOn w:val="TOCBase"/>
    <w:next w:val="Normal"/>
    <w:rsid w:val="00DE1D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1D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D35"/>
    <w:rPr>
      <w:rFonts w:ascii="Times New Roman" w:eastAsia="Times New Roman" w:hAnsi="Times New Roman" w:cs="Times New Roman"/>
      <w:sz w:val="16"/>
      <w:lang w:eastAsia="en-US"/>
    </w:rPr>
  </w:style>
  <w:style w:type="paragraph" w:styleId="Title">
    <w:name w:val="Title"/>
    <w:basedOn w:val="HeadingBase"/>
    <w:link w:val="TitleChar"/>
    <w:qFormat/>
    <w:rsid w:val="00DE1D35"/>
    <w:pPr>
      <w:spacing w:before="5040"/>
      <w:jc w:val="center"/>
    </w:pPr>
    <w:rPr>
      <w:sz w:val="48"/>
      <w:szCs w:val="72"/>
      <w:lang w:val="en-US"/>
    </w:rPr>
  </w:style>
  <w:style w:type="character" w:customStyle="1" w:styleId="TitleChar">
    <w:name w:val="Title Char"/>
    <w:basedOn w:val="DefaultParagraphFont"/>
    <w:link w:val="Title"/>
    <w:rsid w:val="00DE1D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D35"/>
    <w:pPr>
      <w:tabs>
        <w:tab w:val="left" w:pos="3600"/>
        <w:tab w:val="left" w:pos="3958"/>
      </w:tabs>
    </w:pPr>
  </w:style>
  <w:style w:type="paragraph" w:styleId="List">
    <w:name w:val="List"/>
    <w:basedOn w:val="BodyText"/>
    <w:next w:val="BodyText"/>
    <w:rsid w:val="00DE1D35"/>
    <w:pPr>
      <w:tabs>
        <w:tab w:val="left" w:pos="340"/>
      </w:tabs>
      <w:spacing w:before="60" w:after="60"/>
      <w:ind w:left="340" w:hanging="340"/>
    </w:pPr>
  </w:style>
  <w:style w:type="paragraph" w:customStyle="1" w:styleId="Note">
    <w:name w:val="Note"/>
    <w:basedOn w:val="BodyText"/>
    <w:rsid w:val="00DE1D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D35"/>
    <w:pPr>
      <w:framePr w:wrap="auto" w:hAnchor="text" w:y="6049"/>
    </w:pPr>
    <w:rPr>
      <w:color w:val="000000"/>
      <w:sz w:val="40"/>
    </w:rPr>
  </w:style>
  <w:style w:type="paragraph" w:customStyle="1" w:styleId="TOCTitle">
    <w:name w:val="TOCTitle"/>
    <w:basedOn w:val="Heading1"/>
    <w:rsid w:val="00DE1D35"/>
    <w:pPr>
      <w:spacing w:after="240"/>
      <w:jc w:val="center"/>
      <w:outlineLvl w:val="9"/>
    </w:pPr>
    <w:rPr>
      <w:caps/>
    </w:rPr>
  </w:style>
  <w:style w:type="paragraph" w:customStyle="1" w:styleId="Version">
    <w:name w:val="Version"/>
    <w:rsid w:val="00DE1D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1D35"/>
    <w:pPr>
      <w:numPr>
        <w:numId w:val="12"/>
      </w:numPr>
      <w:tabs>
        <w:tab w:val="clear" w:pos="680"/>
      </w:tabs>
    </w:pPr>
  </w:style>
  <w:style w:type="paragraph" w:styleId="Index1">
    <w:name w:val="index 1"/>
    <w:basedOn w:val="Normal"/>
    <w:next w:val="Normal"/>
    <w:semiHidden/>
    <w:rsid w:val="00DE1D35"/>
    <w:pPr>
      <w:keepNext w:val="0"/>
      <w:tabs>
        <w:tab w:val="right" w:pos="4176"/>
      </w:tabs>
      <w:ind w:left="198" w:hanging="198"/>
    </w:pPr>
    <w:rPr>
      <w:rFonts w:ascii="Garamond" w:hAnsi="Garamond"/>
    </w:rPr>
  </w:style>
  <w:style w:type="paragraph" w:styleId="IndexHeading">
    <w:name w:val="index heading"/>
    <w:basedOn w:val="Normal"/>
    <w:next w:val="Index1"/>
    <w:semiHidden/>
    <w:rsid w:val="00DE1D35"/>
    <w:pPr>
      <w:spacing w:before="120" w:after="120"/>
    </w:pPr>
    <w:rPr>
      <w:rFonts w:ascii="Arial" w:hAnsi="Arial"/>
      <w:b/>
      <w:color w:val="918585"/>
      <w:sz w:val="24"/>
    </w:rPr>
  </w:style>
  <w:style w:type="paragraph" w:styleId="Header">
    <w:name w:val="header"/>
    <w:basedOn w:val="Normal"/>
    <w:link w:val="HeaderChar"/>
    <w:rsid w:val="00DE1D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D35"/>
    <w:rPr>
      <w:rFonts w:ascii="Times New Roman" w:eastAsia="Times New Roman" w:hAnsi="Times New Roman" w:cs="Times New Roman"/>
      <w:sz w:val="16"/>
      <w:szCs w:val="20"/>
      <w:lang w:val="en-GB" w:eastAsia="en-US"/>
    </w:rPr>
  </w:style>
  <w:style w:type="paragraph" w:customStyle="1" w:styleId="Chapter">
    <w:name w:val="Chapter"/>
    <w:basedOn w:val="Normal"/>
    <w:rsid w:val="00DE1D35"/>
    <w:pPr>
      <w:spacing w:before="240"/>
    </w:pPr>
    <w:rPr>
      <w:rFonts w:ascii="Times New Roman" w:hAnsi="Times New Roman"/>
      <w:smallCaps/>
      <w:spacing w:val="80"/>
      <w:sz w:val="28"/>
    </w:rPr>
  </w:style>
  <w:style w:type="paragraph" w:customStyle="1" w:styleId="InChapter">
    <w:name w:val="InChapter"/>
    <w:basedOn w:val="Heading3"/>
    <w:rsid w:val="00DE1D35"/>
    <w:pPr>
      <w:spacing w:after="240"/>
      <w:outlineLvl w:val="9"/>
    </w:pPr>
    <w:rPr>
      <w:noProof/>
    </w:rPr>
  </w:style>
  <w:style w:type="paragraph" w:styleId="Index2">
    <w:name w:val="index 2"/>
    <w:basedOn w:val="Normal"/>
    <w:next w:val="Normal"/>
    <w:semiHidden/>
    <w:rsid w:val="00DE1D35"/>
    <w:pPr>
      <w:tabs>
        <w:tab w:val="right" w:pos="4176"/>
      </w:tabs>
      <w:ind w:left="568" w:hanging="284"/>
    </w:pPr>
    <w:rPr>
      <w:rFonts w:ascii="Garamond" w:hAnsi="Garamond"/>
    </w:rPr>
  </w:style>
  <w:style w:type="paragraph" w:customStyle="1" w:styleId="Byline">
    <w:name w:val="Byline"/>
    <w:rsid w:val="00DE1D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D35"/>
    <w:pPr>
      <w:tabs>
        <w:tab w:val="clear" w:pos="3600"/>
        <w:tab w:val="clear" w:pos="3958"/>
      </w:tabs>
      <w:jc w:val="right"/>
    </w:pPr>
  </w:style>
  <w:style w:type="character" w:styleId="Emphasis">
    <w:name w:val="Emphasis"/>
    <w:basedOn w:val="DefaultParagraphFont"/>
    <w:qFormat/>
    <w:rsid w:val="00DE1D35"/>
    <w:rPr>
      <w:i/>
    </w:rPr>
  </w:style>
  <w:style w:type="paragraph" w:styleId="Caption">
    <w:name w:val="caption"/>
    <w:basedOn w:val="BodyText"/>
    <w:next w:val="Normal"/>
    <w:qFormat/>
    <w:rsid w:val="00DE1D35"/>
    <w:pPr>
      <w:framePr w:w="2268" w:hSpace="181" w:vSpace="181" w:wrap="around" w:vAnchor="text" w:hAnchor="page" w:x="1135" w:y="285" w:anchorLock="1"/>
    </w:pPr>
    <w:rPr>
      <w:i/>
    </w:rPr>
  </w:style>
  <w:style w:type="paragraph" w:customStyle="1" w:styleId="MiniTOCTitle">
    <w:name w:val="MiniTOCTitle"/>
    <w:basedOn w:val="Heading4"/>
    <w:rsid w:val="00DE1D35"/>
    <w:pPr>
      <w:spacing w:before="240"/>
      <w:outlineLvl w:val="9"/>
    </w:pPr>
    <w:rPr>
      <w:noProof/>
      <w:sz w:val="24"/>
    </w:rPr>
  </w:style>
  <w:style w:type="paragraph" w:customStyle="1" w:styleId="MiniTOCItem">
    <w:name w:val="MiniTOCItem"/>
    <w:basedOn w:val="ListBullet"/>
    <w:rsid w:val="00DE1D35"/>
    <w:pPr>
      <w:numPr>
        <w:numId w:val="0"/>
      </w:numPr>
      <w:tabs>
        <w:tab w:val="right" w:leader="dot" w:pos="6521"/>
      </w:tabs>
      <w:spacing w:before="0" w:after="0"/>
    </w:pPr>
  </w:style>
  <w:style w:type="paragraph" w:customStyle="1" w:styleId="TOFTitle">
    <w:name w:val="TOFTitle"/>
    <w:basedOn w:val="TOCTitle"/>
    <w:rsid w:val="00DE1D35"/>
  </w:style>
  <w:style w:type="paragraph" w:styleId="TableofFigures">
    <w:name w:val="table of figures"/>
    <w:basedOn w:val="Normal"/>
    <w:next w:val="Normal"/>
    <w:semiHidden/>
    <w:rsid w:val="00DE1D35"/>
    <w:pPr>
      <w:tabs>
        <w:tab w:val="right" w:leader="dot" w:pos="9072"/>
      </w:tabs>
      <w:ind w:left="970" w:hanging="403"/>
    </w:pPr>
    <w:rPr>
      <w:rFonts w:ascii="Times New Roman" w:hAnsi="Times New Roman"/>
      <w:b/>
    </w:rPr>
  </w:style>
  <w:style w:type="paragraph" w:styleId="ListNumber">
    <w:name w:val="List Number"/>
    <w:basedOn w:val="List"/>
    <w:rsid w:val="00DE1D35"/>
    <w:pPr>
      <w:numPr>
        <w:numId w:val="14"/>
      </w:numPr>
      <w:tabs>
        <w:tab w:val="clear" w:pos="340"/>
      </w:tabs>
    </w:pPr>
  </w:style>
  <w:style w:type="character" w:customStyle="1" w:styleId="WingdingSymbols">
    <w:name w:val="Wingding Symbols"/>
    <w:rsid w:val="00DE1D35"/>
    <w:rPr>
      <w:rFonts w:ascii="Wingdings" w:hAnsi="Wingdings"/>
    </w:rPr>
  </w:style>
  <w:style w:type="paragraph" w:customStyle="1" w:styleId="TableHeading">
    <w:name w:val="Table Heading"/>
    <w:basedOn w:val="HeadingBase"/>
    <w:rsid w:val="00DE1D35"/>
    <w:pPr>
      <w:keepLines/>
      <w:pBdr>
        <w:bottom w:val="single" w:sz="6" w:space="1" w:color="918585"/>
      </w:pBdr>
      <w:spacing w:before="240"/>
    </w:pPr>
  </w:style>
  <w:style w:type="character" w:customStyle="1" w:styleId="HotSpot">
    <w:name w:val="HotSpot"/>
    <w:rsid w:val="00DE1D35"/>
    <w:rPr>
      <w:color w:val="0033CC"/>
      <w:u w:val="none"/>
    </w:rPr>
  </w:style>
  <w:style w:type="paragraph" w:customStyle="1" w:styleId="BodyTextRight">
    <w:name w:val="Body Text Right"/>
    <w:basedOn w:val="BodyText"/>
    <w:rsid w:val="00DE1D35"/>
    <w:pPr>
      <w:spacing w:before="0" w:after="0"/>
      <w:jc w:val="right"/>
    </w:pPr>
  </w:style>
  <w:style w:type="paragraph" w:styleId="Index3">
    <w:name w:val="index 3"/>
    <w:basedOn w:val="ListNumber2"/>
    <w:next w:val="Normal"/>
    <w:semiHidden/>
    <w:rsid w:val="00DE1D35"/>
    <w:pPr>
      <w:numPr>
        <w:numId w:val="0"/>
      </w:numPr>
      <w:tabs>
        <w:tab w:val="right" w:leader="dot" w:pos="4176"/>
      </w:tabs>
    </w:pPr>
  </w:style>
  <w:style w:type="paragraph" w:styleId="ListNumber2">
    <w:name w:val="List Number 2"/>
    <w:basedOn w:val="List2"/>
    <w:rsid w:val="00DE1D35"/>
    <w:pPr>
      <w:numPr>
        <w:numId w:val="9"/>
      </w:numPr>
      <w:tabs>
        <w:tab w:val="clear" w:pos="1060"/>
      </w:tabs>
    </w:pPr>
  </w:style>
  <w:style w:type="paragraph" w:customStyle="1" w:styleId="MarginNote">
    <w:name w:val="Margin Note"/>
    <w:basedOn w:val="BodyText"/>
    <w:rsid w:val="00DE1D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D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D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1D35"/>
    <w:rPr>
      <w:sz w:val="32"/>
    </w:rPr>
  </w:style>
  <w:style w:type="paragraph" w:customStyle="1" w:styleId="HeadingProcedure">
    <w:name w:val="Heading Procedure"/>
    <w:basedOn w:val="HeadingBase"/>
    <w:next w:val="Normal"/>
    <w:rsid w:val="00DE1D35"/>
    <w:pPr>
      <w:tabs>
        <w:tab w:val="left" w:pos="0"/>
      </w:tabs>
      <w:spacing w:before="120" w:after="60"/>
    </w:pPr>
    <w:rPr>
      <w:i/>
      <w:color w:val="918585"/>
      <w:sz w:val="22"/>
    </w:rPr>
  </w:style>
  <w:style w:type="paragraph" w:customStyle="1" w:styleId="TableBodyText">
    <w:name w:val="Table Body Text"/>
    <w:basedOn w:val="BodyText"/>
    <w:rsid w:val="00DE1D35"/>
    <w:pPr>
      <w:spacing w:before="60" w:after="60"/>
    </w:pPr>
  </w:style>
  <w:style w:type="paragraph" w:styleId="ListContinue">
    <w:name w:val="List Continue"/>
    <w:basedOn w:val="List"/>
    <w:rsid w:val="00DE1D35"/>
    <w:pPr>
      <w:ind w:firstLine="0"/>
    </w:pPr>
  </w:style>
  <w:style w:type="paragraph" w:customStyle="1" w:styleId="ListNote">
    <w:name w:val="List Note"/>
    <w:basedOn w:val="List"/>
    <w:rsid w:val="00DE1D35"/>
    <w:pPr>
      <w:pBdr>
        <w:top w:val="single" w:sz="6" w:space="2" w:color="918585"/>
        <w:bottom w:val="single" w:sz="6" w:space="2" w:color="918585"/>
      </w:pBdr>
      <w:tabs>
        <w:tab w:val="left" w:pos="1021"/>
      </w:tabs>
      <w:ind w:firstLine="0"/>
    </w:pPr>
  </w:style>
  <w:style w:type="paragraph" w:customStyle="1" w:styleId="Warning">
    <w:name w:val="Warning"/>
    <w:basedOn w:val="BodyText"/>
    <w:rsid w:val="00DE1D35"/>
    <w:pPr>
      <w:shd w:val="clear" w:color="auto" w:fill="D9D9D9"/>
      <w:tabs>
        <w:tab w:val="left" w:pos="992"/>
      </w:tabs>
      <w:ind w:left="119" w:right="119"/>
    </w:pPr>
    <w:rPr>
      <w:sz w:val="20"/>
    </w:rPr>
  </w:style>
  <w:style w:type="paragraph" w:customStyle="1" w:styleId="MarginIcons">
    <w:name w:val="Margin Icons"/>
    <w:basedOn w:val="BodyText"/>
    <w:rsid w:val="00DE1D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D35"/>
    <w:rPr>
      <w:rFonts w:ascii="Courier New" w:hAnsi="Courier New"/>
    </w:rPr>
  </w:style>
  <w:style w:type="paragraph" w:customStyle="1" w:styleId="NoteBullet">
    <w:name w:val="Note Bullet"/>
    <w:basedOn w:val="Note"/>
    <w:rsid w:val="00DE1D35"/>
    <w:pPr>
      <w:tabs>
        <w:tab w:val="clear" w:pos="680"/>
      </w:tabs>
      <w:spacing w:before="60" w:after="60"/>
    </w:pPr>
  </w:style>
  <w:style w:type="paragraph" w:customStyle="1" w:styleId="SubHeading2">
    <w:name w:val="SubHeading2"/>
    <w:basedOn w:val="HeadingBase"/>
    <w:rsid w:val="00DE1D35"/>
    <w:pPr>
      <w:spacing w:before="240" w:after="60"/>
    </w:pPr>
    <w:rPr>
      <w:sz w:val="20"/>
    </w:rPr>
  </w:style>
  <w:style w:type="paragraph" w:customStyle="1" w:styleId="SubHeading1">
    <w:name w:val="SubHeading1"/>
    <w:basedOn w:val="HeadingBase"/>
    <w:rsid w:val="00DE1D35"/>
    <w:pPr>
      <w:spacing w:before="240" w:after="60"/>
    </w:pPr>
    <w:rPr>
      <w:color w:val="918585"/>
      <w:sz w:val="22"/>
    </w:rPr>
  </w:style>
  <w:style w:type="paragraph" w:customStyle="1" w:styleId="SideHeading">
    <w:name w:val="Side Heading"/>
    <w:basedOn w:val="HeadingBase"/>
    <w:rsid w:val="00DE1D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D35"/>
    <w:pPr>
      <w:numPr>
        <w:numId w:val="10"/>
      </w:numPr>
    </w:pPr>
  </w:style>
  <w:style w:type="paragraph" w:styleId="PlainText">
    <w:name w:val="Plain Text"/>
    <w:basedOn w:val="Normal"/>
    <w:link w:val="PlainTextChar"/>
    <w:rsid w:val="00DE1D35"/>
    <w:rPr>
      <w:sz w:val="20"/>
    </w:rPr>
  </w:style>
  <w:style w:type="character" w:customStyle="1" w:styleId="PlainTextChar">
    <w:name w:val="Plain Text Char"/>
    <w:basedOn w:val="DefaultParagraphFont"/>
    <w:link w:val="PlainText"/>
    <w:rsid w:val="00DE1D35"/>
    <w:rPr>
      <w:rFonts w:ascii="Courier New" w:eastAsia="Times New Roman" w:hAnsi="Courier New" w:cs="Times New Roman"/>
      <w:sz w:val="20"/>
      <w:szCs w:val="20"/>
      <w:lang w:eastAsia="en-US"/>
    </w:rPr>
  </w:style>
  <w:style w:type="character" w:customStyle="1" w:styleId="MenuOption">
    <w:name w:val="Menu Option"/>
    <w:basedOn w:val="DefaultParagraphFont"/>
    <w:rsid w:val="00DE1D35"/>
    <w:rPr>
      <w:b/>
      <w:smallCaps/>
    </w:rPr>
  </w:style>
  <w:style w:type="paragraph" w:customStyle="1" w:styleId="TableListNumber">
    <w:name w:val="Table List Number"/>
    <w:basedOn w:val="ListNumber"/>
    <w:rsid w:val="00DE1D35"/>
    <w:pPr>
      <w:numPr>
        <w:numId w:val="0"/>
      </w:numPr>
    </w:pPr>
  </w:style>
  <w:style w:type="paragraph" w:styleId="TOC4">
    <w:name w:val="toc 4"/>
    <w:basedOn w:val="TOCBase"/>
    <w:next w:val="Normal"/>
    <w:semiHidden/>
    <w:rsid w:val="00DE1D35"/>
    <w:pPr>
      <w:tabs>
        <w:tab w:val="right" w:leader="dot" w:pos="9071"/>
      </w:tabs>
      <w:ind w:left="1701"/>
    </w:pPr>
  </w:style>
  <w:style w:type="paragraph" w:customStyle="1" w:styleId="ListAlpha">
    <w:name w:val="List Alpha"/>
    <w:basedOn w:val="List"/>
    <w:rsid w:val="00DE1D35"/>
    <w:pPr>
      <w:numPr>
        <w:numId w:val="8"/>
      </w:numPr>
    </w:pPr>
  </w:style>
  <w:style w:type="paragraph" w:customStyle="1" w:styleId="ListAlpha2">
    <w:name w:val="List Alpha 2"/>
    <w:basedOn w:val="List2"/>
    <w:rsid w:val="00DE1D35"/>
    <w:pPr>
      <w:numPr>
        <w:numId w:val="7"/>
      </w:numPr>
    </w:pPr>
  </w:style>
  <w:style w:type="paragraph" w:styleId="List2">
    <w:name w:val="List 2"/>
    <w:basedOn w:val="BodyText"/>
    <w:rsid w:val="00DE1D35"/>
    <w:pPr>
      <w:tabs>
        <w:tab w:val="left" w:pos="680"/>
      </w:tabs>
      <w:spacing w:before="60" w:after="60"/>
      <w:ind w:left="680" w:hanging="340"/>
    </w:pPr>
  </w:style>
  <w:style w:type="paragraph" w:styleId="List3">
    <w:name w:val="List 3"/>
    <w:basedOn w:val="BodyText"/>
    <w:rsid w:val="00DE1D35"/>
    <w:pPr>
      <w:tabs>
        <w:tab w:val="left" w:pos="1021"/>
      </w:tabs>
      <w:spacing w:before="60" w:after="60"/>
      <w:ind w:left="1020" w:hanging="340"/>
    </w:pPr>
  </w:style>
  <w:style w:type="paragraph" w:styleId="List4">
    <w:name w:val="List 4"/>
    <w:basedOn w:val="BodyText"/>
    <w:rsid w:val="00DE1D35"/>
    <w:pPr>
      <w:tabs>
        <w:tab w:val="left" w:pos="1361"/>
      </w:tabs>
      <w:spacing w:before="60" w:after="60"/>
      <w:ind w:left="1361" w:hanging="340"/>
    </w:pPr>
  </w:style>
  <w:style w:type="paragraph" w:styleId="List5">
    <w:name w:val="List 5"/>
    <w:basedOn w:val="BodyText"/>
    <w:rsid w:val="00DE1D35"/>
    <w:pPr>
      <w:tabs>
        <w:tab w:val="left" w:pos="1701"/>
      </w:tabs>
      <w:spacing w:before="60" w:after="60"/>
      <w:ind w:left="1701" w:hanging="340"/>
    </w:pPr>
  </w:style>
  <w:style w:type="paragraph" w:styleId="ListBullet3">
    <w:name w:val="List Bullet 3"/>
    <w:basedOn w:val="List3"/>
    <w:rsid w:val="00DE1D35"/>
    <w:pPr>
      <w:numPr>
        <w:numId w:val="13"/>
      </w:numPr>
      <w:tabs>
        <w:tab w:val="clear" w:pos="1021"/>
      </w:tabs>
      <w:ind w:left="1037" w:hanging="357"/>
    </w:pPr>
  </w:style>
  <w:style w:type="paragraph" w:styleId="ListBullet4">
    <w:name w:val="List Bullet 4"/>
    <w:basedOn w:val="List4"/>
    <w:rsid w:val="00DE1D35"/>
    <w:pPr>
      <w:numPr>
        <w:numId w:val="2"/>
      </w:numPr>
      <w:tabs>
        <w:tab w:val="clear" w:pos="1361"/>
      </w:tabs>
    </w:pPr>
  </w:style>
  <w:style w:type="paragraph" w:styleId="ListBullet5">
    <w:name w:val="List Bullet 5"/>
    <w:basedOn w:val="List5"/>
    <w:rsid w:val="00DE1D35"/>
    <w:pPr>
      <w:numPr>
        <w:numId w:val="3"/>
      </w:numPr>
    </w:pPr>
  </w:style>
  <w:style w:type="paragraph" w:styleId="ListContinue2">
    <w:name w:val="List Continue 2"/>
    <w:basedOn w:val="List2"/>
    <w:rsid w:val="00DE1D35"/>
    <w:pPr>
      <w:ind w:firstLine="0"/>
    </w:pPr>
  </w:style>
  <w:style w:type="paragraph" w:styleId="ListContinue3">
    <w:name w:val="List Continue 3"/>
    <w:basedOn w:val="List3"/>
    <w:rsid w:val="00DE1D35"/>
    <w:pPr>
      <w:ind w:left="1021" w:firstLine="0"/>
    </w:pPr>
  </w:style>
  <w:style w:type="paragraph" w:styleId="ListContinue4">
    <w:name w:val="List Continue 4"/>
    <w:basedOn w:val="List4"/>
    <w:rsid w:val="00DE1D35"/>
    <w:pPr>
      <w:ind w:firstLine="0"/>
    </w:pPr>
  </w:style>
  <w:style w:type="paragraph" w:styleId="ListContinue5">
    <w:name w:val="List Continue 5"/>
    <w:basedOn w:val="List5"/>
    <w:rsid w:val="00DE1D35"/>
    <w:pPr>
      <w:ind w:firstLine="0"/>
    </w:pPr>
  </w:style>
  <w:style w:type="paragraph" w:styleId="ListNumber3">
    <w:name w:val="List Number 3"/>
    <w:basedOn w:val="List3"/>
    <w:rsid w:val="00DE1D35"/>
    <w:pPr>
      <w:numPr>
        <w:numId w:val="4"/>
      </w:numPr>
    </w:pPr>
  </w:style>
  <w:style w:type="paragraph" w:styleId="ListNumber4">
    <w:name w:val="List Number 4"/>
    <w:basedOn w:val="List4"/>
    <w:rsid w:val="00DE1D35"/>
    <w:pPr>
      <w:numPr>
        <w:numId w:val="5"/>
      </w:numPr>
    </w:pPr>
  </w:style>
  <w:style w:type="paragraph" w:styleId="ListNumber5">
    <w:name w:val="List Number 5"/>
    <w:basedOn w:val="List5"/>
    <w:rsid w:val="00DE1D35"/>
    <w:pPr>
      <w:numPr>
        <w:numId w:val="6"/>
      </w:numPr>
    </w:pPr>
  </w:style>
  <w:style w:type="paragraph" w:styleId="BlockText">
    <w:name w:val="Block Text"/>
    <w:basedOn w:val="Normal"/>
    <w:rsid w:val="00DE1D35"/>
    <w:pPr>
      <w:spacing w:after="120"/>
      <w:ind w:left="1440" w:right="1440"/>
    </w:pPr>
  </w:style>
  <w:style w:type="character" w:customStyle="1" w:styleId="Subscript">
    <w:name w:val="Subscript"/>
    <w:basedOn w:val="DefaultParagraphFont"/>
    <w:rsid w:val="00DE1D35"/>
    <w:rPr>
      <w:sz w:val="16"/>
      <w:vertAlign w:val="subscript"/>
    </w:rPr>
  </w:style>
  <w:style w:type="character" w:customStyle="1" w:styleId="Superscript">
    <w:name w:val="Superscript"/>
    <w:basedOn w:val="DefaultParagraphFont"/>
    <w:rsid w:val="00DE1D35"/>
    <w:rPr>
      <w:sz w:val="16"/>
      <w:vertAlign w:val="superscript"/>
    </w:rPr>
  </w:style>
  <w:style w:type="character" w:customStyle="1" w:styleId="Symbols">
    <w:name w:val="Symbols"/>
    <w:basedOn w:val="DefaultParagraphFont"/>
    <w:rsid w:val="00DE1D35"/>
    <w:rPr>
      <w:rFonts w:ascii="Symbol" w:hAnsi="Symbol"/>
    </w:rPr>
  </w:style>
  <w:style w:type="character" w:customStyle="1" w:styleId="MenuOptions">
    <w:name w:val="Menu Options"/>
    <w:basedOn w:val="DefaultParagraphFont"/>
    <w:rsid w:val="00DE1D35"/>
    <w:rPr>
      <w:rFonts w:ascii="Arial Narrow" w:hAnsi="Arial Narrow"/>
      <w:smallCaps/>
    </w:rPr>
  </w:style>
  <w:style w:type="character" w:customStyle="1" w:styleId="Buttons">
    <w:name w:val="Buttons"/>
    <w:basedOn w:val="DefaultParagraphFont"/>
    <w:rsid w:val="00DE1D35"/>
    <w:rPr>
      <w:b/>
    </w:rPr>
  </w:style>
  <w:style w:type="character" w:customStyle="1" w:styleId="Underlined">
    <w:name w:val="Underlined"/>
    <w:basedOn w:val="DefaultParagraphFont"/>
    <w:rsid w:val="00DE1D35"/>
    <w:rPr>
      <w:u w:val="single"/>
    </w:rPr>
  </w:style>
  <w:style w:type="paragraph" w:customStyle="1" w:styleId="TableBodyTextRight">
    <w:name w:val="Table Body Text Right"/>
    <w:basedOn w:val="TableBodyText"/>
    <w:rsid w:val="00DE1D35"/>
    <w:pPr>
      <w:widowControl w:val="0"/>
      <w:autoSpaceDE w:val="0"/>
      <w:autoSpaceDN w:val="0"/>
      <w:adjustRightInd w:val="0"/>
      <w:jc w:val="right"/>
    </w:pPr>
    <w:rPr>
      <w:rFonts w:cs="Arial"/>
      <w:szCs w:val="18"/>
    </w:rPr>
  </w:style>
  <w:style w:type="paragraph" w:customStyle="1" w:styleId="CopyrightText">
    <w:name w:val="Copyright Text"/>
    <w:basedOn w:val="BodyText"/>
    <w:rsid w:val="00DE1D35"/>
    <w:rPr>
      <w:sz w:val="18"/>
    </w:rPr>
  </w:style>
  <w:style w:type="paragraph" w:customStyle="1" w:styleId="BodySmallRight">
    <w:name w:val="Body Small Right"/>
    <w:basedOn w:val="BodyTextRight"/>
    <w:rsid w:val="00DE1D35"/>
    <w:rPr>
      <w:sz w:val="18"/>
      <w:szCs w:val="18"/>
    </w:rPr>
  </w:style>
  <w:style w:type="paragraph" w:customStyle="1" w:styleId="MarginEdition">
    <w:name w:val="Margin Edition"/>
    <w:basedOn w:val="MarginNote"/>
    <w:rsid w:val="00DE1D35"/>
    <w:pPr>
      <w:spacing w:before="0" w:after="0"/>
    </w:pPr>
    <w:rPr>
      <w:rFonts w:ascii="Times New Roman" w:hAnsi="Times New Roman"/>
      <w:color w:val="999999"/>
    </w:rPr>
  </w:style>
  <w:style w:type="paragraph" w:customStyle="1" w:styleId="Spacer">
    <w:name w:val="Spacer"/>
    <w:basedOn w:val="Normal"/>
    <w:rsid w:val="00DE1D35"/>
    <w:rPr>
      <w:sz w:val="2"/>
      <w:szCs w:val="2"/>
    </w:rPr>
  </w:style>
  <w:style w:type="character" w:customStyle="1" w:styleId="Small">
    <w:name w:val="Small"/>
    <w:basedOn w:val="DefaultParagraphFont"/>
    <w:rsid w:val="00DE1D35"/>
    <w:rPr>
      <w:sz w:val="16"/>
    </w:rPr>
  </w:style>
  <w:style w:type="paragraph" w:customStyle="1" w:styleId="WideTable">
    <w:name w:val="Wide Table"/>
    <w:basedOn w:val="Normal"/>
    <w:rsid w:val="00DE1D35"/>
    <w:pPr>
      <w:ind w:left="-1418"/>
    </w:pPr>
    <w:rPr>
      <w:sz w:val="2"/>
      <w:szCs w:val="2"/>
    </w:rPr>
  </w:style>
  <w:style w:type="character" w:styleId="PageNumber">
    <w:name w:val="page number"/>
    <w:basedOn w:val="DefaultParagraphFont"/>
    <w:rsid w:val="00DE1D35"/>
  </w:style>
  <w:style w:type="paragraph" w:styleId="Quote">
    <w:name w:val="Quote"/>
    <w:basedOn w:val="Heading1"/>
    <w:link w:val="QuoteChar"/>
    <w:qFormat/>
    <w:rsid w:val="00DE1D35"/>
    <w:rPr>
      <w:b w:val="0"/>
      <w:sz w:val="72"/>
      <w:szCs w:val="72"/>
      <w:lang w:val="en-NZ"/>
    </w:rPr>
  </w:style>
  <w:style w:type="character" w:customStyle="1" w:styleId="QuoteChar">
    <w:name w:val="Quote Char"/>
    <w:basedOn w:val="DefaultParagraphFont"/>
    <w:link w:val="Quote"/>
    <w:rsid w:val="00DE1D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D35"/>
    <w:pPr>
      <w:pageBreakBefore/>
    </w:pPr>
  </w:style>
  <w:style w:type="paragraph" w:customStyle="1" w:styleId="Border">
    <w:name w:val="Border"/>
    <w:basedOn w:val="Normal"/>
    <w:qFormat/>
    <w:rsid w:val="00DE1D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D35"/>
    <w:rPr>
      <w:b/>
      <w:bCs/>
      <w:i/>
      <w:iCs/>
      <w:color w:val="auto"/>
    </w:rPr>
  </w:style>
  <w:style w:type="paragraph" w:styleId="IntenseQuote">
    <w:name w:val="Intense Quote"/>
    <w:basedOn w:val="Normal"/>
    <w:next w:val="Normal"/>
    <w:link w:val="IntenseQuoteChar"/>
    <w:uiPriority w:val="30"/>
    <w:qFormat/>
    <w:rsid w:val="00DE1D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D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1D35"/>
    <w:rPr>
      <w:smallCaps/>
      <w:color w:val="auto"/>
      <w:u w:val="single"/>
    </w:rPr>
  </w:style>
  <w:style w:type="character" w:styleId="IntenseReference">
    <w:name w:val="Intense Reference"/>
    <w:basedOn w:val="DefaultParagraphFont"/>
    <w:uiPriority w:val="32"/>
    <w:qFormat/>
    <w:rsid w:val="00DE1D35"/>
    <w:rPr>
      <w:b/>
      <w:bCs/>
      <w:smallCaps/>
      <w:color w:val="auto"/>
      <w:spacing w:val="5"/>
      <w:u w:val="single"/>
    </w:rPr>
  </w:style>
  <w:style w:type="paragraph" w:customStyle="1" w:styleId="2ColumnHeading">
    <w:name w:val="2Column Heading"/>
    <w:basedOn w:val="BodyText"/>
    <w:qFormat/>
    <w:rsid w:val="00DE1D35"/>
    <w:pPr>
      <w:spacing w:after="60"/>
      <w:ind w:left="-2268"/>
    </w:pPr>
    <w:rPr>
      <w:b/>
    </w:rPr>
  </w:style>
  <w:style w:type="paragraph" w:customStyle="1" w:styleId="Heading1TOC">
    <w:name w:val="Heading1 TOC"/>
    <w:basedOn w:val="Normal"/>
    <w:qFormat/>
    <w:rsid w:val="00DE1D35"/>
    <w:pPr>
      <w:spacing w:before="240" w:after="120"/>
    </w:pPr>
    <w:rPr>
      <w:rFonts w:ascii="Times New Roman" w:hAnsi="Times New Roman"/>
      <w:b/>
      <w:sz w:val="32"/>
    </w:rPr>
  </w:style>
  <w:style w:type="paragraph" w:customStyle="1" w:styleId="Heading2TOC">
    <w:name w:val="Heading2 TOC"/>
    <w:basedOn w:val="Normal"/>
    <w:qFormat/>
    <w:rsid w:val="00DE1D35"/>
    <w:pPr>
      <w:spacing w:before="240" w:after="60"/>
    </w:pPr>
    <w:rPr>
      <w:rFonts w:ascii="Times New Roman" w:hAnsi="Times New Roman"/>
      <w:b/>
      <w:sz w:val="28"/>
    </w:rPr>
  </w:style>
  <w:style w:type="character" w:customStyle="1" w:styleId="Underline">
    <w:name w:val="Underline"/>
    <w:basedOn w:val="DefaultParagraphFont"/>
    <w:qFormat/>
    <w:rsid w:val="00DE1D35"/>
    <w:rPr>
      <w:u w:val="single"/>
    </w:rPr>
  </w:style>
  <w:style w:type="character" w:customStyle="1" w:styleId="BoldandItalics">
    <w:name w:val="Bold and Italics"/>
    <w:qFormat/>
    <w:rsid w:val="00DE1D35"/>
    <w:rPr>
      <w:b/>
      <w:i/>
      <w:u w:val="none"/>
    </w:rPr>
  </w:style>
  <w:style w:type="paragraph" w:styleId="BalloonText">
    <w:name w:val="Balloon Text"/>
    <w:basedOn w:val="Normal"/>
    <w:link w:val="BalloonTextChar"/>
    <w:rsid w:val="00DE1D35"/>
    <w:rPr>
      <w:rFonts w:ascii="Tahoma" w:hAnsi="Tahoma" w:cs="Tahoma"/>
      <w:sz w:val="16"/>
      <w:szCs w:val="16"/>
    </w:rPr>
  </w:style>
  <w:style w:type="character" w:customStyle="1" w:styleId="BalloonTextChar">
    <w:name w:val="Balloon Text Char"/>
    <w:basedOn w:val="DefaultParagraphFont"/>
    <w:link w:val="BalloonText"/>
    <w:rsid w:val="00DE1D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1D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1D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1D35"/>
    <w:rPr>
      <w:b/>
      <w:color w:val="660033"/>
      <w:spacing w:val="0"/>
    </w:rPr>
  </w:style>
  <w:style w:type="paragraph" w:customStyle="1" w:styleId="Nameditemlist">
    <w:name w:val="Named item list"/>
    <w:basedOn w:val="BodyText"/>
    <w:qFormat/>
    <w:rsid w:val="00DE1D35"/>
    <w:pPr>
      <w:tabs>
        <w:tab w:val="left" w:pos="2835"/>
      </w:tabs>
      <w:ind w:left="2835" w:hanging="2835"/>
    </w:pPr>
  </w:style>
  <w:style w:type="paragraph" w:customStyle="1" w:styleId="BodyTextnopadding">
    <w:name w:val="Body Text no padding"/>
    <w:basedOn w:val="BodyText"/>
    <w:qFormat/>
    <w:rsid w:val="00DE1D35"/>
    <w:pPr>
      <w:spacing w:before="0" w:after="0"/>
    </w:pPr>
  </w:style>
  <w:style w:type="paragraph" w:customStyle="1" w:styleId="BodyTextBold">
    <w:name w:val="Body Text Bold"/>
    <w:basedOn w:val="BodyText"/>
    <w:qFormat/>
    <w:rsid w:val="00DE1D35"/>
    <w:rPr>
      <w:b/>
    </w:rPr>
  </w:style>
  <w:style w:type="character" w:styleId="Hyperlink">
    <w:name w:val="Hyperlink"/>
    <w:basedOn w:val="DefaultParagraphFont"/>
    <w:uiPriority w:val="99"/>
    <w:unhideWhenUsed/>
    <w:rsid w:val="008064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1016</Words>
  <Characters>6208</Characters>
  <Application>Microsoft Office Word</Application>
  <DocSecurity>0</DocSecurity>
  <Lines>172</Lines>
  <Paragraphs>76</Paragraphs>
  <ScaleCrop>false</ScaleCrop>
  <Company>Author-it Software Corporation Ltd.</Company>
  <LinksUpToDate>false</LinksUpToDate>
  <CharactersWithSpaces>7148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MEACOM0021 Establish, maintain and evaluate the organisations work health and safety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2022-11-22T01:20:00Z</dcterms:created>
  <dcterms:modified xsi:type="dcterms:W3CDTF">2022-11-22T01:20:00Z</dcterms:modified>
</cp:coreProperties>
</file>