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197" w:rsidP="00321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MEAAVI0038 Use electronic test equipment</w:t>
      </w:r>
      <w:r>
        <w:fldChar w:fldCharType="end"/>
      </w:r>
    </w:p>
    <w:p w:rsidR="00321197" w:rsidP="00321197">
      <w:pPr>
        <w:pStyle w:val="Version"/>
        <w:sectPr w:rsidSect="00E84B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B4B" w:rsidP="00E84B4B">
      <w:pPr>
        <w:pStyle w:val="SuperHeading"/>
      </w:pPr>
      <w:r w:rsidRPr="00E84B4B">
        <w:t>Assessment Requirements for MEAAVI0038 Use electronic test equipment</w:t>
      </w:r>
    </w:p>
    <w:p w:rsidR="00000000" w:rsidRPr="00E84B4B" w:rsidP="00E84B4B">
      <w:pPr>
        <w:pStyle w:val="Heading1"/>
      </w:pPr>
      <w:bookmarkStart w:id="1" w:name="O_1250127"/>
      <w:bookmarkEnd w:id="1"/>
      <w:r w:rsidRPr="00E84B4B">
        <w:t>Modification History</w:t>
      </w:r>
    </w:p>
    <w:p w:rsidR="00000000" w:rsidRPr="00E84B4B" w:rsidP="00321197">
      <w:pPr>
        <w:pStyle w:val="BodyText"/>
      </w:pPr>
      <w:r w:rsidRPr="00E84B4B">
        <w:t>Release 1. Application changed. Elements and Performance Criteria changed. F</w:t>
      </w:r>
      <w:r w:rsidRPr="00E84B4B">
        <w:t>oundation Skills made explicit. Range of Conditions removed, and relevant information moved to Assessment Requirements. Assessment Requirements clarified. Supersedes and is equivalent to MEA261 Use electronic test equipment.</w:t>
      </w:r>
    </w:p>
    <w:p w:rsidR="00000000" w:rsidRPr="00E84B4B" w:rsidP="00E84B4B">
      <w:pPr>
        <w:pStyle w:val="Heading1"/>
      </w:pPr>
      <w:bookmarkStart w:id="2" w:name="O_1250128"/>
      <w:bookmarkEnd w:id="2"/>
      <w:r w:rsidRPr="00E84B4B">
        <w:t xml:space="preserve">Performance </w:t>
      </w:r>
      <w:r w:rsidRPr="00E84B4B">
        <w:t>Evidence</w:t>
      </w:r>
    </w:p>
    <w:p w:rsidR="00000000" w:rsidRPr="00E84B4B" w:rsidP="00321197">
      <w:pPr>
        <w:pStyle w:val="BodyText"/>
      </w:pPr>
      <w:r w:rsidRPr="00E84B4B">
        <w:t>There must be evidence the candidate has completed all the tasks outlined in the elements and performance criteria of this unit, and demonstrated the ability to:</w:t>
      </w:r>
    </w:p>
    <w:p w:rsidR="00000000" w:rsidRPr="00E84B4B" w:rsidP="00E84B4B">
      <w:pPr>
        <w:pStyle w:val="ListBullet"/>
      </w:pPr>
      <w:r w:rsidRPr="00E84B4B">
        <w:t>use each of the following items of test equipment to measure electronic circuit para</w:t>
      </w:r>
      <w:r w:rsidRPr="00E84B4B">
        <w:t>meters and test performance:</w:t>
      </w:r>
    </w:p>
    <w:p w:rsidR="00000000" w:rsidRPr="00E84B4B" w:rsidP="00E84B4B">
      <w:pPr>
        <w:pStyle w:val="ListBullet2"/>
      </w:pPr>
      <w:r w:rsidRPr="00E84B4B">
        <w:t>electronic multimeters</w:t>
      </w:r>
    </w:p>
    <w:p w:rsidR="00000000" w:rsidRPr="00E84B4B" w:rsidP="00E84B4B">
      <w:pPr>
        <w:pStyle w:val="ListBullet2"/>
      </w:pPr>
      <w:r w:rsidRPr="00E84B4B">
        <w:t>phase-angle voltmeters (may be omitted where not applicable to the enterprise)</w:t>
      </w:r>
    </w:p>
    <w:p w:rsidR="00000000" w:rsidRPr="00E84B4B" w:rsidP="00E84B4B">
      <w:pPr>
        <w:pStyle w:val="ListBullet2"/>
      </w:pPr>
      <w:r w:rsidRPr="00E84B4B">
        <w:t>oscilloscopes (dual differential, differential, delayed time base, storage)</w:t>
      </w:r>
    </w:p>
    <w:p w:rsidR="00000000" w:rsidRPr="00E84B4B" w:rsidP="00E84B4B">
      <w:pPr>
        <w:pStyle w:val="ListBullet2"/>
      </w:pPr>
      <w:r w:rsidRPr="00E84B4B">
        <w:t>current probes</w:t>
      </w:r>
    </w:p>
    <w:p w:rsidR="00000000" w:rsidRPr="00E84B4B" w:rsidP="00E84B4B">
      <w:pPr>
        <w:pStyle w:val="ListBullet2"/>
      </w:pPr>
      <w:r w:rsidRPr="00E84B4B">
        <w:t>logic and discrete component test</w:t>
      </w:r>
      <w:r w:rsidRPr="00E84B4B">
        <w:t>ers</w:t>
      </w:r>
    </w:p>
    <w:p w:rsidR="00000000" w:rsidRPr="00E84B4B" w:rsidP="00E84B4B">
      <w:pPr>
        <w:pStyle w:val="ListBullet2"/>
      </w:pPr>
      <w:r w:rsidRPr="00E84B4B">
        <w:t>electronic component substitution boxes and miscellaneous test adapters.</w:t>
      </w:r>
    </w:p>
    <w:p w:rsidR="00000000" w:rsidRPr="00E84B4B" w:rsidP="00E84B4B">
      <w:pPr>
        <w:pStyle w:val="AllowPageBreak"/>
      </w:pPr>
    </w:p>
    <w:p w:rsidR="00000000" w:rsidRPr="00E84B4B" w:rsidP="00E84B4B">
      <w:pPr>
        <w:pStyle w:val="Heading1"/>
      </w:pPr>
      <w:bookmarkStart w:id="3" w:name="O_1250129"/>
      <w:bookmarkEnd w:id="3"/>
      <w:r w:rsidRPr="00E84B4B">
        <w:t>Knowledge Evidence</w:t>
      </w:r>
    </w:p>
    <w:p w:rsidR="00000000" w:rsidRPr="00E84B4B" w:rsidP="00321197">
      <w:pPr>
        <w:pStyle w:val="BodyText"/>
      </w:pPr>
      <w:r w:rsidRPr="00E84B4B">
        <w:t>There must be evidence the candidate has knowledge of:</w:t>
      </w:r>
    </w:p>
    <w:p w:rsidR="00000000" w:rsidRPr="00E84B4B" w:rsidP="00E84B4B">
      <w:pPr>
        <w:pStyle w:val="ListBullet"/>
      </w:pPr>
      <w:r w:rsidRPr="00E84B4B">
        <w:t>the construction, calibration for use and testing for serviceability of:</w:t>
      </w:r>
    </w:p>
    <w:p w:rsidR="00000000" w:rsidRPr="00E84B4B" w:rsidP="00E84B4B">
      <w:pPr>
        <w:pStyle w:val="ListBullet2"/>
      </w:pPr>
      <w:r w:rsidRPr="00E84B4B">
        <w:t>electronic multimeters</w:t>
      </w:r>
    </w:p>
    <w:p w:rsidR="00000000" w:rsidRPr="00E84B4B" w:rsidP="00E84B4B">
      <w:pPr>
        <w:pStyle w:val="ListBullet2"/>
      </w:pPr>
      <w:r w:rsidRPr="00E84B4B">
        <w:t xml:space="preserve">phase-angle voltmeters </w:t>
      </w:r>
    </w:p>
    <w:p w:rsidR="00000000" w:rsidRPr="00E84B4B" w:rsidP="00E84B4B">
      <w:pPr>
        <w:pStyle w:val="ListBullet2"/>
      </w:pPr>
      <w:r w:rsidRPr="00E84B4B">
        <w:t>oscilloscopes (dual differential, differential, delayed time base and storage)</w:t>
      </w:r>
    </w:p>
    <w:p w:rsidR="00000000" w:rsidRPr="00E84B4B" w:rsidP="00E84B4B">
      <w:pPr>
        <w:pStyle w:val="ListBullet2"/>
      </w:pPr>
      <w:r w:rsidRPr="00E84B4B">
        <w:t>current probes</w:t>
      </w:r>
    </w:p>
    <w:p w:rsidR="00000000" w:rsidRPr="00E84B4B" w:rsidP="00E84B4B">
      <w:pPr>
        <w:pStyle w:val="ListBullet2"/>
      </w:pPr>
      <w:r w:rsidRPr="00E84B4B">
        <w:t>logic and discrete component testers</w:t>
      </w:r>
    </w:p>
    <w:p w:rsidR="00000000" w:rsidRPr="00E84B4B" w:rsidP="00E84B4B">
      <w:pPr>
        <w:pStyle w:val="ListBullet2"/>
      </w:pPr>
      <w:r w:rsidRPr="00E84B4B">
        <w:t>electronic component substitution boxes and miscellaneous test adapters</w:t>
      </w:r>
    </w:p>
    <w:p w:rsidR="00000000" w:rsidRPr="00E84B4B" w:rsidP="00E84B4B">
      <w:pPr>
        <w:pStyle w:val="ListBullet"/>
      </w:pPr>
      <w:r w:rsidRPr="00E84B4B">
        <w:t>use o</w:t>
      </w:r>
      <w:r w:rsidRPr="00E84B4B">
        <w:t>f selectors and scale adjustment of each item of test equipment to ensure accurate measurement of applicable parameters</w:t>
      </w:r>
    </w:p>
    <w:p w:rsidR="00000000" w:rsidRPr="00E84B4B" w:rsidP="00E84B4B">
      <w:pPr>
        <w:pStyle w:val="ListBullet"/>
      </w:pPr>
      <w:r w:rsidRPr="00E84B4B">
        <w:t>selection criteria for appropriate test equipment on the basis of general trade knowledge where specific test equipment is not specified</w:t>
      </w:r>
    </w:p>
    <w:p w:rsidR="00000000" w:rsidRPr="00E84B4B" w:rsidP="00E84B4B">
      <w:pPr>
        <w:pStyle w:val="ListBullet"/>
      </w:pPr>
      <w:r w:rsidRPr="00E84B4B">
        <w:t>methods used to identify polarity and connection to components and circuits for required measurement or testing</w:t>
      </w:r>
    </w:p>
    <w:p w:rsidR="00000000" w:rsidRPr="00E84B4B" w:rsidP="00E84B4B">
      <w:pPr>
        <w:pStyle w:val="ListBullet"/>
      </w:pPr>
      <w:r w:rsidRPr="00E84B4B">
        <w:t>high-speed oscilloscope techniques, probe calibration and safety precautions</w:t>
      </w:r>
    </w:p>
    <w:p w:rsidR="00000000" w:rsidRPr="00E84B4B" w:rsidP="00E84B4B">
      <w:pPr>
        <w:pStyle w:val="ListBullet"/>
      </w:pPr>
      <w:r w:rsidRPr="00E84B4B">
        <w:t>work health and safety (WHS) requirements for the use of electroni</w:t>
      </w:r>
      <w:r w:rsidRPr="00E84B4B">
        <w:t>c test equipment.</w:t>
      </w:r>
    </w:p>
    <w:p w:rsidR="00000000" w:rsidRPr="00E84B4B" w:rsidP="00E84B4B">
      <w:pPr>
        <w:pStyle w:val="AllowPageBreak"/>
      </w:pPr>
    </w:p>
    <w:p w:rsidR="00000000" w:rsidRPr="00E84B4B" w:rsidP="00E84B4B">
      <w:pPr>
        <w:pStyle w:val="Heading1"/>
      </w:pPr>
      <w:bookmarkStart w:id="4" w:name="O_1250130"/>
      <w:bookmarkEnd w:id="4"/>
      <w:r w:rsidRPr="00E84B4B">
        <w:t>Assessment Conditions</w:t>
      </w:r>
    </w:p>
    <w:p w:rsidR="00000000" w:rsidRPr="00E84B4B" w:rsidP="00321197">
      <w:pPr>
        <w:pStyle w:val="BodyText"/>
      </w:pPr>
      <w:r w:rsidRPr="00E84B4B">
        <w:t>The following conditions of assessment represent the requirements of the regulators (DASA) and (CASA) and maintenance stakeholders and must be rigorously observed.</w:t>
      </w:r>
    </w:p>
    <w:p w:rsidR="00000000" w:rsidRPr="00E84B4B" w:rsidP="00321197">
      <w:pPr>
        <w:pStyle w:val="BodyText"/>
      </w:pPr>
      <w:r w:rsidRPr="00E84B4B">
        <w:t>Skills must have been demonstrated under routine supervision in the workplace or in a simulated environment that reflects workplace conditions and contingencies encountered in using test equipment. The following conditions must be met for this unit:</w:t>
      </w:r>
    </w:p>
    <w:p w:rsidR="00000000" w:rsidRPr="00E84B4B" w:rsidP="00E84B4B">
      <w:pPr>
        <w:pStyle w:val="ListBullet"/>
      </w:pPr>
      <w:r w:rsidRPr="00E84B4B">
        <w:t>use o</w:t>
      </w:r>
      <w:r w:rsidRPr="00E84B4B">
        <w:t xml:space="preserve">f suitable facilities, equipment and resources, including: </w:t>
      </w:r>
    </w:p>
    <w:p w:rsidR="00000000" w:rsidRPr="00E84B4B" w:rsidP="00E84B4B">
      <w:pPr>
        <w:pStyle w:val="ListBullet2"/>
      </w:pPr>
      <w:r w:rsidRPr="00E84B4B">
        <w:t>workplace procedures, manufacturing specifications, codes, standards, manuals, and reference materials relevant to using test equipment</w:t>
      </w:r>
    </w:p>
    <w:p w:rsidR="00000000" w:rsidRPr="00E84B4B" w:rsidP="00E84B4B">
      <w:pPr>
        <w:pStyle w:val="ListBullet2"/>
      </w:pPr>
      <w:r w:rsidRPr="00E84B4B">
        <w:t>electronic test equipment specified in maintenance document</w:t>
      </w:r>
      <w:r w:rsidRPr="00E84B4B">
        <w:t>ation</w:t>
      </w:r>
    </w:p>
    <w:p w:rsidR="00000000" w:rsidRPr="00E84B4B" w:rsidP="00E84B4B">
      <w:pPr>
        <w:pStyle w:val="ListBullet2"/>
      </w:pPr>
      <w:r w:rsidRPr="00E84B4B">
        <w:t>items of test equipment appropriate for the required testing.</w:t>
      </w:r>
    </w:p>
    <w:p w:rsidR="00000000" w:rsidRPr="00E84B4B" w:rsidP="00321197">
      <w:pPr>
        <w:pStyle w:val="BodyText"/>
      </w:pPr>
      <w:r w:rsidRPr="00E84B4B">
        <w:t xml:space="preserve">Evidence of tasks demonstrating competency must be recorded in a log of industrial experience and achievement. </w:t>
      </w:r>
    </w:p>
    <w:p w:rsidR="00000000" w:rsidRPr="00E84B4B" w:rsidP="00321197">
      <w:pPr>
        <w:pStyle w:val="BodyText"/>
      </w:pPr>
      <w:r w:rsidRPr="00E84B4B">
        <w:t>Assessors must satisfy the NVR/AQTF mandatory competency requirements for as</w:t>
      </w:r>
      <w:r w:rsidRPr="00E84B4B">
        <w:t>sessors.</w:t>
      </w:r>
    </w:p>
    <w:p w:rsidR="00000000" w:rsidRPr="00E84B4B" w:rsidP="00E84B4B">
      <w:pPr>
        <w:pStyle w:val="Heading1"/>
      </w:pPr>
      <w:bookmarkStart w:id="5" w:name="O_1250133"/>
      <w:bookmarkEnd w:id="5"/>
      <w:r w:rsidRPr="00E84B4B">
        <w:t>Links</w:t>
      </w:r>
    </w:p>
    <w:p w:rsidR="00000000" w:rsidRPr="00E84B4B" w:rsidP="00321197">
      <w:pPr>
        <w:pStyle w:val="BodyText"/>
      </w:pPr>
      <w:r w:rsidRPr="00E84B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04195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84B4B" w:rsidP="00E84B4B"/>
    <w:sectPr w:rsidSect="00E84B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4B" w:rsidRPr="00321197" w:rsidP="00321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97" w:rsidP="00E84B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1197" w:rsidP="00E84B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1197" w:rsidP="00E84B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B4B" w:rsidRPr="00321197" w:rsidP="00321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97" w:rsidRPr="002D2AF8" w:rsidP="00E84B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MEAAVI0038 Use electronic test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321197" w:rsidP="00E84B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E63D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763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6E2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B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B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B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B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B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B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B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B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B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B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B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B4B"/>
  </w:style>
  <w:style w:type="character" w:customStyle="1" w:styleId="Heading1Char">
    <w:name w:val="Heading 1 Char"/>
    <w:basedOn w:val="DefaultParagraphFont"/>
    <w:link w:val="Heading1"/>
    <w:rsid w:val="00E84B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B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B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B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4B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4B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B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B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B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B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B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B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B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B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B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B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B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B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B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B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B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B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B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4B4B"/>
    <w:rPr>
      <w:b/>
      <w:spacing w:val="0"/>
    </w:rPr>
  </w:style>
  <w:style w:type="paragraph" w:customStyle="1" w:styleId="SuperTitle">
    <w:name w:val="SuperTitle"/>
    <w:basedOn w:val="Title"/>
    <w:rsid w:val="00E84B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B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B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B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B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B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B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B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B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B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B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B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B4B"/>
    <w:rPr>
      <w:i/>
    </w:rPr>
  </w:style>
  <w:style w:type="paragraph" w:styleId="Caption">
    <w:name w:val="caption"/>
    <w:basedOn w:val="BodyText"/>
    <w:next w:val="Normal"/>
    <w:qFormat/>
    <w:rsid w:val="00E84B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B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B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B4B"/>
  </w:style>
  <w:style w:type="paragraph" w:styleId="TableofFigures">
    <w:name w:val="table of figures"/>
    <w:basedOn w:val="Normal"/>
    <w:next w:val="Normal"/>
    <w:semiHidden/>
    <w:rsid w:val="00E84B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B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B4B"/>
    <w:rPr>
      <w:rFonts w:ascii="Wingdings" w:hAnsi="Wingdings"/>
    </w:rPr>
  </w:style>
  <w:style w:type="paragraph" w:customStyle="1" w:styleId="TableHeading">
    <w:name w:val="Table Heading"/>
    <w:basedOn w:val="HeadingBase"/>
    <w:rsid w:val="00E84B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B4B"/>
    <w:rPr>
      <w:color w:val="0033CC"/>
      <w:u w:val="none"/>
    </w:rPr>
  </w:style>
  <w:style w:type="paragraph" w:customStyle="1" w:styleId="BodyTextRight">
    <w:name w:val="Body Text Right"/>
    <w:basedOn w:val="BodyText"/>
    <w:rsid w:val="00E84B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B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B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B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B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B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B4B"/>
    <w:rPr>
      <w:sz w:val="32"/>
    </w:rPr>
  </w:style>
  <w:style w:type="paragraph" w:customStyle="1" w:styleId="HeadingProcedure">
    <w:name w:val="Heading Procedure"/>
    <w:basedOn w:val="HeadingBase"/>
    <w:next w:val="Normal"/>
    <w:rsid w:val="00E84B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B4B"/>
    <w:pPr>
      <w:spacing w:before="60" w:after="60"/>
    </w:pPr>
  </w:style>
  <w:style w:type="paragraph" w:styleId="ListContinue">
    <w:name w:val="List Continue"/>
    <w:basedOn w:val="List"/>
    <w:rsid w:val="00E84B4B"/>
    <w:pPr>
      <w:ind w:firstLine="0"/>
    </w:pPr>
  </w:style>
  <w:style w:type="paragraph" w:customStyle="1" w:styleId="ListNote">
    <w:name w:val="List Note"/>
    <w:basedOn w:val="List"/>
    <w:rsid w:val="00E84B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B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B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B4B"/>
    <w:rPr>
      <w:rFonts w:ascii="Courier New" w:hAnsi="Courier New"/>
    </w:rPr>
  </w:style>
  <w:style w:type="paragraph" w:customStyle="1" w:styleId="NoteBullet">
    <w:name w:val="Note Bullet"/>
    <w:basedOn w:val="Note"/>
    <w:rsid w:val="00E84B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B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B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B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B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B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B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B4B"/>
    <w:rPr>
      <w:b/>
      <w:smallCaps/>
    </w:rPr>
  </w:style>
  <w:style w:type="paragraph" w:customStyle="1" w:styleId="TableListNumber">
    <w:name w:val="Table List Number"/>
    <w:basedOn w:val="ListNumber"/>
    <w:rsid w:val="00E84B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B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B4B"/>
    <w:pPr>
      <w:numPr>
        <w:numId w:val="9"/>
      </w:numPr>
    </w:pPr>
  </w:style>
  <w:style w:type="paragraph" w:customStyle="1" w:styleId="ListAlpha2">
    <w:name w:val="List Alpha 2"/>
    <w:basedOn w:val="List2"/>
    <w:rsid w:val="00E84B4B"/>
    <w:pPr>
      <w:numPr>
        <w:numId w:val="8"/>
      </w:numPr>
    </w:pPr>
  </w:style>
  <w:style w:type="paragraph" w:styleId="List2">
    <w:name w:val="List 2"/>
    <w:basedOn w:val="BodyText"/>
    <w:rsid w:val="00E84B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B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B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B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B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B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B4B"/>
    <w:pPr>
      <w:numPr>
        <w:numId w:val="4"/>
      </w:numPr>
    </w:pPr>
  </w:style>
  <w:style w:type="paragraph" w:styleId="ListContinue2">
    <w:name w:val="List Continue 2"/>
    <w:basedOn w:val="List2"/>
    <w:rsid w:val="00E84B4B"/>
    <w:pPr>
      <w:ind w:firstLine="0"/>
    </w:pPr>
  </w:style>
  <w:style w:type="paragraph" w:styleId="ListContinue3">
    <w:name w:val="List Continue 3"/>
    <w:basedOn w:val="List3"/>
    <w:rsid w:val="00E84B4B"/>
    <w:pPr>
      <w:ind w:left="1021" w:firstLine="0"/>
    </w:pPr>
  </w:style>
  <w:style w:type="paragraph" w:styleId="ListContinue4">
    <w:name w:val="List Continue 4"/>
    <w:basedOn w:val="List4"/>
    <w:rsid w:val="00E84B4B"/>
    <w:pPr>
      <w:ind w:firstLine="0"/>
    </w:pPr>
  </w:style>
  <w:style w:type="paragraph" w:styleId="ListContinue5">
    <w:name w:val="List Continue 5"/>
    <w:basedOn w:val="List5"/>
    <w:rsid w:val="00E84B4B"/>
    <w:pPr>
      <w:ind w:firstLine="0"/>
    </w:pPr>
  </w:style>
  <w:style w:type="paragraph" w:styleId="ListNumber3">
    <w:name w:val="List Number 3"/>
    <w:basedOn w:val="List3"/>
    <w:rsid w:val="00E84B4B"/>
    <w:pPr>
      <w:numPr>
        <w:numId w:val="5"/>
      </w:numPr>
    </w:pPr>
  </w:style>
  <w:style w:type="paragraph" w:styleId="ListNumber4">
    <w:name w:val="List Number 4"/>
    <w:basedOn w:val="List4"/>
    <w:rsid w:val="00E84B4B"/>
    <w:pPr>
      <w:numPr>
        <w:numId w:val="6"/>
      </w:numPr>
    </w:pPr>
  </w:style>
  <w:style w:type="paragraph" w:styleId="ListNumber5">
    <w:name w:val="List Number 5"/>
    <w:basedOn w:val="List5"/>
    <w:rsid w:val="00E84B4B"/>
    <w:pPr>
      <w:numPr>
        <w:numId w:val="7"/>
      </w:numPr>
    </w:pPr>
  </w:style>
  <w:style w:type="paragraph" w:styleId="BlockText">
    <w:name w:val="Block Text"/>
    <w:basedOn w:val="Normal"/>
    <w:rsid w:val="00E84B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B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B4B"/>
    <w:rPr>
      <w:sz w:val="16"/>
      <w:vertAlign w:val="superscript"/>
    </w:rPr>
  </w:style>
  <w:style w:type="character" w:customStyle="1" w:styleId="Symbols">
    <w:name w:val="Symbols"/>
    <w:basedOn w:val="DefaultParagraphFont"/>
    <w:rsid w:val="00E84B4B"/>
    <w:rPr>
      <w:rFonts w:ascii="Symbol" w:hAnsi="Symbol"/>
    </w:rPr>
  </w:style>
  <w:style w:type="character" w:customStyle="1" w:styleId="MenuOptions">
    <w:name w:val="Menu Options"/>
    <w:basedOn w:val="DefaultParagraphFont"/>
    <w:rsid w:val="00E84B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B4B"/>
    <w:rPr>
      <w:b/>
    </w:rPr>
  </w:style>
  <w:style w:type="character" w:customStyle="1" w:styleId="Underlined">
    <w:name w:val="Underlined"/>
    <w:basedOn w:val="DefaultParagraphFont"/>
    <w:rsid w:val="00E84B4B"/>
    <w:rPr>
      <w:u w:val="single"/>
    </w:rPr>
  </w:style>
  <w:style w:type="paragraph" w:customStyle="1" w:styleId="TableBodyTextRight">
    <w:name w:val="Table Body Text Right"/>
    <w:basedOn w:val="TableBodyText"/>
    <w:rsid w:val="00E84B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B4B"/>
    <w:rPr>
      <w:sz w:val="18"/>
    </w:rPr>
  </w:style>
  <w:style w:type="paragraph" w:customStyle="1" w:styleId="BodySmallRight">
    <w:name w:val="Body Small Right"/>
    <w:basedOn w:val="BodyTextRight"/>
    <w:rsid w:val="00E84B4B"/>
    <w:rPr>
      <w:sz w:val="18"/>
      <w:szCs w:val="18"/>
    </w:rPr>
  </w:style>
  <w:style w:type="paragraph" w:customStyle="1" w:styleId="MarginEdition">
    <w:name w:val="Margin Edition"/>
    <w:basedOn w:val="MarginNote"/>
    <w:rsid w:val="00E84B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B4B"/>
    <w:rPr>
      <w:sz w:val="2"/>
      <w:szCs w:val="2"/>
    </w:rPr>
  </w:style>
  <w:style w:type="character" w:customStyle="1" w:styleId="Small">
    <w:name w:val="Small"/>
    <w:basedOn w:val="DefaultParagraphFont"/>
    <w:rsid w:val="00E84B4B"/>
    <w:rPr>
      <w:sz w:val="16"/>
    </w:rPr>
  </w:style>
  <w:style w:type="paragraph" w:customStyle="1" w:styleId="WideTable">
    <w:name w:val="Wide Table"/>
    <w:basedOn w:val="Normal"/>
    <w:rsid w:val="00E84B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B4B"/>
  </w:style>
  <w:style w:type="paragraph" w:styleId="Quote">
    <w:name w:val="Quote"/>
    <w:basedOn w:val="Heading1"/>
    <w:link w:val="QuoteChar"/>
    <w:qFormat/>
    <w:rsid w:val="00E84B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B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B4B"/>
    <w:pPr>
      <w:pageBreakBefore/>
    </w:pPr>
  </w:style>
  <w:style w:type="paragraph" w:customStyle="1" w:styleId="Border">
    <w:name w:val="Border"/>
    <w:basedOn w:val="Normal"/>
    <w:qFormat/>
    <w:rsid w:val="00E84B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B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B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B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B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B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B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B4B"/>
    <w:rPr>
      <w:u w:val="single"/>
    </w:rPr>
  </w:style>
  <w:style w:type="character" w:customStyle="1" w:styleId="BoldandItalics">
    <w:name w:val="Bold and Italics"/>
    <w:qFormat/>
    <w:rsid w:val="00E84B4B"/>
    <w:rPr>
      <w:b/>
      <w:i/>
      <w:u w:val="none"/>
    </w:rPr>
  </w:style>
  <w:style w:type="paragraph" w:styleId="BalloonText">
    <w:name w:val="Balloon Text"/>
    <w:basedOn w:val="Normal"/>
    <w:link w:val="BalloonTextChar"/>
    <w:rsid w:val="00E84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B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B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B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B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B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B4B"/>
    <w:pPr>
      <w:spacing w:before="0" w:after="0"/>
    </w:pPr>
  </w:style>
  <w:style w:type="paragraph" w:customStyle="1" w:styleId="BodyTextBold">
    <w:name w:val="Body Text Bold"/>
    <w:basedOn w:val="BodyText"/>
    <w:qFormat/>
    <w:rsid w:val="00E84B4B"/>
    <w:rPr>
      <w:b/>
    </w:rPr>
  </w:style>
  <w:style w:type="character" w:styleId="Hyperlink">
    <w:name w:val="Hyperlink"/>
    <w:basedOn w:val="DefaultParagraphFont"/>
    <w:uiPriority w:val="99"/>
    <w:unhideWhenUsed/>
    <w:rsid w:val="00321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2870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MEAAVI0038 Use electronic test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2022-11-22T01:13:00Z</dcterms:created>
  <dcterms:modified xsi:type="dcterms:W3CDTF">2022-11-22T01:13:00Z</dcterms:modified>
</cp:coreProperties>
</file>