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915" w:rsidP="00DF2915">
      <w:pPr>
        <w:pStyle w:val="Title"/>
      </w:pPr>
      <w:r>
        <w:fldChar w:fldCharType="begin"/>
      </w:r>
      <w:r>
        <w:instrText xml:space="preserve"> TITLE   \* MERGEFORMAT </w:instrText>
      </w:r>
      <w:r>
        <w:fldChar w:fldCharType="separate"/>
      </w:r>
      <w:r>
        <w:t>MEA729 Apply configuration management procedures in airworthiness engineering management</w:t>
      </w:r>
      <w:r>
        <w:fldChar w:fldCharType="end"/>
      </w:r>
    </w:p>
    <w:p w:rsidR="00DF2915" w:rsidP="00DF2915">
      <w:pPr>
        <w:pStyle w:val="Version"/>
        <w:sectPr w:rsidSect="00FB5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59A3" w:rsidP="00FB59A3">
      <w:pPr>
        <w:pStyle w:val="SuperHeading"/>
      </w:pPr>
      <w:r w:rsidRPr="00FB59A3">
        <w:t xml:space="preserve">MEA729 Apply </w:t>
      </w:r>
      <w:r w:rsidRPr="00FB59A3">
        <w:t>configuration management procedures in airworthiness engineering management</w:t>
      </w:r>
    </w:p>
    <w:p w:rsidR="00000000" w:rsidRPr="00FB59A3" w:rsidP="00FB59A3">
      <w:pPr>
        <w:pStyle w:val="Heading1"/>
      </w:pPr>
      <w:bookmarkStart w:id="1" w:name="O_961167"/>
      <w:bookmarkEnd w:id="1"/>
      <w:r w:rsidRPr="00FB59A3">
        <w:t>Modification History</w:t>
      </w:r>
    </w:p>
    <w:p w:rsidR="00000000" w:rsidRPr="00FB59A3" w:rsidP="00DF2915">
      <w:pPr>
        <w:pStyle w:val="BodyText"/>
      </w:pPr>
      <w:r w:rsidRPr="00FB59A3">
        <w:t>Release 2. Equivalent to MEA729 Apply configuration management procedures in airworthiness engineeri</w:t>
      </w:r>
      <w:r w:rsidRPr="00FB59A3">
        <w:t>ng management with amended prerequisite codes.</w:t>
      </w:r>
    </w:p>
    <w:p w:rsidR="00000000" w:rsidRPr="00FB59A3" w:rsidP="00FB59A3">
      <w:pPr>
        <w:pStyle w:val="Heading1"/>
      </w:pPr>
      <w:bookmarkStart w:id="2" w:name="O_961166"/>
      <w:bookmarkEnd w:id="2"/>
      <w:r w:rsidRPr="00FB59A3">
        <w:t>Application</w:t>
      </w:r>
    </w:p>
    <w:p w:rsidR="00000000" w:rsidRPr="00FB59A3" w:rsidP="00DF2915">
      <w:pPr>
        <w:pStyle w:val="BodyText"/>
      </w:pPr>
      <w:r w:rsidRPr="00FB59A3">
        <w:t>This unit of competency applies to engineering or related projects or operations across all forms of manufacturing and engineering. It is suitable for people with system design, in</w:t>
      </w:r>
      <w:r w:rsidRPr="00FB59A3">
        <w:t>stallation, commissioning and project or operational management responsibilities who are required to apply configuration management (CM) procedures during system design and/or during the life-cycle of a product. The procedures are used as the control mecha</w:t>
      </w:r>
      <w:r w:rsidRPr="00FB59A3">
        <w:t>nism during the application of the systems engineering design processes which may be used in the design of complex hardware and software products, both for initial design and then as an iterative process as the need for modifications are identified through</w:t>
      </w:r>
      <w:r w:rsidRPr="00FB59A3">
        <w:t>out the life-cycle of the product. The outputs of the CM process are configuration documentation that can be used for through-life management or for input of data to logistic management plans where integrated logistics support (ILS) is mandated as the thro</w:t>
      </w:r>
      <w:r w:rsidRPr="00FB59A3">
        <w:t xml:space="preserve">ugh-life management system. </w:t>
      </w:r>
    </w:p>
    <w:p w:rsidR="00000000" w:rsidRPr="00FB59A3" w:rsidP="00DF2915">
      <w:pPr>
        <w:pStyle w:val="BodyText"/>
      </w:pPr>
      <w:r w:rsidRPr="00FB59A3">
        <w:t>This unit is used in workplaces that operate under the airworthiness regulatory systems of the Australian Defence Force (ADF) and the Civil Aviation Safety Authority (CASA).</w:t>
      </w:r>
    </w:p>
    <w:p w:rsidR="00000000" w:rsidRPr="00FB59A3" w:rsidP="00FB59A3">
      <w:pPr>
        <w:pStyle w:val="Heading1"/>
      </w:pPr>
      <w:bookmarkStart w:id="3" w:name="O_961165"/>
      <w:bookmarkEnd w:id="3"/>
      <w:r w:rsidRPr="00FB59A3">
        <w:t>Pre-requisite Unit</w:t>
      </w:r>
    </w:p>
    <w:tbl>
      <w:tblPr>
        <w:tblW w:w="0" w:type="auto"/>
        <w:tblLayout w:type="fixed"/>
        <w:tblCellMar>
          <w:left w:w="62" w:type="dxa"/>
          <w:right w:w="62" w:type="dxa"/>
        </w:tblCellMar>
        <w:tblLook w:val="0000"/>
      </w:tblPr>
      <w:tblGrid>
        <w:gridCol w:w="1566"/>
        <w:gridCol w:w="6274"/>
      </w:tblGrid>
      <w:tr w:rsidTr="00FB59A3">
        <w:tblPrEx>
          <w:tblW w:w="0" w:type="auto"/>
          <w:tblLayout w:type="fixed"/>
          <w:tblCellMar>
            <w:left w:w="62" w:type="dxa"/>
            <w:right w:w="62" w:type="dxa"/>
          </w:tblCellMar>
          <w:tblLook w:val="0000"/>
        </w:tblPrEx>
        <w:tc>
          <w:tcPr>
            <w:tcW w:w="1566"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MEA135</w:t>
            </w:r>
          </w:p>
        </w:tc>
        <w:tc>
          <w:tcPr>
            <w:tcW w:w="627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Use compu</w:t>
            </w:r>
            <w:r w:rsidRPr="00FB59A3">
              <w:t>ters in aviation maintenance-related integrated logistic support activities</w:t>
            </w:r>
          </w:p>
        </w:tc>
      </w:tr>
      <w:tr w:rsidTr="00FB59A3">
        <w:tblPrEx>
          <w:tblW w:w="0" w:type="auto"/>
          <w:tblLayout w:type="fixed"/>
          <w:tblCellMar>
            <w:left w:w="62" w:type="dxa"/>
            <w:right w:w="62" w:type="dxa"/>
          </w:tblCellMar>
          <w:tblLook w:val="0000"/>
        </w:tblPrEx>
        <w:tc>
          <w:tcPr>
            <w:tcW w:w="1566"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MEA163</w:t>
            </w:r>
          </w:p>
        </w:tc>
        <w:tc>
          <w:tcPr>
            <w:tcW w:w="6274" w:type="dxa"/>
            <w:tcBorders>
              <w:top w:val="nil"/>
              <w:left w:val="nil"/>
              <w:bottom w:val="nil"/>
              <w:right w:val="nil"/>
            </w:tcBorders>
            <w:tcMar>
              <w:top w:w="0" w:type="dxa"/>
              <w:left w:w="62" w:type="dxa"/>
              <w:bottom w:w="0" w:type="dxa"/>
              <w:right w:w="62" w:type="dxa"/>
            </w:tcMar>
          </w:tcPr>
          <w:p w:rsidR="00000000" w:rsidRPr="00FB59A3" w:rsidP="00FB59A3">
            <w:pPr>
              <w:pStyle w:val="BodyText"/>
            </w:pPr>
            <w:r w:rsidRPr="00FB59A3">
              <w:t>Perform aviation technical publication management activities</w:t>
            </w:r>
          </w:p>
        </w:tc>
      </w:tr>
    </w:tbl>
    <w:p w:rsidR="00000000" w:rsidRPr="00FB59A3" w:rsidP="00FB59A3">
      <w:pPr>
        <w:pStyle w:val="BodyText"/>
      </w:pPr>
    </w:p>
    <w:p w:rsidR="00000000" w:rsidRPr="00FB59A3" w:rsidP="00FB59A3">
      <w:pPr>
        <w:pStyle w:val="AllowPageBreak"/>
      </w:pPr>
    </w:p>
    <w:p w:rsidR="00000000" w:rsidRPr="00FB59A3" w:rsidP="00FB59A3">
      <w:pPr>
        <w:pStyle w:val="Heading1"/>
      </w:pPr>
      <w:bookmarkStart w:id="4" w:name="O_961164"/>
      <w:bookmarkEnd w:id="4"/>
      <w:r w:rsidRPr="00FB59A3">
        <w:t>Competency Field</w:t>
      </w:r>
    </w:p>
    <w:p w:rsidR="00000000" w:rsidRPr="00FB59A3" w:rsidP="00DF2915">
      <w:pPr>
        <w:pStyle w:val="BodyText"/>
      </w:pPr>
      <w:r w:rsidRPr="00FB59A3">
        <w:t>Airworthiness engineering management</w:t>
      </w:r>
    </w:p>
    <w:p w:rsidR="00000000" w:rsidRPr="00FB59A3" w:rsidP="00FB59A3">
      <w:pPr>
        <w:pStyle w:val="Heading1"/>
      </w:pPr>
      <w:bookmarkStart w:id="5" w:name="O_961163"/>
      <w:bookmarkEnd w:id="5"/>
      <w:r w:rsidRPr="00FB59A3">
        <w:t>Unit Sector</w:t>
      </w:r>
    </w:p>
    <w:p w:rsidR="00000000" w:rsidRPr="00FB59A3" w:rsidP="00FB59A3">
      <w:pPr>
        <w:pStyle w:val="Heading1"/>
      </w:pPr>
      <w:bookmarkStart w:id="6" w:name="O_961162"/>
      <w:bookmarkEnd w:id="6"/>
      <w:r w:rsidRPr="00FB59A3">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FB59A3">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 xml:space="preserve">Elements describe the </w:t>
            </w:r>
            <w:r w:rsidRPr="00FB59A3">
              <w:t>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 xml:space="preserve">Performance criteria describe the performance needed to </w:t>
            </w:r>
            <w:r w:rsidRPr="00FB59A3">
              <w:t xml:space="preserve">demonstrate achievement of the element. </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1.</w:t>
            </w:r>
          </w:p>
        </w:tc>
        <w:tc>
          <w:tcPr>
            <w:tcW w:w="2295"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Plan CM activities</w:t>
            </w: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1.1</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 xml:space="preserve">Identify the context and environment in which </w:t>
            </w:r>
            <w:r w:rsidRPr="00FB59A3">
              <w:t>CM is to be applied</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1.2</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Identify any contractual requirements and specifications for the application of CM procedures to through-life management of product configuration, including the relationship with logistics management systems, such as ILS</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1.3</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Document the required CM activities</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2.</w:t>
            </w:r>
          </w:p>
        </w:tc>
        <w:tc>
          <w:tcPr>
            <w:tcW w:w="2295"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Develop CM plan</w:t>
            </w: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2.1</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Describe how CM is to be accomplished</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2.2</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Specify how consistency between the product definition, configuration and the CM records is to be achieved and maintained throughout the applicable pha</w:t>
            </w:r>
            <w:r w:rsidRPr="00FB59A3">
              <w:t>ses of the product’s life-cycle</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2.3</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Identify and specify performance indicators for assessing the effectiveness of the plan in terms of implementation and performance of the CM discipline</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3.</w:t>
            </w:r>
          </w:p>
        </w:tc>
        <w:tc>
          <w:tcPr>
            <w:tcW w:w="2295"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Specify and set up CM documentation</w:t>
            </w: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3.1</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Identify records required to effectively implement CM within the identified product context and environment, regulatory requirements and CM plan</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3.2</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Select documentation media and develop documentation templates</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3.3</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Specify a document version control</w:t>
            </w:r>
            <w:r w:rsidRPr="00FB59A3">
              <w:t xml:space="preserve"> system</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3.4</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Determine and specify protocols for documentation safeguarding and access</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4.</w:t>
            </w:r>
          </w:p>
        </w:tc>
        <w:tc>
          <w:tcPr>
            <w:tcW w:w="2295"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Establish and control CM baseline</w:t>
            </w: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4.1</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Establish product CM baseline in relation to the systems engineering or other design process</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4.2</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Revise CM baseline at applicable stages of product development, production and engineering changes in accordance with the CM plan</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4.3</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Establish and review documentation baselines in line with the requirements of the CM plan and with changes in the produ</w:t>
            </w:r>
            <w:r w:rsidRPr="00FB59A3">
              <w:t>ct CM baseline</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5.</w:t>
            </w:r>
          </w:p>
        </w:tc>
        <w:tc>
          <w:tcPr>
            <w:tcW w:w="2295"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Implement CM processes</w:t>
            </w: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5.1</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 xml:space="preserve">Develop and deliver training to responsible individuals covering roles and responsibilities and </w:t>
            </w:r>
            <w:r w:rsidRPr="00FB59A3">
              <w:t>the procedures for implementing CM processes as defined in the CM plan</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5.2</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Measure performance against the perf</w:t>
            </w:r>
            <w:r w:rsidRPr="00FB59A3">
              <w:t>ormance indicators in the CM plan and assess measurements/trends to identify possible process improvements</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6.</w:t>
            </w:r>
          </w:p>
        </w:tc>
        <w:tc>
          <w:tcPr>
            <w:tcW w:w="2295"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Perform configuration status accounting</w:t>
            </w: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6.1</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Develop and populate a database with information relating to the configuration of products classified as configuration items</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6.2</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Develop and promulgate procedures to update and validate the database whenever there is a configuration change throughout pr</w:t>
            </w:r>
            <w:r w:rsidRPr="00FB59A3">
              <w:t>oduct life-cycle</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6.3</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Disseminate data in accordance with the CM plan and standard enterprise procedures</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7.</w:t>
            </w:r>
          </w:p>
        </w:tc>
        <w:tc>
          <w:tcPr>
            <w:tcW w:w="2295"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Participate in configuration audits</w:t>
            </w: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7.1</w:t>
            </w:r>
          </w:p>
        </w:tc>
        <w:tc>
          <w:tcPr>
            <w:tcW w:w="527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Participate in configuration audits where required by the applicable CM standard and the CM plan</w:t>
            </w:r>
          </w:p>
        </w:tc>
      </w:tr>
      <w:tr w:rsidTr="00FB59A3">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7.2</w:t>
            </w:r>
          </w:p>
        </w:tc>
        <w:tc>
          <w:tcPr>
            <w:tcW w:w="5270" w:type="dxa"/>
            <w:tcBorders>
              <w:top w:val="nil"/>
              <w:left w:val="nil"/>
              <w:bottom w:val="nil"/>
              <w:right w:val="nil"/>
            </w:tcBorders>
            <w:tcMar>
              <w:top w:w="0" w:type="dxa"/>
              <w:left w:w="62" w:type="dxa"/>
              <w:bottom w:w="0" w:type="dxa"/>
              <w:right w:w="62" w:type="dxa"/>
            </w:tcMar>
          </w:tcPr>
          <w:p w:rsidR="00000000" w:rsidRPr="00FB59A3" w:rsidP="00FB59A3">
            <w:pPr>
              <w:pStyle w:val="BodyText"/>
            </w:pPr>
            <w:r w:rsidRPr="00FB59A3">
              <w:t>Initiate action to correct deficiencies identified during audits</w:t>
            </w:r>
          </w:p>
        </w:tc>
      </w:tr>
    </w:tbl>
    <w:p w:rsidR="00000000" w:rsidRPr="00FB59A3" w:rsidP="00FB59A3">
      <w:pPr>
        <w:pStyle w:val="BodyText"/>
      </w:pPr>
    </w:p>
    <w:p w:rsidR="00000000" w:rsidRPr="00FB59A3" w:rsidP="00FB59A3">
      <w:pPr>
        <w:pStyle w:val="AllowPageBreak"/>
      </w:pPr>
    </w:p>
    <w:p w:rsidR="00000000" w:rsidRPr="00FB59A3" w:rsidP="00FB59A3">
      <w:pPr>
        <w:pStyle w:val="Heading1"/>
      </w:pPr>
      <w:bookmarkStart w:id="7" w:name="O_961161"/>
      <w:bookmarkEnd w:id="7"/>
      <w:r w:rsidRPr="00FB59A3">
        <w:t>Foundation Skills</w:t>
      </w:r>
    </w:p>
    <w:p w:rsidR="00000000" w:rsidRPr="00FB59A3" w:rsidP="00DF2915">
      <w:pPr>
        <w:pStyle w:val="BodyText"/>
      </w:pPr>
      <w:r w:rsidRPr="00FB59A3">
        <w:t>Foundation skills essential to performance are explicit in the performance criteria of this unit of competency.</w:t>
      </w:r>
    </w:p>
    <w:p w:rsidR="00000000" w:rsidRPr="00FB59A3" w:rsidP="00FB59A3">
      <w:pPr>
        <w:pStyle w:val="Heading1"/>
      </w:pPr>
      <w:bookmarkStart w:id="8" w:name="O_961160"/>
      <w:bookmarkEnd w:id="8"/>
      <w:r w:rsidRPr="00FB59A3">
        <w:t>Range of Conditions</w:t>
      </w:r>
    </w:p>
    <w:tbl>
      <w:tblPr>
        <w:tblW w:w="0" w:type="auto"/>
        <w:tblLayout w:type="fixed"/>
        <w:tblCellMar>
          <w:left w:w="62" w:type="dxa"/>
          <w:right w:w="62" w:type="dxa"/>
        </w:tblCellMar>
        <w:tblLook w:val="0000"/>
      </w:tblPr>
      <w:tblGrid>
        <w:gridCol w:w="3060"/>
        <w:gridCol w:w="6012"/>
      </w:tblGrid>
      <w:tr w:rsidTr="00FB59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t xml:space="preserve">This </w:t>
            </w:r>
            <w:r w:rsidRPr="00FB59A3">
              <w:t>field allows for different work environments and conditions that may affect performance. Essential operating conditions that may be present (depending on the work situation, needs of the candidate, accessibility of the item, and local industry and regional</w:t>
            </w:r>
            <w:r w:rsidRPr="00FB59A3">
              <w:t xml:space="preserve"> contexts) are included.</w:t>
            </w:r>
          </w:p>
        </w:tc>
      </w:tr>
      <w:tr w:rsidTr="00FB59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rPr>
                <w:rStyle w:val="SpecialBold"/>
              </w:rPr>
              <w:t>CM context and environment include:</w:t>
            </w:r>
          </w:p>
        </w:tc>
        <w:tc>
          <w:tcPr>
            <w:tcW w:w="6012" w:type="dxa"/>
            <w:tcBorders>
              <w:top w:val="nil"/>
              <w:left w:val="nil"/>
              <w:bottom w:val="nil"/>
              <w:right w:val="nil"/>
            </w:tcBorders>
            <w:tcMar>
              <w:top w:w="0" w:type="dxa"/>
              <w:left w:w="62" w:type="dxa"/>
              <w:bottom w:w="0" w:type="dxa"/>
              <w:right w:w="62" w:type="dxa"/>
            </w:tcMar>
          </w:tcPr>
          <w:p w:rsidR="00000000" w:rsidRPr="00FB59A3" w:rsidP="00FB59A3">
            <w:pPr>
              <w:pStyle w:val="ListBullet"/>
            </w:pPr>
            <w:r w:rsidRPr="00FB59A3">
              <w:t>The nature of the products, such as hardware and/or software, complete systems and system components or subsystems</w:t>
            </w:r>
          </w:p>
          <w:p w:rsidR="00000000" w:rsidRPr="00FB59A3" w:rsidP="00FB59A3">
            <w:pPr>
              <w:pStyle w:val="ListBullet"/>
            </w:pPr>
            <w:r w:rsidRPr="00FB59A3">
              <w:t>Whether or not CM must extend to subcontractors and/or vendors</w:t>
            </w:r>
          </w:p>
          <w:p w:rsidR="00000000" w:rsidRPr="00FB59A3" w:rsidP="00FB59A3">
            <w:pPr>
              <w:pStyle w:val="ListBullet"/>
            </w:pPr>
            <w:r w:rsidRPr="00FB59A3">
              <w:t>Specific CM value adding functions and level of emphasis</w:t>
            </w:r>
          </w:p>
          <w:p w:rsidR="00000000" w:rsidRPr="00FB59A3" w:rsidP="00FB59A3">
            <w:pPr>
              <w:pStyle w:val="ListBullet"/>
            </w:pPr>
            <w:r w:rsidRPr="00FB59A3">
              <w:t>Contractual CM requirements, including specification of a CM standard to be applied</w:t>
            </w:r>
          </w:p>
          <w:p w:rsidR="00000000" w:rsidP="00FB59A3">
            <w:pPr>
              <w:pStyle w:val="ListBullet"/>
              <w:rPr>
                <w:lang w:val="en-NZ"/>
              </w:rPr>
            </w:pPr>
            <w:r w:rsidRPr="00FB59A3">
              <w:t>Airworthiness regulatory requirements</w:t>
            </w:r>
          </w:p>
        </w:tc>
      </w:tr>
      <w:tr w:rsidTr="00FB59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rPr>
                <w:rStyle w:val="SpecialBold"/>
              </w:rPr>
              <w:t>Use of CM data in logistic management system activities includes:</w:t>
            </w:r>
          </w:p>
        </w:tc>
        <w:tc>
          <w:tcPr>
            <w:tcW w:w="6012" w:type="dxa"/>
            <w:tcBorders>
              <w:top w:val="nil"/>
              <w:left w:val="nil"/>
              <w:bottom w:val="nil"/>
              <w:right w:val="nil"/>
            </w:tcBorders>
            <w:tcMar>
              <w:top w:w="0" w:type="dxa"/>
              <w:left w:w="62" w:type="dxa"/>
              <w:bottom w:w="0" w:type="dxa"/>
              <w:right w:w="62" w:type="dxa"/>
            </w:tcMar>
          </w:tcPr>
          <w:p w:rsidR="00000000" w:rsidRPr="00FB59A3" w:rsidP="00FB59A3">
            <w:pPr>
              <w:pStyle w:val="ListBullet"/>
            </w:pPr>
            <w:r w:rsidRPr="00FB59A3">
              <w:t>Reliabili</w:t>
            </w:r>
            <w:r w:rsidRPr="00FB59A3">
              <w:t>ty and maintainability engineering</w:t>
            </w:r>
          </w:p>
          <w:p w:rsidR="00000000" w:rsidRPr="00FB59A3" w:rsidP="00FB59A3">
            <w:pPr>
              <w:pStyle w:val="ListBullet"/>
            </w:pPr>
            <w:r w:rsidRPr="00FB59A3">
              <w:t>Maintenance planning</w:t>
            </w:r>
          </w:p>
          <w:p w:rsidR="00000000" w:rsidRPr="00FB59A3" w:rsidP="00FB59A3">
            <w:pPr>
              <w:pStyle w:val="ListBullet"/>
            </w:pPr>
            <w:r w:rsidRPr="00FB59A3">
              <w:t>Life-cycle costing</w:t>
            </w:r>
          </w:p>
          <w:p w:rsidR="00000000" w:rsidRPr="00FB59A3" w:rsidP="00FB59A3">
            <w:pPr>
              <w:pStyle w:val="ListBullet"/>
            </w:pPr>
            <w:r w:rsidRPr="00FB59A3">
              <w:t>Spares support requirements</w:t>
            </w:r>
          </w:p>
          <w:p w:rsidR="00000000" w:rsidRPr="00FB59A3" w:rsidP="00FB59A3">
            <w:pPr>
              <w:pStyle w:val="ListBullet"/>
            </w:pPr>
            <w:r w:rsidRPr="00FB59A3">
              <w:t>Technical data and publications</w:t>
            </w:r>
          </w:p>
          <w:p w:rsidR="00000000" w:rsidRPr="00FB59A3" w:rsidP="00FB59A3">
            <w:pPr>
              <w:pStyle w:val="ListBullet"/>
            </w:pPr>
            <w:r w:rsidRPr="00FB59A3">
              <w:t>Support and test equipment identification</w:t>
            </w:r>
          </w:p>
          <w:p w:rsidR="00000000" w:rsidRPr="00FB59A3" w:rsidP="00FB59A3">
            <w:pPr>
              <w:pStyle w:val="ListBullet"/>
            </w:pPr>
            <w:r w:rsidRPr="00FB59A3">
              <w:t>Determining facilities requirements</w:t>
            </w:r>
          </w:p>
          <w:p w:rsidR="00000000" w:rsidP="00FB59A3">
            <w:pPr>
              <w:pStyle w:val="ListBullet"/>
              <w:rPr>
                <w:lang w:val="en-NZ"/>
              </w:rPr>
            </w:pPr>
            <w:r w:rsidRPr="00FB59A3">
              <w:t>Determining personnel training requirements</w:t>
            </w:r>
          </w:p>
        </w:tc>
      </w:tr>
      <w:tr w:rsidTr="00FB59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rPr>
                <w:rStyle w:val="SpecialBold"/>
              </w:rPr>
              <w:t>CM plan includes:</w:t>
            </w:r>
          </w:p>
        </w:tc>
        <w:tc>
          <w:tcPr>
            <w:tcW w:w="6012" w:type="dxa"/>
            <w:tcBorders>
              <w:top w:val="nil"/>
              <w:left w:val="nil"/>
              <w:bottom w:val="nil"/>
              <w:right w:val="nil"/>
            </w:tcBorders>
            <w:tcMar>
              <w:top w:w="0" w:type="dxa"/>
              <w:left w:w="62" w:type="dxa"/>
              <w:bottom w:w="0" w:type="dxa"/>
              <w:right w:w="62" w:type="dxa"/>
            </w:tcMar>
          </w:tcPr>
          <w:p w:rsidR="00000000" w:rsidRPr="00FB59A3" w:rsidP="00FB59A3">
            <w:pPr>
              <w:pStyle w:val="ListBullet"/>
            </w:pPr>
            <w:r w:rsidRPr="00FB59A3">
              <w:t xml:space="preserve">Brief description of system or top level configuration item (CI) and of the lower level CI’s covered by the plan </w:t>
            </w:r>
          </w:p>
          <w:p w:rsidR="00000000" w:rsidRPr="00FB59A3" w:rsidP="00FB59A3">
            <w:pPr>
              <w:pStyle w:val="ListBullet"/>
            </w:pPr>
            <w:r w:rsidRPr="00FB59A3">
              <w:t>List of reference documents (specifications, standards, manuals, etc)</w:t>
            </w:r>
          </w:p>
          <w:p w:rsidR="00000000" w:rsidRPr="00FB59A3" w:rsidP="00FB59A3">
            <w:pPr>
              <w:pStyle w:val="ListBullet"/>
            </w:pPr>
            <w:r w:rsidRPr="00FB59A3">
              <w:t>CM organisation and responsibilities</w:t>
            </w:r>
          </w:p>
          <w:p w:rsidR="00000000" w:rsidRPr="00FB59A3" w:rsidP="00FB59A3">
            <w:pPr>
              <w:pStyle w:val="ListBullet"/>
            </w:pPr>
            <w:r w:rsidRPr="00FB59A3">
              <w:t>CM phasing and milestones</w:t>
            </w:r>
          </w:p>
          <w:p w:rsidR="00000000" w:rsidRPr="00FB59A3" w:rsidP="00FB59A3">
            <w:pPr>
              <w:pStyle w:val="ListBullet"/>
            </w:pPr>
            <w:r w:rsidRPr="00FB59A3">
              <w:t>Data management</w:t>
            </w:r>
          </w:p>
          <w:p w:rsidR="00000000" w:rsidRPr="00FB59A3" w:rsidP="00FB59A3">
            <w:pPr>
              <w:pStyle w:val="ListBullet"/>
            </w:pPr>
            <w:r w:rsidRPr="00FB59A3">
              <w:t>Configuration identification, including selection of CI’s, baseline establishment, configuration identifiers for hardware and for software</w:t>
            </w:r>
          </w:p>
          <w:p w:rsidR="00000000" w:rsidRPr="00FB59A3" w:rsidP="00FB59A3">
            <w:pPr>
              <w:pStyle w:val="ListBullet"/>
            </w:pPr>
            <w:r w:rsidRPr="00FB59A3">
              <w:t>Interface management</w:t>
            </w:r>
          </w:p>
          <w:p w:rsidR="00000000" w:rsidRPr="00FB59A3" w:rsidP="00FB59A3">
            <w:pPr>
              <w:pStyle w:val="ListBullet"/>
            </w:pPr>
            <w:r w:rsidRPr="00FB59A3">
              <w:t>Performance indicators</w:t>
            </w:r>
          </w:p>
          <w:p w:rsidR="00000000" w:rsidRPr="00FB59A3" w:rsidP="00FB59A3">
            <w:pPr>
              <w:pStyle w:val="ListBullet"/>
            </w:pPr>
            <w:r w:rsidRPr="00FB59A3">
              <w:t>Configuration control procedure</w:t>
            </w:r>
            <w:r w:rsidRPr="00FB59A3">
              <w:t>s</w:t>
            </w:r>
          </w:p>
          <w:p w:rsidR="00000000" w:rsidRPr="00FB59A3" w:rsidP="00FB59A3">
            <w:pPr>
              <w:pStyle w:val="ListBullet"/>
            </w:pPr>
            <w:r w:rsidRPr="00FB59A3">
              <w:t>Configuration status accounting procedures</w:t>
            </w:r>
          </w:p>
          <w:p w:rsidR="00000000" w:rsidRPr="00FB59A3" w:rsidP="00FB59A3">
            <w:pPr>
              <w:pStyle w:val="ListBullet"/>
            </w:pPr>
            <w:r w:rsidRPr="00FB59A3">
              <w:t>Configuration audit procedures</w:t>
            </w:r>
          </w:p>
          <w:p w:rsidR="00000000" w:rsidP="00FB59A3">
            <w:pPr>
              <w:pStyle w:val="ListBullet"/>
              <w:rPr>
                <w:lang w:val="en-NZ"/>
              </w:rPr>
            </w:pPr>
            <w:r w:rsidRPr="00FB59A3">
              <w:t>Subcontractor/vendor control procedures</w:t>
            </w:r>
          </w:p>
        </w:tc>
      </w:tr>
      <w:tr w:rsidTr="00FB59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rPr>
                <w:rStyle w:val="SpecialBold"/>
              </w:rPr>
              <w:t>Systems engineering interface refers to:</w:t>
            </w:r>
          </w:p>
        </w:tc>
        <w:tc>
          <w:tcPr>
            <w:tcW w:w="6012" w:type="dxa"/>
            <w:tcBorders>
              <w:top w:val="nil"/>
              <w:left w:val="nil"/>
              <w:bottom w:val="nil"/>
              <w:right w:val="nil"/>
            </w:tcBorders>
            <w:tcMar>
              <w:top w:w="0" w:type="dxa"/>
              <w:left w:w="62" w:type="dxa"/>
              <w:bottom w:w="0" w:type="dxa"/>
              <w:right w:w="62" w:type="dxa"/>
            </w:tcMar>
          </w:tcPr>
          <w:p w:rsidR="00000000" w:rsidP="00FB59A3">
            <w:pPr>
              <w:pStyle w:val="ListBullet"/>
              <w:rPr>
                <w:lang w:val="en-NZ"/>
              </w:rPr>
            </w:pPr>
            <w:r w:rsidRPr="00FB59A3">
              <w:t>Systems engineering processes result in the output of technical information that is controlled th</w:t>
            </w:r>
            <w:r w:rsidRPr="00FB59A3">
              <w:t>rough the CM process. Through the service life of the product the CM process identifies the need for modifications and the systems engineering process is used to design and develop the modifications which then result in changes to the CM baseline and docum</w:t>
            </w:r>
            <w:r w:rsidRPr="00FB59A3">
              <w:t>entation which may then also feed into logistic support plan updates</w:t>
            </w:r>
          </w:p>
        </w:tc>
      </w:tr>
      <w:tr w:rsidTr="00FB59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rPr>
                <w:rStyle w:val="SpecialBold"/>
              </w:rPr>
              <w:t>CM standards and references include:</w:t>
            </w:r>
          </w:p>
        </w:tc>
        <w:tc>
          <w:tcPr>
            <w:tcW w:w="6012" w:type="dxa"/>
            <w:tcBorders>
              <w:top w:val="nil"/>
              <w:left w:val="nil"/>
              <w:bottom w:val="nil"/>
              <w:right w:val="nil"/>
            </w:tcBorders>
            <w:tcMar>
              <w:top w:w="0" w:type="dxa"/>
              <w:left w:w="62" w:type="dxa"/>
              <w:bottom w:w="0" w:type="dxa"/>
              <w:right w:w="62" w:type="dxa"/>
            </w:tcMar>
          </w:tcPr>
          <w:p w:rsidR="00000000" w:rsidRPr="00FB59A3" w:rsidP="00FB59A3">
            <w:pPr>
              <w:pStyle w:val="ListBullet"/>
            </w:pPr>
            <w:r w:rsidRPr="00FB59A3">
              <w:t>EIA-649-A 2004 National Consensus Standard for Configuration Management</w:t>
            </w:r>
          </w:p>
          <w:p w:rsidR="00000000" w:rsidRPr="00FB59A3" w:rsidP="00FB59A3">
            <w:pPr>
              <w:pStyle w:val="ListBullet"/>
            </w:pPr>
            <w:r w:rsidRPr="00FB59A3">
              <w:t>GEIA Standard 836-2002 Configuration Management Data Exchange and Interoperability</w:t>
            </w:r>
          </w:p>
          <w:p w:rsidR="00000000" w:rsidRPr="00FB59A3" w:rsidP="00FB59A3">
            <w:pPr>
              <w:pStyle w:val="ListBullet"/>
            </w:pPr>
            <w:r w:rsidRPr="00FB59A3">
              <w:t>IEEE Standard 828-1998 IEEE Standard for Software Configuration Management Plans</w:t>
            </w:r>
          </w:p>
          <w:p w:rsidR="00000000" w:rsidRPr="00FB59A3" w:rsidP="00FB59A3">
            <w:pPr>
              <w:pStyle w:val="ListBullet"/>
            </w:pPr>
            <w:r w:rsidRPr="00FB59A3">
              <w:t>MIL-STD-973 Configuration Management</w:t>
            </w:r>
          </w:p>
          <w:p w:rsidR="00000000" w:rsidRPr="00FB59A3" w:rsidP="00FB59A3">
            <w:pPr>
              <w:pStyle w:val="ListBullet"/>
            </w:pPr>
            <w:r w:rsidRPr="00FB59A3">
              <w:t>STANAG 4159 NATO Materiel Configuration Management Poli</w:t>
            </w:r>
            <w:r w:rsidRPr="00FB59A3">
              <w:t>cy and Procedures for Multinational Joint Projects</w:t>
            </w:r>
          </w:p>
          <w:p w:rsidR="00000000" w:rsidRPr="00FB59A3" w:rsidP="00FB59A3">
            <w:pPr>
              <w:pStyle w:val="ListBullet"/>
            </w:pPr>
            <w:r w:rsidRPr="00FB59A3">
              <w:t>STANAG 4427Introduction of Allied Configuration Management Publications</w:t>
            </w:r>
          </w:p>
          <w:p w:rsidR="00000000" w:rsidRPr="00FB59A3" w:rsidP="00FB59A3">
            <w:pPr>
              <w:pStyle w:val="ListBullet"/>
            </w:pPr>
            <w:r w:rsidRPr="00FB59A3">
              <w:t>IEEE Standard 1042-1987 IEEE Guide to Software Configuration Management</w:t>
            </w:r>
          </w:p>
          <w:p w:rsidR="00000000" w:rsidRPr="00FB59A3" w:rsidP="00FB59A3">
            <w:pPr>
              <w:pStyle w:val="ListBullet"/>
            </w:pPr>
            <w:r w:rsidRPr="00FB59A3">
              <w:t>MIL-HDBK-61A Configuration Management Guidance</w:t>
            </w:r>
          </w:p>
          <w:p w:rsidR="00000000" w:rsidRPr="00FB59A3" w:rsidP="00FB59A3">
            <w:pPr>
              <w:pStyle w:val="ListBullet"/>
            </w:pPr>
            <w:r w:rsidRPr="00FB59A3">
              <w:t xml:space="preserve">10007 Quality </w:t>
            </w:r>
            <w:r w:rsidRPr="00FB59A3">
              <w:t>management – Guidelines for configuration management</w:t>
            </w:r>
          </w:p>
          <w:p w:rsidR="00000000" w:rsidRPr="00FB59A3" w:rsidP="00FB59A3">
            <w:pPr>
              <w:pStyle w:val="ListBullet"/>
            </w:pPr>
            <w:r w:rsidRPr="00FB59A3">
              <w:t>GEIA-HB-649 Implementation Guide for Configuration Management</w:t>
            </w:r>
          </w:p>
          <w:p w:rsidR="00000000" w:rsidRPr="00FB59A3" w:rsidP="00FB59A3">
            <w:pPr>
              <w:pStyle w:val="ListBullet"/>
            </w:pPr>
            <w:r w:rsidRPr="00FB59A3">
              <w:t>EIA-836 Consensus Standard for Configuration Management Data Exchange and Interoperability</w:t>
            </w:r>
          </w:p>
          <w:p w:rsidR="00000000" w:rsidP="00FB59A3">
            <w:pPr>
              <w:pStyle w:val="ListBullet"/>
              <w:rPr>
                <w:lang w:val="en-NZ"/>
              </w:rPr>
            </w:pPr>
            <w:r w:rsidRPr="00FB59A3">
              <w:t>ANSI/EIA-632-1998 Processes for Engineering a Syst</w:t>
            </w:r>
            <w:r w:rsidRPr="00FB59A3">
              <w:t>em</w:t>
            </w:r>
          </w:p>
        </w:tc>
      </w:tr>
      <w:tr w:rsidTr="00FB59A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B59A3">
            <w:pPr>
              <w:pStyle w:val="BodyText"/>
              <w:rPr>
                <w:lang w:val="en-NZ"/>
              </w:rPr>
            </w:pPr>
            <w:r w:rsidRPr="00FB59A3">
              <w:rPr>
                <w:rStyle w:val="SpecialBold"/>
              </w:rPr>
              <w:t>Airworthiness regulations are found in:</w:t>
            </w:r>
          </w:p>
        </w:tc>
        <w:tc>
          <w:tcPr>
            <w:tcW w:w="6012" w:type="dxa"/>
            <w:tcBorders>
              <w:top w:val="nil"/>
              <w:left w:val="nil"/>
              <w:bottom w:val="nil"/>
              <w:right w:val="nil"/>
            </w:tcBorders>
            <w:tcMar>
              <w:top w:w="0" w:type="dxa"/>
              <w:left w:w="62" w:type="dxa"/>
              <w:bottom w:w="0" w:type="dxa"/>
              <w:right w:w="62" w:type="dxa"/>
            </w:tcMar>
          </w:tcPr>
          <w:p w:rsidR="00000000" w:rsidRPr="00FB59A3" w:rsidP="00FB59A3">
            <w:pPr>
              <w:pStyle w:val="ListBullet"/>
            </w:pPr>
            <w:r w:rsidRPr="00FB59A3">
              <w:t>AAP7001.053 Technical Airworthiness Management Manual</w:t>
            </w:r>
          </w:p>
          <w:p w:rsidR="00000000" w:rsidRPr="00FB59A3" w:rsidP="00FB59A3">
            <w:pPr>
              <w:pStyle w:val="ListBullet"/>
            </w:pPr>
            <w:r w:rsidRPr="00FB59A3">
              <w:t>Civil Aviation Safety Regulations (CASRs) and related documentation/publications</w:t>
            </w:r>
          </w:p>
        </w:tc>
      </w:tr>
    </w:tbl>
    <w:p w:rsidR="00000000" w:rsidRPr="00FB59A3" w:rsidP="00FB59A3">
      <w:pPr>
        <w:pStyle w:val="BodyText"/>
      </w:pPr>
    </w:p>
    <w:p w:rsidR="00000000" w:rsidRPr="00FB59A3" w:rsidP="00FB59A3">
      <w:pPr>
        <w:pStyle w:val="AllowPageBreak"/>
      </w:pPr>
    </w:p>
    <w:p w:rsidR="00000000" w:rsidRPr="00FB59A3" w:rsidP="00FB59A3">
      <w:pPr>
        <w:pStyle w:val="Heading1"/>
      </w:pPr>
      <w:bookmarkStart w:id="9" w:name="O_961159"/>
      <w:bookmarkEnd w:id="9"/>
      <w:r w:rsidRPr="00FB59A3">
        <w:t>Unit Mapping Information</w:t>
      </w:r>
    </w:p>
    <w:p w:rsidR="00000000" w:rsidRPr="00FB59A3" w:rsidP="00DF2915">
      <w:pPr>
        <w:pStyle w:val="BodyText"/>
      </w:pPr>
      <w:r w:rsidRPr="00FB59A3">
        <w:t>Release 2. Equivalent to MEA729 Apply configuration management procedures in airworthiness engineering management</w:t>
      </w:r>
    </w:p>
    <w:p w:rsidR="00000000" w:rsidRPr="00FB59A3" w:rsidP="00FB59A3">
      <w:pPr>
        <w:pStyle w:val="Heading1"/>
      </w:pPr>
      <w:bookmarkStart w:id="10" w:name="O_961168"/>
      <w:bookmarkEnd w:id="10"/>
      <w:r w:rsidRPr="00FB59A3">
        <w:t>Links</w:t>
      </w:r>
    </w:p>
    <w:p w:rsidR="00000000" w:rsidRPr="00FB59A3" w:rsidP="00DF2915">
      <w:pPr>
        <w:pStyle w:val="BodyText"/>
      </w:pPr>
      <w:r w:rsidRPr="00FB59A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7018F">
        <w:rPr>
          <w:rStyle w:val="Hyperlink"/>
        </w:rPr>
        <w:t>https://vetnet.gov.au/Pages/TrainingDocs.aspx?q=ce216c9c-04d5-4b3b-9bcf-4e81d0950371</w:t>
      </w:r>
      <w:r>
        <w:fldChar w:fldCharType="end"/>
      </w:r>
    </w:p>
    <w:p w:rsidR="00000000" w:rsidRPr="00FB59A3" w:rsidP="00FB59A3"/>
    <w:sectPr w:rsidSect="00FB59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A3" w:rsidRPr="00DF2915" w:rsidP="00DF29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15" w:rsidP="00FB5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2915" w:rsidP="00FB59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2915" w:rsidP="00FB5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59A3" w:rsidRPr="00DF2915" w:rsidP="00DF29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15" w:rsidRPr="002D2AF8" w:rsidP="00FB59A3">
    <w:pPr>
      <w:pStyle w:val="Header"/>
      <w:framePr w:wrap="around"/>
    </w:pPr>
    <w:r>
      <w:fldChar w:fldCharType="begin"/>
    </w:r>
    <w:r>
      <w:instrText xml:space="preserve"> TITLE   \* MERGEFORMAT </w:instrText>
    </w:r>
    <w:r>
      <w:fldChar w:fldCharType="separate"/>
    </w:r>
    <w:r>
      <w:t>MEA729 Apply configuration management procedures in airworthiness engineering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F2915" w:rsidP="00FB5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DC53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5A8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9A3"/>
    <w:pPr>
      <w:spacing w:before="360" w:after="60"/>
      <w:outlineLvl w:val="0"/>
    </w:pPr>
    <w:rPr>
      <w:sz w:val="32"/>
    </w:rPr>
  </w:style>
  <w:style w:type="paragraph" w:styleId="Heading2">
    <w:name w:val="heading 2"/>
    <w:basedOn w:val="HeadingBase"/>
    <w:next w:val="BodyText"/>
    <w:link w:val="Heading2Char"/>
    <w:qFormat/>
    <w:rsid w:val="00FB59A3"/>
    <w:pPr>
      <w:keepLines/>
      <w:spacing w:before="240" w:after="120"/>
      <w:outlineLvl w:val="1"/>
    </w:pPr>
    <w:rPr>
      <w:sz w:val="28"/>
      <w:szCs w:val="40"/>
    </w:rPr>
  </w:style>
  <w:style w:type="paragraph" w:styleId="Heading3">
    <w:name w:val="heading 3"/>
    <w:basedOn w:val="HeadingBase"/>
    <w:next w:val="BodyText"/>
    <w:link w:val="Heading3Char"/>
    <w:qFormat/>
    <w:rsid w:val="00FB59A3"/>
    <w:pPr>
      <w:spacing w:before="180" w:after="120"/>
      <w:outlineLvl w:val="2"/>
    </w:pPr>
    <w:rPr>
      <w:spacing w:val="-10"/>
      <w:kern w:val="32"/>
    </w:rPr>
  </w:style>
  <w:style w:type="paragraph" w:styleId="Heading4">
    <w:name w:val="heading 4"/>
    <w:basedOn w:val="HeadingBase"/>
    <w:next w:val="BodyText"/>
    <w:link w:val="Heading4Char"/>
    <w:qFormat/>
    <w:rsid w:val="00FB59A3"/>
    <w:pPr>
      <w:spacing w:before="160" w:after="120"/>
      <w:outlineLvl w:val="3"/>
    </w:pPr>
    <w:rPr>
      <w:sz w:val="22"/>
    </w:rPr>
  </w:style>
  <w:style w:type="paragraph" w:styleId="Heading5">
    <w:name w:val="heading 5"/>
    <w:basedOn w:val="HeadingBase"/>
    <w:next w:val="Normal"/>
    <w:link w:val="Heading5Char"/>
    <w:qFormat/>
    <w:rsid w:val="00FB59A3"/>
    <w:pPr>
      <w:spacing w:before="80"/>
      <w:outlineLvl w:val="4"/>
    </w:pPr>
    <w:rPr>
      <w:color w:val="918585"/>
      <w:sz w:val="20"/>
    </w:rPr>
  </w:style>
  <w:style w:type="paragraph" w:styleId="Heading6">
    <w:name w:val="heading 6"/>
    <w:basedOn w:val="HeadingBase"/>
    <w:next w:val="Normal"/>
    <w:link w:val="Heading6Char"/>
    <w:qFormat/>
    <w:rsid w:val="00FB59A3"/>
    <w:pPr>
      <w:spacing w:before="60"/>
      <w:outlineLvl w:val="5"/>
    </w:pPr>
    <w:rPr>
      <w:color w:val="918585"/>
      <w:sz w:val="20"/>
    </w:rPr>
  </w:style>
  <w:style w:type="paragraph" w:styleId="Heading7">
    <w:name w:val="heading 7"/>
    <w:basedOn w:val="Normal"/>
    <w:next w:val="Normal"/>
    <w:link w:val="Heading7Char"/>
    <w:qFormat/>
    <w:rsid w:val="00FB59A3"/>
    <w:pPr>
      <w:ind w:left="720"/>
      <w:outlineLvl w:val="6"/>
    </w:pPr>
    <w:rPr>
      <w:i/>
    </w:rPr>
  </w:style>
  <w:style w:type="paragraph" w:styleId="Heading8">
    <w:name w:val="heading 8"/>
    <w:basedOn w:val="Normal"/>
    <w:next w:val="Normal"/>
    <w:link w:val="Heading8Char"/>
    <w:qFormat/>
    <w:rsid w:val="00FB59A3"/>
    <w:pPr>
      <w:ind w:left="720"/>
      <w:outlineLvl w:val="7"/>
    </w:pPr>
    <w:rPr>
      <w:i/>
    </w:rPr>
  </w:style>
  <w:style w:type="paragraph" w:styleId="Heading9">
    <w:name w:val="heading 9"/>
    <w:basedOn w:val="Normal"/>
    <w:next w:val="Normal"/>
    <w:link w:val="Heading9Char"/>
    <w:qFormat/>
    <w:rsid w:val="00FB59A3"/>
    <w:pPr>
      <w:ind w:left="720"/>
      <w:outlineLvl w:val="8"/>
    </w:pPr>
    <w:rPr>
      <w:i/>
    </w:rPr>
  </w:style>
  <w:style w:type="character" w:default="1" w:styleId="DefaultParagraphFont">
    <w:name w:val="Default Paragraph Font"/>
    <w:uiPriority w:val="1"/>
    <w:unhideWhenUsed/>
    <w:rsid w:val="00FB5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9A3"/>
  </w:style>
  <w:style w:type="character" w:customStyle="1" w:styleId="Heading1Char">
    <w:name w:val="Heading 1 Char"/>
    <w:basedOn w:val="DefaultParagraphFont"/>
    <w:link w:val="Heading1"/>
    <w:rsid w:val="00FB59A3"/>
    <w:rPr>
      <w:rFonts w:ascii="Times New Roman" w:eastAsia="Times New Roman" w:hAnsi="Times New Roman" w:cs="Times New Roman"/>
      <w:b/>
      <w:sz w:val="32"/>
      <w:szCs w:val="20"/>
      <w:lang w:eastAsia="en-US"/>
    </w:rPr>
  </w:style>
  <w:style w:type="paragraph" w:styleId="BodyText">
    <w:name w:val="Body Text"/>
    <w:basedOn w:val="Normal"/>
    <w:link w:val="BodyTextChar"/>
    <w:rsid w:val="00FB5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59A3"/>
    <w:rPr>
      <w:rFonts w:ascii="Times New Roman" w:eastAsia="Times New Roman" w:hAnsi="Times New Roman" w:cs="Times New Roman"/>
      <w:sz w:val="24"/>
      <w:lang w:eastAsia="en-US"/>
    </w:rPr>
  </w:style>
  <w:style w:type="paragraph" w:styleId="ListBullet">
    <w:name w:val="List Bullet"/>
    <w:basedOn w:val="List"/>
    <w:rsid w:val="00FB59A3"/>
    <w:pPr>
      <w:numPr>
        <w:numId w:val="11"/>
      </w:numPr>
      <w:tabs>
        <w:tab w:val="clear" w:pos="340"/>
      </w:tabs>
      <w:spacing w:before="40" w:after="40"/>
    </w:pPr>
  </w:style>
  <w:style w:type="character" w:customStyle="1" w:styleId="SpecialBold">
    <w:name w:val="Special Bold"/>
    <w:basedOn w:val="DefaultParagraphFont"/>
    <w:rsid w:val="00FB59A3"/>
    <w:rPr>
      <w:b/>
      <w:spacing w:val="0"/>
    </w:rPr>
  </w:style>
  <w:style w:type="paragraph" w:customStyle="1" w:styleId="SuperHeading">
    <w:name w:val="SuperHeading"/>
    <w:basedOn w:val="Normal"/>
    <w:rsid w:val="00FB59A3"/>
    <w:pPr>
      <w:spacing w:before="240" w:after="120"/>
      <w:outlineLvl w:val="0"/>
    </w:pPr>
    <w:rPr>
      <w:rFonts w:ascii="Times New Roman" w:hAnsi="Times New Roman"/>
      <w:b/>
      <w:sz w:val="32"/>
    </w:rPr>
  </w:style>
  <w:style w:type="paragraph" w:customStyle="1" w:styleId="AllowPageBreak">
    <w:name w:val="AllowPageBreak"/>
    <w:rsid w:val="00FB5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9A3"/>
    <w:rPr>
      <w:rFonts w:ascii="Courier New" w:eastAsia="Times New Roman" w:hAnsi="Courier New" w:cs="Times New Roman"/>
      <w:i/>
      <w:szCs w:val="20"/>
      <w:lang w:eastAsia="en-US"/>
    </w:rPr>
  </w:style>
  <w:style w:type="paragraph" w:customStyle="1" w:styleId="HeadingBase">
    <w:name w:val="Heading Base"/>
    <w:rsid w:val="00FB5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9A3"/>
    <w:pPr>
      <w:tabs>
        <w:tab w:val="right" w:leader="dot" w:pos="9072"/>
      </w:tabs>
      <w:ind w:left="567"/>
    </w:pPr>
    <w:rPr>
      <w:szCs w:val="22"/>
    </w:rPr>
  </w:style>
  <w:style w:type="paragraph" w:customStyle="1" w:styleId="TOCBase">
    <w:name w:val="TOC Base"/>
    <w:rsid w:val="00FB5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9A3"/>
    <w:pPr>
      <w:tabs>
        <w:tab w:val="right" w:leader="dot" w:pos="9072"/>
      </w:tabs>
      <w:spacing w:before="40" w:after="40"/>
      <w:ind w:left="284"/>
    </w:pPr>
    <w:rPr>
      <w:rFonts w:ascii="Times New Roman" w:hAnsi="Times New Roman"/>
    </w:rPr>
  </w:style>
  <w:style w:type="paragraph" w:styleId="TOC1">
    <w:name w:val="toc 1"/>
    <w:basedOn w:val="TOCBase"/>
    <w:next w:val="Normal"/>
    <w:rsid w:val="00FB5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5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9A3"/>
    <w:rPr>
      <w:rFonts w:ascii="Times New Roman" w:eastAsia="Times New Roman" w:hAnsi="Times New Roman" w:cs="Times New Roman"/>
      <w:sz w:val="16"/>
      <w:lang w:eastAsia="en-US"/>
    </w:rPr>
  </w:style>
  <w:style w:type="paragraph" w:styleId="Title">
    <w:name w:val="Title"/>
    <w:basedOn w:val="HeadingBase"/>
    <w:link w:val="TitleChar"/>
    <w:qFormat/>
    <w:rsid w:val="00FB59A3"/>
    <w:pPr>
      <w:spacing w:before="5040"/>
      <w:jc w:val="center"/>
    </w:pPr>
    <w:rPr>
      <w:sz w:val="48"/>
      <w:szCs w:val="72"/>
      <w:lang w:val="en-US"/>
    </w:rPr>
  </w:style>
  <w:style w:type="character" w:customStyle="1" w:styleId="TitleChar">
    <w:name w:val="Title Char"/>
    <w:basedOn w:val="DefaultParagraphFont"/>
    <w:link w:val="Title"/>
    <w:rsid w:val="00FB5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9A3"/>
    <w:pPr>
      <w:tabs>
        <w:tab w:val="left" w:pos="3600"/>
        <w:tab w:val="left" w:pos="3958"/>
      </w:tabs>
    </w:pPr>
  </w:style>
  <w:style w:type="paragraph" w:styleId="List">
    <w:name w:val="List"/>
    <w:basedOn w:val="BodyText"/>
    <w:next w:val="BodyText"/>
    <w:rsid w:val="00FB59A3"/>
    <w:pPr>
      <w:tabs>
        <w:tab w:val="left" w:pos="340"/>
      </w:tabs>
      <w:spacing w:before="60" w:after="60"/>
      <w:ind w:left="340" w:hanging="340"/>
    </w:pPr>
  </w:style>
  <w:style w:type="paragraph" w:customStyle="1" w:styleId="Note">
    <w:name w:val="Note"/>
    <w:basedOn w:val="BodyText"/>
    <w:rsid w:val="00FB5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9A3"/>
    <w:pPr>
      <w:framePr w:wrap="auto" w:hAnchor="text" w:y="6049"/>
    </w:pPr>
    <w:rPr>
      <w:color w:val="000000"/>
      <w:sz w:val="40"/>
    </w:rPr>
  </w:style>
  <w:style w:type="paragraph" w:customStyle="1" w:styleId="TOCTitle">
    <w:name w:val="TOCTitle"/>
    <w:basedOn w:val="Heading1"/>
    <w:rsid w:val="00FB59A3"/>
    <w:pPr>
      <w:spacing w:after="240"/>
      <w:jc w:val="center"/>
      <w:outlineLvl w:val="9"/>
    </w:pPr>
    <w:rPr>
      <w:caps/>
    </w:rPr>
  </w:style>
  <w:style w:type="paragraph" w:customStyle="1" w:styleId="Version">
    <w:name w:val="Version"/>
    <w:rsid w:val="00FB59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9A3"/>
    <w:pPr>
      <w:numPr>
        <w:numId w:val="12"/>
      </w:numPr>
      <w:tabs>
        <w:tab w:val="clear" w:pos="680"/>
      </w:tabs>
    </w:pPr>
  </w:style>
  <w:style w:type="paragraph" w:styleId="Index1">
    <w:name w:val="index 1"/>
    <w:basedOn w:val="Normal"/>
    <w:next w:val="Normal"/>
    <w:semiHidden/>
    <w:rsid w:val="00FB59A3"/>
    <w:pPr>
      <w:keepNext w:val="0"/>
      <w:tabs>
        <w:tab w:val="right" w:pos="4176"/>
      </w:tabs>
      <w:ind w:left="198" w:hanging="198"/>
    </w:pPr>
    <w:rPr>
      <w:rFonts w:ascii="Garamond" w:hAnsi="Garamond"/>
    </w:rPr>
  </w:style>
  <w:style w:type="paragraph" w:styleId="IndexHeading">
    <w:name w:val="index heading"/>
    <w:basedOn w:val="Normal"/>
    <w:next w:val="Index1"/>
    <w:semiHidden/>
    <w:rsid w:val="00FB59A3"/>
    <w:pPr>
      <w:spacing w:before="120" w:after="120"/>
    </w:pPr>
    <w:rPr>
      <w:rFonts w:ascii="Arial" w:hAnsi="Arial"/>
      <w:b/>
      <w:color w:val="918585"/>
      <w:sz w:val="24"/>
    </w:rPr>
  </w:style>
  <w:style w:type="paragraph" w:styleId="Header">
    <w:name w:val="header"/>
    <w:basedOn w:val="Normal"/>
    <w:link w:val="HeaderChar"/>
    <w:rsid w:val="00FB5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9A3"/>
    <w:rPr>
      <w:rFonts w:ascii="Times New Roman" w:eastAsia="Times New Roman" w:hAnsi="Times New Roman" w:cs="Times New Roman"/>
      <w:sz w:val="16"/>
      <w:szCs w:val="20"/>
      <w:lang w:val="en-GB" w:eastAsia="en-US"/>
    </w:rPr>
  </w:style>
  <w:style w:type="paragraph" w:customStyle="1" w:styleId="Chapter">
    <w:name w:val="Chapter"/>
    <w:basedOn w:val="Normal"/>
    <w:rsid w:val="00FB59A3"/>
    <w:pPr>
      <w:spacing w:before="240"/>
    </w:pPr>
    <w:rPr>
      <w:rFonts w:ascii="Times New Roman" w:hAnsi="Times New Roman"/>
      <w:smallCaps/>
      <w:spacing w:val="80"/>
      <w:sz w:val="28"/>
    </w:rPr>
  </w:style>
  <w:style w:type="paragraph" w:customStyle="1" w:styleId="InChapter">
    <w:name w:val="InChapter"/>
    <w:basedOn w:val="Heading3"/>
    <w:rsid w:val="00FB59A3"/>
    <w:pPr>
      <w:spacing w:after="240"/>
      <w:outlineLvl w:val="9"/>
    </w:pPr>
    <w:rPr>
      <w:noProof/>
    </w:rPr>
  </w:style>
  <w:style w:type="paragraph" w:styleId="Index2">
    <w:name w:val="index 2"/>
    <w:basedOn w:val="Normal"/>
    <w:next w:val="Normal"/>
    <w:semiHidden/>
    <w:rsid w:val="00FB59A3"/>
    <w:pPr>
      <w:tabs>
        <w:tab w:val="right" w:pos="4176"/>
      </w:tabs>
      <w:ind w:left="568" w:hanging="284"/>
    </w:pPr>
    <w:rPr>
      <w:rFonts w:ascii="Garamond" w:hAnsi="Garamond"/>
    </w:rPr>
  </w:style>
  <w:style w:type="paragraph" w:customStyle="1" w:styleId="Byline">
    <w:name w:val="Byline"/>
    <w:rsid w:val="00FB5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9A3"/>
    <w:pPr>
      <w:tabs>
        <w:tab w:val="clear" w:pos="3600"/>
        <w:tab w:val="clear" w:pos="3958"/>
      </w:tabs>
      <w:jc w:val="right"/>
    </w:pPr>
  </w:style>
  <w:style w:type="character" w:styleId="Emphasis">
    <w:name w:val="Emphasis"/>
    <w:basedOn w:val="DefaultParagraphFont"/>
    <w:qFormat/>
    <w:rsid w:val="00FB59A3"/>
    <w:rPr>
      <w:i/>
    </w:rPr>
  </w:style>
  <w:style w:type="paragraph" w:styleId="Caption">
    <w:name w:val="caption"/>
    <w:basedOn w:val="BodyText"/>
    <w:next w:val="Normal"/>
    <w:qFormat/>
    <w:rsid w:val="00FB59A3"/>
    <w:pPr>
      <w:framePr w:w="2268" w:hSpace="181" w:vSpace="181" w:wrap="around" w:vAnchor="text" w:hAnchor="page" w:x="1135" w:y="285" w:anchorLock="1"/>
    </w:pPr>
    <w:rPr>
      <w:i/>
    </w:rPr>
  </w:style>
  <w:style w:type="paragraph" w:customStyle="1" w:styleId="MiniTOCTitle">
    <w:name w:val="MiniTOCTitle"/>
    <w:basedOn w:val="Heading4"/>
    <w:rsid w:val="00FB59A3"/>
    <w:pPr>
      <w:spacing w:before="240"/>
      <w:outlineLvl w:val="9"/>
    </w:pPr>
    <w:rPr>
      <w:noProof/>
      <w:sz w:val="24"/>
    </w:rPr>
  </w:style>
  <w:style w:type="paragraph" w:customStyle="1" w:styleId="MiniTOCItem">
    <w:name w:val="MiniTOCItem"/>
    <w:basedOn w:val="ListBullet"/>
    <w:rsid w:val="00FB59A3"/>
    <w:pPr>
      <w:numPr>
        <w:numId w:val="0"/>
      </w:numPr>
      <w:tabs>
        <w:tab w:val="right" w:leader="dot" w:pos="6521"/>
      </w:tabs>
      <w:spacing w:before="0" w:after="0"/>
    </w:pPr>
  </w:style>
  <w:style w:type="paragraph" w:customStyle="1" w:styleId="TOFTitle">
    <w:name w:val="TOFTitle"/>
    <w:basedOn w:val="TOCTitle"/>
    <w:rsid w:val="00FB59A3"/>
  </w:style>
  <w:style w:type="paragraph" w:styleId="TableofFigures">
    <w:name w:val="table of figures"/>
    <w:basedOn w:val="Normal"/>
    <w:next w:val="Normal"/>
    <w:semiHidden/>
    <w:rsid w:val="00FB59A3"/>
    <w:pPr>
      <w:tabs>
        <w:tab w:val="right" w:leader="dot" w:pos="9072"/>
      </w:tabs>
      <w:ind w:left="970" w:hanging="403"/>
    </w:pPr>
    <w:rPr>
      <w:rFonts w:ascii="Times New Roman" w:hAnsi="Times New Roman"/>
      <w:b/>
    </w:rPr>
  </w:style>
  <w:style w:type="paragraph" w:styleId="ListNumber">
    <w:name w:val="List Number"/>
    <w:basedOn w:val="List"/>
    <w:rsid w:val="00FB59A3"/>
    <w:pPr>
      <w:numPr>
        <w:numId w:val="14"/>
      </w:numPr>
      <w:tabs>
        <w:tab w:val="clear" w:pos="340"/>
      </w:tabs>
    </w:pPr>
  </w:style>
  <w:style w:type="character" w:customStyle="1" w:styleId="WingdingSymbols">
    <w:name w:val="Wingding Symbols"/>
    <w:rsid w:val="00FB59A3"/>
    <w:rPr>
      <w:rFonts w:ascii="Wingdings" w:hAnsi="Wingdings"/>
    </w:rPr>
  </w:style>
  <w:style w:type="paragraph" w:customStyle="1" w:styleId="TableHeading">
    <w:name w:val="Table Heading"/>
    <w:basedOn w:val="HeadingBase"/>
    <w:rsid w:val="00FB59A3"/>
    <w:pPr>
      <w:keepLines/>
      <w:pBdr>
        <w:bottom w:val="single" w:sz="6" w:space="1" w:color="918585"/>
      </w:pBdr>
      <w:spacing w:before="240"/>
    </w:pPr>
  </w:style>
  <w:style w:type="character" w:customStyle="1" w:styleId="HotSpot">
    <w:name w:val="HotSpot"/>
    <w:rsid w:val="00FB59A3"/>
    <w:rPr>
      <w:color w:val="0033CC"/>
      <w:u w:val="none"/>
    </w:rPr>
  </w:style>
  <w:style w:type="paragraph" w:customStyle="1" w:styleId="BodyTextRight">
    <w:name w:val="Body Text Right"/>
    <w:basedOn w:val="BodyText"/>
    <w:rsid w:val="00FB59A3"/>
    <w:pPr>
      <w:spacing w:before="0" w:after="0"/>
      <w:jc w:val="right"/>
    </w:pPr>
  </w:style>
  <w:style w:type="paragraph" w:styleId="Index3">
    <w:name w:val="index 3"/>
    <w:basedOn w:val="ListNumber2"/>
    <w:next w:val="Normal"/>
    <w:semiHidden/>
    <w:rsid w:val="00FB59A3"/>
    <w:pPr>
      <w:numPr>
        <w:numId w:val="0"/>
      </w:numPr>
      <w:tabs>
        <w:tab w:val="right" w:leader="dot" w:pos="4176"/>
      </w:tabs>
    </w:pPr>
  </w:style>
  <w:style w:type="paragraph" w:styleId="ListNumber2">
    <w:name w:val="List Number 2"/>
    <w:basedOn w:val="List2"/>
    <w:rsid w:val="00FB59A3"/>
    <w:pPr>
      <w:numPr>
        <w:numId w:val="9"/>
      </w:numPr>
      <w:tabs>
        <w:tab w:val="clear" w:pos="1060"/>
      </w:tabs>
    </w:pPr>
  </w:style>
  <w:style w:type="paragraph" w:customStyle="1" w:styleId="MarginNote">
    <w:name w:val="Margin Note"/>
    <w:basedOn w:val="BodyText"/>
    <w:rsid w:val="00FB5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9A3"/>
    <w:rPr>
      <w:sz w:val="32"/>
    </w:rPr>
  </w:style>
  <w:style w:type="paragraph" w:customStyle="1" w:styleId="HeadingProcedure">
    <w:name w:val="Heading Procedure"/>
    <w:basedOn w:val="HeadingBase"/>
    <w:next w:val="Normal"/>
    <w:rsid w:val="00FB59A3"/>
    <w:pPr>
      <w:tabs>
        <w:tab w:val="left" w:pos="0"/>
      </w:tabs>
      <w:spacing w:before="120" w:after="60"/>
    </w:pPr>
    <w:rPr>
      <w:i/>
      <w:color w:val="918585"/>
      <w:sz w:val="22"/>
    </w:rPr>
  </w:style>
  <w:style w:type="paragraph" w:customStyle="1" w:styleId="TableBodyText">
    <w:name w:val="Table Body Text"/>
    <w:basedOn w:val="BodyText"/>
    <w:rsid w:val="00FB59A3"/>
    <w:pPr>
      <w:spacing w:before="60" w:after="60"/>
    </w:pPr>
  </w:style>
  <w:style w:type="paragraph" w:styleId="ListContinue">
    <w:name w:val="List Continue"/>
    <w:basedOn w:val="List"/>
    <w:rsid w:val="00FB59A3"/>
    <w:pPr>
      <w:ind w:firstLine="0"/>
    </w:pPr>
  </w:style>
  <w:style w:type="paragraph" w:customStyle="1" w:styleId="ListNote">
    <w:name w:val="List Note"/>
    <w:basedOn w:val="List"/>
    <w:rsid w:val="00FB59A3"/>
    <w:pPr>
      <w:pBdr>
        <w:top w:val="single" w:sz="6" w:space="2" w:color="918585"/>
        <w:bottom w:val="single" w:sz="6" w:space="2" w:color="918585"/>
      </w:pBdr>
      <w:tabs>
        <w:tab w:val="left" w:pos="1021"/>
      </w:tabs>
      <w:ind w:firstLine="0"/>
    </w:pPr>
  </w:style>
  <w:style w:type="paragraph" w:customStyle="1" w:styleId="Warning">
    <w:name w:val="Warning"/>
    <w:basedOn w:val="BodyText"/>
    <w:rsid w:val="00FB59A3"/>
    <w:pPr>
      <w:shd w:val="clear" w:color="auto" w:fill="D9D9D9"/>
      <w:tabs>
        <w:tab w:val="left" w:pos="992"/>
      </w:tabs>
      <w:ind w:left="119" w:right="119"/>
    </w:pPr>
    <w:rPr>
      <w:sz w:val="20"/>
    </w:rPr>
  </w:style>
  <w:style w:type="paragraph" w:customStyle="1" w:styleId="MarginIcons">
    <w:name w:val="Margin Icons"/>
    <w:basedOn w:val="BodyText"/>
    <w:rsid w:val="00FB5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9A3"/>
    <w:rPr>
      <w:rFonts w:ascii="Courier New" w:hAnsi="Courier New"/>
    </w:rPr>
  </w:style>
  <w:style w:type="paragraph" w:customStyle="1" w:styleId="NoteBullet">
    <w:name w:val="Note Bullet"/>
    <w:basedOn w:val="Note"/>
    <w:rsid w:val="00FB59A3"/>
    <w:pPr>
      <w:tabs>
        <w:tab w:val="clear" w:pos="680"/>
      </w:tabs>
      <w:spacing w:before="60" w:after="60"/>
    </w:pPr>
  </w:style>
  <w:style w:type="paragraph" w:customStyle="1" w:styleId="SubHeading2">
    <w:name w:val="SubHeading2"/>
    <w:basedOn w:val="HeadingBase"/>
    <w:rsid w:val="00FB59A3"/>
    <w:pPr>
      <w:spacing w:before="240" w:after="60"/>
    </w:pPr>
    <w:rPr>
      <w:sz w:val="20"/>
    </w:rPr>
  </w:style>
  <w:style w:type="paragraph" w:customStyle="1" w:styleId="SubHeading1">
    <w:name w:val="SubHeading1"/>
    <w:basedOn w:val="HeadingBase"/>
    <w:rsid w:val="00FB59A3"/>
    <w:pPr>
      <w:spacing w:before="240" w:after="60"/>
    </w:pPr>
    <w:rPr>
      <w:color w:val="918585"/>
      <w:sz w:val="22"/>
    </w:rPr>
  </w:style>
  <w:style w:type="paragraph" w:customStyle="1" w:styleId="SideHeading">
    <w:name w:val="Side Heading"/>
    <w:basedOn w:val="HeadingBase"/>
    <w:rsid w:val="00FB5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9A3"/>
    <w:pPr>
      <w:numPr>
        <w:numId w:val="10"/>
      </w:numPr>
    </w:pPr>
  </w:style>
  <w:style w:type="paragraph" w:styleId="PlainText">
    <w:name w:val="Plain Text"/>
    <w:basedOn w:val="Normal"/>
    <w:link w:val="PlainTextChar"/>
    <w:rsid w:val="00FB59A3"/>
    <w:rPr>
      <w:sz w:val="20"/>
    </w:rPr>
  </w:style>
  <w:style w:type="character" w:customStyle="1" w:styleId="PlainTextChar">
    <w:name w:val="Plain Text Char"/>
    <w:basedOn w:val="DefaultParagraphFont"/>
    <w:link w:val="PlainText"/>
    <w:rsid w:val="00FB59A3"/>
    <w:rPr>
      <w:rFonts w:ascii="Courier New" w:eastAsia="Times New Roman" w:hAnsi="Courier New" w:cs="Times New Roman"/>
      <w:sz w:val="20"/>
      <w:szCs w:val="20"/>
      <w:lang w:eastAsia="en-US"/>
    </w:rPr>
  </w:style>
  <w:style w:type="character" w:customStyle="1" w:styleId="MenuOption">
    <w:name w:val="Menu Option"/>
    <w:basedOn w:val="DefaultParagraphFont"/>
    <w:rsid w:val="00FB59A3"/>
    <w:rPr>
      <w:b/>
      <w:smallCaps/>
    </w:rPr>
  </w:style>
  <w:style w:type="paragraph" w:customStyle="1" w:styleId="TableListNumber">
    <w:name w:val="Table List Number"/>
    <w:basedOn w:val="ListNumber"/>
    <w:rsid w:val="00FB59A3"/>
    <w:pPr>
      <w:numPr>
        <w:numId w:val="0"/>
      </w:numPr>
    </w:pPr>
  </w:style>
  <w:style w:type="paragraph" w:styleId="TOC4">
    <w:name w:val="toc 4"/>
    <w:basedOn w:val="TOCBase"/>
    <w:next w:val="Normal"/>
    <w:semiHidden/>
    <w:rsid w:val="00FB59A3"/>
    <w:pPr>
      <w:tabs>
        <w:tab w:val="right" w:leader="dot" w:pos="9071"/>
      </w:tabs>
      <w:ind w:left="1701"/>
    </w:pPr>
  </w:style>
  <w:style w:type="paragraph" w:customStyle="1" w:styleId="ListAlpha">
    <w:name w:val="List Alpha"/>
    <w:basedOn w:val="List"/>
    <w:rsid w:val="00FB59A3"/>
    <w:pPr>
      <w:numPr>
        <w:numId w:val="8"/>
      </w:numPr>
    </w:pPr>
  </w:style>
  <w:style w:type="paragraph" w:customStyle="1" w:styleId="ListAlpha2">
    <w:name w:val="List Alpha 2"/>
    <w:basedOn w:val="List2"/>
    <w:rsid w:val="00FB59A3"/>
    <w:pPr>
      <w:numPr>
        <w:numId w:val="7"/>
      </w:numPr>
    </w:pPr>
  </w:style>
  <w:style w:type="paragraph" w:styleId="List2">
    <w:name w:val="List 2"/>
    <w:basedOn w:val="BodyText"/>
    <w:rsid w:val="00FB59A3"/>
    <w:pPr>
      <w:tabs>
        <w:tab w:val="left" w:pos="680"/>
      </w:tabs>
      <w:spacing w:before="60" w:after="60"/>
      <w:ind w:left="680" w:hanging="340"/>
    </w:pPr>
  </w:style>
  <w:style w:type="paragraph" w:styleId="List3">
    <w:name w:val="List 3"/>
    <w:basedOn w:val="BodyText"/>
    <w:rsid w:val="00FB59A3"/>
    <w:pPr>
      <w:tabs>
        <w:tab w:val="left" w:pos="1021"/>
      </w:tabs>
      <w:spacing w:before="60" w:after="60"/>
      <w:ind w:left="1020" w:hanging="340"/>
    </w:pPr>
  </w:style>
  <w:style w:type="paragraph" w:styleId="List4">
    <w:name w:val="List 4"/>
    <w:basedOn w:val="BodyText"/>
    <w:rsid w:val="00FB59A3"/>
    <w:pPr>
      <w:tabs>
        <w:tab w:val="left" w:pos="1361"/>
      </w:tabs>
      <w:spacing w:before="60" w:after="60"/>
      <w:ind w:left="1361" w:hanging="340"/>
    </w:pPr>
  </w:style>
  <w:style w:type="paragraph" w:styleId="List5">
    <w:name w:val="List 5"/>
    <w:basedOn w:val="BodyText"/>
    <w:rsid w:val="00FB59A3"/>
    <w:pPr>
      <w:tabs>
        <w:tab w:val="left" w:pos="1701"/>
      </w:tabs>
      <w:spacing w:before="60" w:after="60"/>
      <w:ind w:left="1701" w:hanging="340"/>
    </w:pPr>
  </w:style>
  <w:style w:type="paragraph" w:styleId="ListBullet3">
    <w:name w:val="List Bullet 3"/>
    <w:basedOn w:val="List3"/>
    <w:rsid w:val="00FB59A3"/>
    <w:pPr>
      <w:numPr>
        <w:numId w:val="13"/>
      </w:numPr>
      <w:tabs>
        <w:tab w:val="clear" w:pos="1021"/>
      </w:tabs>
      <w:ind w:left="1037" w:hanging="357"/>
    </w:pPr>
  </w:style>
  <w:style w:type="paragraph" w:styleId="ListBullet4">
    <w:name w:val="List Bullet 4"/>
    <w:basedOn w:val="List4"/>
    <w:rsid w:val="00FB59A3"/>
    <w:pPr>
      <w:numPr>
        <w:numId w:val="2"/>
      </w:numPr>
      <w:tabs>
        <w:tab w:val="clear" w:pos="1361"/>
      </w:tabs>
    </w:pPr>
  </w:style>
  <w:style w:type="paragraph" w:styleId="ListBullet5">
    <w:name w:val="List Bullet 5"/>
    <w:basedOn w:val="List5"/>
    <w:rsid w:val="00FB59A3"/>
    <w:pPr>
      <w:numPr>
        <w:numId w:val="3"/>
      </w:numPr>
    </w:pPr>
  </w:style>
  <w:style w:type="paragraph" w:styleId="ListContinue2">
    <w:name w:val="List Continue 2"/>
    <w:basedOn w:val="List2"/>
    <w:rsid w:val="00FB59A3"/>
    <w:pPr>
      <w:ind w:firstLine="0"/>
    </w:pPr>
  </w:style>
  <w:style w:type="paragraph" w:styleId="ListContinue3">
    <w:name w:val="List Continue 3"/>
    <w:basedOn w:val="List3"/>
    <w:rsid w:val="00FB59A3"/>
    <w:pPr>
      <w:ind w:left="1021" w:firstLine="0"/>
    </w:pPr>
  </w:style>
  <w:style w:type="paragraph" w:styleId="ListContinue4">
    <w:name w:val="List Continue 4"/>
    <w:basedOn w:val="List4"/>
    <w:rsid w:val="00FB59A3"/>
    <w:pPr>
      <w:ind w:firstLine="0"/>
    </w:pPr>
  </w:style>
  <w:style w:type="paragraph" w:styleId="ListContinue5">
    <w:name w:val="List Continue 5"/>
    <w:basedOn w:val="List5"/>
    <w:rsid w:val="00FB59A3"/>
    <w:pPr>
      <w:ind w:firstLine="0"/>
    </w:pPr>
  </w:style>
  <w:style w:type="paragraph" w:styleId="ListNumber3">
    <w:name w:val="List Number 3"/>
    <w:basedOn w:val="List3"/>
    <w:rsid w:val="00FB59A3"/>
    <w:pPr>
      <w:numPr>
        <w:numId w:val="4"/>
      </w:numPr>
    </w:pPr>
  </w:style>
  <w:style w:type="paragraph" w:styleId="ListNumber4">
    <w:name w:val="List Number 4"/>
    <w:basedOn w:val="List4"/>
    <w:rsid w:val="00FB59A3"/>
    <w:pPr>
      <w:numPr>
        <w:numId w:val="5"/>
      </w:numPr>
    </w:pPr>
  </w:style>
  <w:style w:type="paragraph" w:styleId="ListNumber5">
    <w:name w:val="List Number 5"/>
    <w:basedOn w:val="List5"/>
    <w:rsid w:val="00FB59A3"/>
    <w:pPr>
      <w:numPr>
        <w:numId w:val="6"/>
      </w:numPr>
    </w:pPr>
  </w:style>
  <w:style w:type="paragraph" w:styleId="BlockText">
    <w:name w:val="Block Text"/>
    <w:basedOn w:val="Normal"/>
    <w:rsid w:val="00FB59A3"/>
    <w:pPr>
      <w:spacing w:after="120"/>
      <w:ind w:left="1440" w:right="1440"/>
    </w:pPr>
  </w:style>
  <w:style w:type="character" w:customStyle="1" w:styleId="Subscript">
    <w:name w:val="Subscript"/>
    <w:basedOn w:val="DefaultParagraphFont"/>
    <w:rsid w:val="00FB59A3"/>
    <w:rPr>
      <w:sz w:val="16"/>
      <w:vertAlign w:val="subscript"/>
    </w:rPr>
  </w:style>
  <w:style w:type="character" w:customStyle="1" w:styleId="Superscript">
    <w:name w:val="Superscript"/>
    <w:basedOn w:val="DefaultParagraphFont"/>
    <w:rsid w:val="00FB59A3"/>
    <w:rPr>
      <w:sz w:val="16"/>
      <w:vertAlign w:val="superscript"/>
    </w:rPr>
  </w:style>
  <w:style w:type="character" w:customStyle="1" w:styleId="Symbols">
    <w:name w:val="Symbols"/>
    <w:basedOn w:val="DefaultParagraphFont"/>
    <w:rsid w:val="00FB59A3"/>
    <w:rPr>
      <w:rFonts w:ascii="Symbol" w:hAnsi="Symbol"/>
    </w:rPr>
  </w:style>
  <w:style w:type="character" w:customStyle="1" w:styleId="MenuOptions">
    <w:name w:val="Menu Options"/>
    <w:basedOn w:val="DefaultParagraphFont"/>
    <w:rsid w:val="00FB59A3"/>
    <w:rPr>
      <w:rFonts w:ascii="Arial Narrow" w:hAnsi="Arial Narrow"/>
      <w:smallCaps/>
    </w:rPr>
  </w:style>
  <w:style w:type="character" w:customStyle="1" w:styleId="Buttons">
    <w:name w:val="Buttons"/>
    <w:basedOn w:val="DefaultParagraphFont"/>
    <w:rsid w:val="00FB59A3"/>
    <w:rPr>
      <w:b/>
    </w:rPr>
  </w:style>
  <w:style w:type="character" w:customStyle="1" w:styleId="Underlined">
    <w:name w:val="Underlined"/>
    <w:basedOn w:val="DefaultParagraphFont"/>
    <w:rsid w:val="00FB59A3"/>
    <w:rPr>
      <w:u w:val="single"/>
    </w:rPr>
  </w:style>
  <w:style w:type="paragraph" w:customStyle="1" w:styleId="TableBodyTextRight">
    <w:name w:val="Table Body Text Right"/>
    <w:basedOn w:val="TableBodyText"/>
    <w:rsid w:val="00FB59A3"/>
    <w:pPr>
      <w:widowControl w:val="0"/>
      <w:autoSpaceDE w:val="0"/>
      <w:autoSpaceDN w:val="0"/>
      <w:adjustRightInd w:val="0"/>
      <w:jc w:val="right"/>
    </w:pPr>
    <w:rPr>
      <w:rFonts w:cs="Arial"/>
      <w:szCs w:val="18"/>
    </w:rPr>
  </w:style>
  <w:style w:type="paragraph" w:customStyle="1" w:styleId="CopyrightText">
    <w:name w:val="Copyright Text"/>
    <w:basedOn w:val="BodyText"/>
    <w:rsid w:val="00FB59A3"/>
    <w:rPr>
      <w:sz w:val="18"/>
    </w:rPr>
  </w:style>
  <w:style w:type="paragraph" w:customStyle="1" w:styleId="BodySmallRight">
    <w:name w:val="Body Small Right"/>
    <w:basedOn w:val="BodyTextRight"/>
    <w:rsid w:val="00FB59A3"/>
    <w:rPr>
      <w:sz w:val="18"/>
      <w:szCs w:val="18"/>
    </w:rPr>
  </w:style>
  <w:style w:type="paragraph" w:customStyle="1" w:styleId="MarginEdition">
    <w:name w:val="Margin Edition"/>
    <w:basedOn w:val="MarginNote"/>
    <w:rsid w:val="00FB59A3"/>
    <w:pPr>
      <w:spacing w:before="0" w:after="0"/>
    </w:pPr>
    <w:rPr>
      <w:rFonts w:ascii="Times New Roman" w:hAnsi="Times New Roman"/>
      <w:color w:val="999999"/>
    </w:rPr>
  </w:style>
  <w:style w:type="paragraph" w:customStyle="1" w:styleId="Spacer">
    <w:name w:val="Spacer"/>
    <w:basedOn w:val="Normal"/>
    <w:rsid w:val="00FB59A3"/>
    <w:rPr>
      <w:sz w:val="2"/>
      <w:szCs w:val="2"/>
    </w:rPr>
  </w:style>
  <w:style w:type="character" w:customStyle="1" w:styleId="Small">
    <w:name w:val="Small"/>
    <w:basedOn w:val="DefaultParagraphFont"/>
    <w:rsid w:val="00FB59A3"/>
    <w:rPr>
      <w:sz w:val="16"/>
    </w:rPr>
  </w:style>
  <w:style w:type="paragraph" w:customStyle="1" w:styleId="WideTable">
    <w:name w:val="Wide Table"/>
    <w:basedOn w:val="Normal"/>
    <w:rsid w:val="00FB59A3"/>
    <w:pPr>
      <w:ind w:left="-1418"/>
    </w:pPr>
    <w:rPr>
      <w:sz w:val="2"/>
      <w:szCs w:val="2"/>
    </w:rPr>
  </w:style>
  <w:style w:type="character" w:styleId="PageNumber">
    <w:name w:val="page number"/>
    <w:basedOn w:val="DefaultParagraphFont"/>
    <w:rsid w:val="00FB59A3"/>
  </w:style>
  <w:style w:type="paragraph" w:styleId="Quote">
    <w:name w:val="Quote"/>
    <w:basedOn w:val="Heading1"/>
    <w:link w:val="QuoteChar"/>
    <w:qFormat/>
    <w:rsid w:val="00FB59A3"/>
    <w:rPr>
      <w:b w:val="0"/>
      <w:sz w:val="72"/>
      <w:szCs w:val="72"/>
      <w:lang w:val="en-NZ"/>
    </w:rPr>
  </w:style>
  <w:style w:type="character" w:customStyle="1" w:styleId="QuoteChar">
    <w:name w:val="Quote Char"/>
    <w:basedOn w:val="DefaultParagraphFont"/>
    <w:link w:val="Quote"/>
    <w:rsid w:val="00FB5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9A3"/>
    <w:pPr>
      <w:pageBreakBefore/>
    </w:pPr>
  </w:style>
  <w:style w:type="paragraph" w:customStyle="1" w:styleId="Border">
    <w:name w:val="Border"/>
    <w:basedOn w:val="Normal"/>
    <w:qFormat/>
    <w:rsid w:val="00FB5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9A3"/>
    <w:rPr>
      <w:b/>
      <w:bCs/>
      <w:i/>
      <w:iCs/>
      <w:color w:val="auto"/>
    </w:rPr>
  </w:style>
  <w:style w:type="paragraph" w:styleId="IntenseQuote">
    <w:name w:val="Intense Quote"/>
    <w:basedOn w:val="Normal"/>
    <w:next w:val="Normal"/>
    <w:link w:val="IntenseQuoteChar"/>
    <w:uiPriority w:val="30"/>
    <w:qFormat/>
    <w:rsid w:val="00FB5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9A3"/>
    <w:rPr>
      <w:smallCaps/>
      <w:color w:val="auto"/>
      <w:u w:val="single"/>
    </w:rPr>
  </w:style>
  <w:style w:type="character" w:styleId="IntenseReference">
    <w:name w:val="Intense Reference"/>
    <w:basedOn w:val="DefaultParagraphFont"/>
    <w:uiPriority w:val="32"/>
    <w:qFormat/>
    <w:rsid w:val="00FB59A3"/>
    <w:rPr>
      <w:b/>
      <w:bCs/>
      <w:smallCaps/>
      <w:color w:val="auto"/>
      <w:spacing w:val="5"/>
      <w:u w:val="single"/>
    </w:rPr>
  </w:style>
  <w:style w:type="paragraph" w:customStyle="1" w:styleId="2ColumnHeading">
    <w:name w:val="2Column Heading"/>
    <w:basedOn w:val="BodyText"/>
    <w:qFormat/>
    <w:rsid w:val="00FB59A3"/>
    <w:pPr>
      <w:spacing w:after="60"/>
      <w:ind w:left="-2268"/>
    </w:pPr>
    <w:rPr>
      <w:b/>
    </w:rPr>
  </w:style>
  <w:style w:type="paragraph" w:customStyle="1" w:styleId="Heading1TOC">
    <w:name w:val="Heading1 TOC"/>
    <w:basedOn w:val="Normal"/>
    <w:qFormat/>
    <w:rsid w:val="00FB59A3"/>
    <w:pPr>
      <w:spacing w:before="240" w:after="120"/>
    </w:pPr>
    <w:rPr>
      <w:rFonts w:ascii="Times New Roman" w:hAnsi="Times New Roman"/>
      <w:b/>
      <w:sz w:val="32"/>
    </w:rPr>
  </w:style>
  <w:style w:type="paragraph" w:customStyle="1" w:styleId="Heading2TOC">
    <w:name w:val="Heading2 TOC"/>
    <w:basedOn w:val="Normal"/>
    <w:qFormat/>
    <w:rsid w:val="00FB59A3"/>
    <w:pPr>
      <w:spacing w:before="240" w:after="60"/>
    </w:pPr>
    <w:rPr>
      <w:rFonts w:ascii="Times New Roman" w:hAnsi="Times New Roman"/>
      <w:b/>
      <w:sz w:val="28"/>
    </w:rPr>
  </w:style>
  <w:style w:type="character" w:customStyle="1" w:styleId="Underline">
    <w:name w:val="Underline"/>
    <w:basedOn w:val="DefaultParagraphFont"/>
    <w:qFormat/>
    <w:rsid w:val="00FB59A3"/>
    <w:rPr>
      <w:u w:val="single"/>
    </w:rPr>
  </w:style>
  <w:style w:type="character" w:customStyle="1" w:styleId="BoldandItalics">
    <w:name w:val="Bold and Italics"/>
    <w:qFormat/>
    <w:rsid w:val="00FB59A3"/>
    <w:rPr>
      <w:b/>
      <w:i/>
      <w:u w:val="none"/>
    </w:rPr>
  </w:style>
  <w:style w:type="paragraph" w:styleId="BalloonText">
    <w:name w:val="Balloon Text"/>
    <w:basedOn w:val="Normal"/>
    <w:link w:val="BalloonTextChar"/>
    <w:rsid w:val="00FB59A3"/>
    <w:rPr>
      <w:rFonts w:ascii="Tahoma" w:hAnsi="Tahoma" w:cs="Tahoma"/>
      <w:sz w:val="16"/>
      <w:szCs w:val="16"/>
    </w:rPr>
  </w:style>
  <w:style w:type="character" w:customStyle="1" w:styleId="BalloonTextChar">
    <w:name w:val="Balloon Text Char"/>
    <w:basedOn w:val="DefaultParagraphFont"/>
    <w:link w:val="BalloonText"/>
    <w:rsid w:val="00FB5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5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9A3"/>
    <w:rPr>
      <w:b/>
      <w:color w:val="660033"/>
      <w:spacing w:val="0"/>
    </w:rPr>
  </w:style>
  <w:style w:type="paragraph" w:customStyle="1" w:styleId="Nameditemlist">
    <w:name w:val="Named item list"/>
    <w:basedOn w:val="BodyText"/>
    <w:qFormat/>
    <w:rsid w:val="00FB59A3"/>
    <w:pPr>
      <w:tabs>
        <w:tab w:val="left" w:pos="2835"/>
      </w:tabs>
      <w:ind w:left="2835" w:hanging="2835"/>
    </w:pPr>
  </w:style>
  <w:style w:type="paragraph" w:customStyle="1" w:styleId="BodyTextnopadding">
    <w:name w:val="Body Text no padding"/>
    <w:basedOn w:val="BodyText"/>
    <w:qFormat/>
    <w:rsid w:val="00FB59A3"/>
    <w:pPr>
      <w:spacing w:before="0" w:after="0"/>
    </w:pPr>
  </w:style>
  <w:style w:type="paragraph" w:customStyle="1" w:styleId="BodyTextBold">
    <w:name w:val="Body Text Bold"/>
    <w:basedOn w:val="BodyText"/>
    <w:qFormat/>
    <w:rsid w:val="00FB59A3"/>
    <w:rPr>
      <w:b/>
    </w:rPr>
  </w:style>
  <w:style w:type="character" w:styleId="Hyperlink">
    <w:name w:val="Hyperlink"/>
    <w:basedOn w:val="DefaultParagraphFont"/>
    <w:uiPriority w:val="99"/>
    <w:unhideWhenUsed/>
    <w:rsid w:val="00DF29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7166</Characters>
  <Application>Microsoft Office Word</Application>
  <DocSecurity>0</DocSecurity>
  <Lines>275</Lines>
  <Paragraphs>147</Paragraphs>
  <ScaleCrop>false</ScaleCrop>
  <Company>Author-it Software Corporation Ltd.</Company>
  <LinksUpToDate>false</LinksUpToDate>
  <CharactersWithSpaces>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MEA729 Apply configuration management procedures in airworthiness engineering management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2022-11-22T01:27:00Z</dcterms:created>
  <dcterms:modified xsi:type="dcterms:W3CDTF">2022-11-22T01:27:00Z</dcterms:modified>
</cp:coreProperties>
</file>