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CCE" w:rsidP="00141CCE">
      <w:pPr>
        <w:pStyle w:val="Title"/>
      </w:pPr>
      <w:r>
        <w:fldChar w:fldCharType="begin"/>
      </w:r>
      <w:r>
        <w:instrText xml:space="preserve"> TITLE   \* MERGEFORMAT </w:instrText>
      </w:r>
      <w:r>
        <w:fldChar w:fldCharType="separate"/>
      </w:r>
      <w:r>
        <w:t>MEA719 Evaluate aircraft electrical systems</w:t>
      </w:r>
      <w:r>
        <w:fldChar w:fldCharType="end"/>
      </w:r>
    </w:p>
    <w:p w:rsidR="00141CCE" w:rsidP="00141CCE">
      <w:pPr>
        <w:pStyle w:val="Version"/>
        <w:sectPr w:rsidSect="00D31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BA1" w:rsidP="00D31BA1">
      <w:pPr>
        <w:pStyle w:val="SuperHeading"/>
      </w:pPr>
      <w:r w:rsidRPr="00D31BA1">
        <w:t>MEA719 Evaluate aircraft electrical systems</w:t>
      </w:r>
    </w:p>
    <w:p w:rsidR="00000000" w:rsidRPr="00D31BA1" w:rsidP="00D31BA1">
      <w:pPr>
        <w:pStyle w:val="Heading1"/>
      </w:pPr>
      <w:bookmarkStart w:id="1" w:name="O_724144"/>
      <w:bookmarkEnd w:id="1"/>
      <w:r w:rsidRPr="00D31BA1">
        <w:t>Modification History</w:t>
      </w:r>
    </w:p>
    <w:p w:rsidR="00000000" w:rsidRPr="00D31BA1" w:rsidP="00141CCE">
      <w:pPr>
        <w:pStyle w:val="BodyText"/>
      </w:pPr>
      <w:r w:rsidRPr="00D31BA1">
        <w:t>Release 1 - New unit of competency</w:t>
      </w:r>
    </w:p>
    <w:p w:rsidR="00000000" w:rsidRPr="00D31BA1" w:rsidP="00D31BA1">
      <w:pPr>
        <w:pStyle w:val="Heading1"/>
      </w:pPr>
      <w:bookmarkStart w:id="2" w:name="O_724152"/>
      <w:bookmarkEnd w:id="2"/>
      <w:r w:rsidRPr="00D31BA1">
        <w:t>Application</w:t>
      </w:r>
    </w:p>
    <w:p w:rsidR="00000000" w:rsidRPr="00D31BA1" w:rsidP="00141CCE">
      <w:pPr>
        <w:pStyle w:val="BodyText"/>
      </w:pPr>
      <w:r w:rsidRPr="00D31BA1">
        <w:t>This unit of competency applies to aircraft alternating current (AC) and direct current (DC) electrical systems, including power generation, control and distribution circu</w:t>
      </w:r>
      <w:r w:rsidRPr="00D31BA1">
        <w:t xml:space="preserve">its and lighting systems. It involves evaluation of systems for compliance with design and performance standards and with airworthiness regulatory requirements within both civil and military environments. </w:t>
      </w:r>
    </w:p>
    <w:p w:rsidR="00000000" w:rsidRPr="00D31BA1" w:rsidP="00141CCE">
      <w:pPr>
        <w:pStyle w:val="BodyText"/>
      </w:pPr>
      <w:r w:rsidRPr="00D31BA1">
        <w:t>Also covered is documentation of the evaluation p</w:t>
      </w:r>
      <w:r w:rsidRPr="00D31BA1">
        <w:t>rocess within management systems, such as configuration management (CM) and integrated logistic support (ILS).</w:t>
      </w:r>
    </w:p>
    <w:p w:rsidR="00000000" w:rsidRPr="00D31BA1" w:rsidP="00141CCE">
      <w:pPr>
        <w:pStyle w:val="BodyText"/>
      </w:pPr>
      <w:r w:rsidRPr="00D31BA1">
        <w:t xml:space="preserve">It is suitable for people working as paraprofessionals within aircraft design teams, within the engineering departments of aircraft maintenance </w:t>
      </w:r>
      <w:r w:rsidRPr="00D31BA1">
        <w:t>organisations or employed within Continuing Airworthiness Management Organisations (CAMOs) and Approved Engineering Organisations (AEOs), and for those pursuing qualifications or careers in those fields.</w:t>
      </w:r>
    </w:p>
    <w:p w:rsidR="00000000" w:rsidRPr="00D31BA1" w:rsidP="00141CCE">
      <w:pPr>
        <w:pStyle w:val="BodyText"/>
      </w:pPr>
      <w:r w:rsidRPr="00D31BA1">
        <w:t xml:space="preserve">This unit is used in workplaces that operate under </w:t>
      </w:r>
      <w:r w:rsidRPr="00D31BA1">
        <w:t>the airworthiness regulatory systems of the Australian Defence Force (ADF) and the Civil Aviation Safety Authority (CASA).</w:t>
      </w:r>
    </w:p>
    <w:p w:rsidR="00000000" w:rsidRPr="00D31BA1" w:rsidP="00D31BA1">
      <w:pPr>
        <w:pStyle w:val="Heading1"/>
      </w:pPr>
      <w:bookmarkStart w:id="3" w:name="O_724151"/>
      <w:bookmarkEnd w:id="3"/>
      <w:r w:rsidRPr="00D31BA1">
        <w:t>Pre-requisite Unit</w:t>
      </w:r>
    </w:p>
    <w:tbl>
      <w:tblPr>
        <w:tblW w:w="0" w:type="auto"/>
        <w:tblLayout w:type="fixed"/>
        <w:tblCellMar>
          <w:left w:w="62" w:type="dxa"/>
          <w:right w:w="62" w:type="dxa"/>
        </w:tblCellMar>
        <w:tblLook w:val="0000"/>
      </w:tblPr>
      <w:tblGrid>
        <w:gridCol w:w="1643"/>
        <w:gridCol w:w="6211"/>
      </w:tblGrid>
      <w:tr w:rsidTr="00D31BA1">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MEA726</w:t>
            </w:r>
          </w:p>
        </w:tc>
        <w:tc>
          <w:tcPr>
            <w:tcW w:w="6211" w:type="dxa"/>
            <w:tcBorders>
              <w:top w:val="nil"/>
              <w:left w:val="nil"/>
              <w:bottom w:val="nil"/>
              <w:right w:val="nil"/>
            </w:tcBorders>
            <w:tcMar>
              <w:top w:w="0" w:type="dxa"/>
              <w:left w:w="62" w:type="dxa"/>
              <w:bottom w:w="0" w:type="dxa"/>
              <w:right w:w="62" w:type="dxa"/>
            </w:tcMar>
          </w:tcPr>
          <w:p w:rsidR="00000000" w:rsidRPr="00D31BA1" w:rsidP="00D31BA1">
            <w:pPr>
              <w:pStyle w:val="BodyText"/>
            </w:pPr>
            <w:r w:rsidRPr="00D31BA1">
              <w:t>Apply aircraft electrical system design techniques</w:t>
            </w:r>
          </w:p>
        </w:tc>
      </w:tr>
    </w:tbl>
    <w:p w:rsidR="00000000" w:rsidRPr="00D31BA1" w:rsidP="00D31BA1">
      <w:pPr>
        <w:pStyle w:val="BodyText"/>
      </w:pPr>
    </w:p>
    <w:p w:rsidR="00000000" w:rsidRPr="00D31BA1" w:rsidP="00D31BA1">
      <w:pPr>
        <w:pStyle w:val="AllowPageBreak"/>
      </w:pPr>
    </w:p>
    <w:p w:rsidR="00000000" w:rsidRPr="00D31BA1" w:rsidP="00D31BA1">
      <w:pPr>
        <w:pStyle w:val="Heading1"/>
      </w:pPr>
      <w:bookmarkStart w:id="4" w:name="O_724150"/>
      <w:bookmarkEnd w:id="4"/>
      <w:r w:rsidRPr="00D31BA1">
        <w:t>Competency Field</w:t>
      </w:r>
    </w:p>
    <w:p w:rsidR="00000000" w:rsidRPr="00D31BA1" w:rsidP="00141CCE">
      <w:pPr>
        <w:pStyle w:val="BodyText"/>
      </w:pPr>
      <w:r w:rsidRPr="00D31BA1">
        <w:t>Avi</w:t>
      </w:r>
      <w:r w:rsidRPr="00D31BA1">
        <w:t>onic engineering</w:t>
      </w:r>
    </w:p>
    <w:p w:rsidR="00000000" w:rsidRPr="00D31BA1" w:rsidP="00D31BA1">
      <w:pPr>
        <w:pStyle w:val="Heading1"/>
      </w:pPr>
      <w:bookmarkStart w:id="5" w:name="O_724149"/>
      <w:bookmarkEnd w:id="5"/>
      <w:r w:rsidRPr="00D31BA1">
        <w:t>Unit Sector</w:t>
      </w:r>
    </w:p>
    <w:p w:rsidR="00000000" w:rsidRPr="00D31BA1" w:rsidP="00D31BA1">
      <w:pPr>
        <w:pStyle w:val="Heading1"/>
      </w:pPr>
      <w:bookmarkStart w:id="6" w:name="O_724148"/>
      <w:bookmarkEnd w:id="6"/>
      <w:r w:rsidRPr="00D31BA1">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D31BA1">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 xml:space="preserve">Performance criteria describe the performance needed to demonstrate achievement of the element. </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w:t>
            </w:r>
          </w:p>
        </w:tc>
        <w:tc>
          <w:tcPr>
            <w:tcW w:w="2438" w:type="dxa"/>
            <w:vMerge w:val="restart"/>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Prepare to evaluate aircraft electrical system</w:t>
            </w: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1.1</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Confirm and apply safe electrical working practice</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1.2</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Review the effects of electricity on humans and identify dangerous high currents and voltages and regulatory requirements related to extra low, low and high voltage applications and relate these to aircraft electrical system operation and maintenance</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w:t>
            </w:r>
            <w:r w:rsidRPr="00D31BA1">
              <w:t>3</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Determine parameters and context of applications and purpose of evaluation</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1.4</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Confirm personal functions and responsibilities, team and support functional group interdependencies and communications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1.5</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Confirm that tasks and responsi</w:t>
            </w:r>
            <w:r w:rsidRPr="00D31BA1">
              <w:t>bilities are appropriate to qualifications and delegations and that appropriate support, including technical and professional assistance, is available</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1.6</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Determine chain of responsibility for the activity evaluation, reporting arrangements and timeline</w:t>
            </w:r>
            <w:r w:rsidRPr="00D31BA1">
              <w: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1.7</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 xml:space="preserve">Identify work health and safety (WHS) and regulatory requirements with particular emphasis on safety, codes of practice, performance requirements and standards, including airworthiness regulatory requirements for aircraft electrical systems, risk </w:t>
            </w:r>
            <w:r w:rsidRPr="00D31BA1">
              <w:t>management and organisational procedures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w:t>
            </w:r>
          </w:p>
        </w:tc>
        <w:tc>
          <w:tcPr>
            <w:tcW w:w="2438" w:type="dxa"/>
            <w:vMerge w:val="restart"/>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Identify principles and techniques required for evaluation of aircraft electrical system</w:t>
            </w: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2.1</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Identify features and functions of aircraft electrical AC and DC systems and components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2.2</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Review aircraft electrical system design and layout requirements and techniques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2.3</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Identify system power generation and control requirements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2.4</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Identify electrical distribution system circuit and protection requirements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2.5</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Identify interfaces with aircraft and avionic systems and their power requirements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2.6</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Identify internal and external aircraft lighting requirements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3.</w:t>
            </w:r>
          </w:p>
        </w:tc>
        <w:tc>
          <w:tcPr>
            <w:tcW w:w="2438" w:type="dxa"/>
            <w:vMerge w:val="restart"/>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 xml:space="preserve">Evaluate aircraft </w:t>
            </w:r>
            <w:r w:rsidRPr="00D31BA1">
              <w:t>electrical system and system components</w:t>
            </w: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3.1</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Evaluate proposed modifications to air</w:t>
            </w:r>
            <w:r w:rsidRPr="00D31BA1">
              <w:t xml:space="preserve">craft electrical </w:t>
            </w:r>
            <w:r w:rsidRPr="00D31BA1">
              <w:t>systems and system components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3.2</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Evaluate aircraft electrical system and system component maintenance requirements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3.3</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Evaluate aircraft electrical system and system component reliability and defect history</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3.4</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Evaluate proposed component substitutions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3.5</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Evaluate application for compliance with WHS Acts, regulations, codes, directives and standards/specifications, including those related to risk management</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4.</w:t>
            </w:r>
          </w:p>
        </w:tc>
        <w:tc>
          <w:tcPr>
            <w:tcW w:w="2438"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Report results</w:t>
            </w: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4.1</w:t>
            </w:r>
          </w:p>
        </w:tc>
        <w:tc>
          <w:tcPr>
            <w:tcW w:w="5271"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Report results of scoping, pr</w:t>
            </w:r>
            <w:r w:rsidRPr="00D31BA1">
              <w:t>inciples and techniques identification and evaluation of applications</w:t>
            </w:r>
          </w:p>
        </w:tc>
      </w:tr>
      <w:tr w:rsidTr="00D31B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4.2</w:t>
            </w:r>
          </w:p>
        </w:tc>
        <w:tc>
          <w:tcPr>
            <w:tcW w:w="5271" w:type="dxa"/>
            <w:tcBorders>
              <w:top w:val="nil"/>
              <w:left w:val="nil"/>
              <w:bottom w:val="nil"/>
              <w:right w:val="nil"/>
            </w:tcBorders>
            <w:tcMar>
              <w:top w:w="0" w:type="dxa"/>
              <w:left w:w="62" w:type="dxa"/>
              <w:bottom w:w="0" w:type="dxa"/>
              <w:right w:w="62" w:type="dxa"/>
            </w:tcMar>
          </w:tcPr>
          <w:p w:rsidR="00000000" w:rsidRPr="00D31BA1" w:rsidP="00D31BA1">
            <w:pPr>
              <w:pStyle w:val="BodyText"/>
            </w:pPr>
            <w:r w:rsidRPr="00D31BA1">
              <w:t>Provide documentation, such as system schematics, wiring diagrams and data required by CM and/or ILS, and as required for compliance with airworthiness regulations</w:t>
            </w:r>
          </w:p>
        </w:tc>
      </w:tr>
    </w:tbl>
    <w:p w:rsidR="00000000" w:rsidRPr="00D31BA1" w:rsidP="00D31BA1">
      <w:pPr>
        <w:pStyle w:val="BodyText"/>
      </w:pPr>
    </w:p>
    <w:p w:rsidR="00000000" w:rsidRPr="00D31BA1" w:rsidP="00D31BA1">
      <w:pPr>
        <w:pStyle w:val="AllowPageBreak"/>
      </w:pPr>
    </w:p>
    <w:p w:rsidR="00000000" w:rsidRPr="00D31BA1" w:rsidP="00D31BA1">
      <w:pPr>
        <w:pStyle w:val="Heading1"/>
      </w:pPr>
      <w:bookmarkStart w:id="7" w:name="O_724147"/>
      <w:bookmarkEnd w:id="7"/>
      <w:r w:rsidRPr="00D31BA1">
        <w:t>Foundation Skills</w:t>
      </w:r>
    </w:p>
    <w:p w:rsidR="00000000" w:rsidRPr="00D31BA1" w:rsidP="00141CCE">
      <w:pPr>
        <w:pStyle w:val="BodyText"/>
      </w:pPr>
      <w:r w:rsidRPr="00D31BA1">
        <w:t>Foundation skills essential to performance are explicit in the performance criteria of this unit of competency.</w:t>
      </w:r>
    </w:p>
    <w:p w:rsidR="00000000" w:rsidRPr="00D31BA1" w:rsidP="00D31BA1">
      <w:pPr>
        <w:pStyle w:val="Heading1"/>
      </w:pPr>
      <w:bookmarkStart w:id="8" w:name="O_724146"/>
      <w:bookmarkEnd w:id="8"/>
      <w:r w:rsidRPr="00D31BA1">
        <w:t>Range of Conditions</w:t>
      </w:r>
    </w:p>
    <w:tbl>
      <w:tblPr>
        <w:tblW w:w="0" w:type="auto"/>
        <w:tblLayout w:type="fixed"/>
        <w:tblCellMar>
          <w:left w:w="62" w:type="dxa"/>
          <w:right w:w="62" w:type="dxa"/>
        </w:tblCellMar>
        <w:tblLook w:val="0000"/>
      </w:tblPr>
      <w:tblGrid>
        <w:gridCol w:w="3060"/>
        <w:gridCol w:w="6012"/>
      </w:tblGrid>
      <w:tr w:rsidTr="00D31B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t xml:space="preserve">This field allows for different work environments and conditions that may affect </w:t>
            </w:r>
            <w:r w:rsidRPr="00D31BA1">
              <w:t>performance. Essential operating conditions that may be present (depending on the work situation, needs of the candidate, accessibility of the item, and local industry and regional contexts) are included.</w:t>
            </w:r>
          </w:p>
        </w:tc>
      </w:tr>
      <w:tr w:rsidTr="00D31BA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rPr>
                <w:rStyle w:val="SpecialBold"/>
              </w:rPr>
              <w:t>Aircraft electrical systems include:</w:t>
            </w:r>
          </w:p>
        </w:tc>
        <w:tc>
          <w:tcPr>
            <w:tcW w:w="6012" w:type="dxa"/>
            <w:tcBorders>
              <w:top w:val="nil"/>
              <w:left w:val="nil"/>
              <w:bottom w:val="nil"/>
              <w:right w:val="nil"/>
            </w:tcBorders>
            <w:tcMar>
              <w:top w:w="0" w:type="dxa"/>
              <w:left w:w="62" w:type="dxa"/>
              <w:bottom w:w="0" w:type="dxa"/>
              <w:right w:w="62" w:type="dxa"/>
            </w:tcMar>
          </w:tcPr>
          <w:p w:rsidR="00000000" w:rsidRPr="00D31BA1" w:rsidP="00D31BA1">
            <w:pPr>
              <w:pStyle w:val="ListBullet"/>
            </w:pPr>
            <w:r w:rsidRPr="00D31BA1">
              <w:t>AC power ge</w:t>
            </w:r>
            <w:r w:rsidRPr="00D31BA1">
              <w:t>neration and control</w:t>
            </w:r>
          </w:p>
          <w:p w:rsidR="00000000" w:rsidRPr="00D31BA1" w:rsidP="00D31BA1">
            <w:pPr>
              <w:pStyle w:val="ListBullet"/>
            </w:pPr>
            <w:r w:rsidRPr="00D31BA1">
              <w:t>DC power generation and control</w:t>
            </w:r>
          </w:p>
          <w:p w:rsidR="00000000" w:rsidRPr="00D31BA1" w:rsidP="00D31BA1">
            <w:pPr>
              <w:pStyle w:val="ListBullet"/>
            </w:pPr>
            <w:r w:rsidRPr="00D31BA1">
              <w:t>Batteries</w:t>
            </w:r>
          </w:p>
          <w:p w:rsidR="00000000" w:rsidRPr="00D31BA1" w:rsidP="00D31BA1">
            <w:pPr>
              <w:pStyle w:val="ListBullet"/>
            </w:pPr>
            <w:r w:rsidRPr="00D31BA1">
              <w:t>Electrical power distribution circuits and circuit protection</w:t>
            </w:r>
          </w:p>
          <w:p w:rsidR="00000000" w:rsidRPr="00D31BA1" w:rsidP="00D31BA1">
            <w:pPr>
              <w:pStyle w:val="ListBullet"/>
            </w:pPr>
            <w:r w:rsidRPr="00D31BA1">
              <w:t>External lighting circuits</w:t>
            </w:r>
          </w:p>
          <w:p w:rsidR="00000000" w:rsidRPr="00D31BA1" w:rsidP="00D31BA1">
            <w:pPr>
              <w:pStyle w:val="ListBullet"/>
            </w:pPr>
            <w:r w:rsidRPr="00D31BA1">
              <w:t>Internal lighting circuits</w:t>
            </w:r>
          </w:p>
          <w:p w:rsidR="00000000" w:rsidRPr="00D31BA1" w:rsidP="00D31BA1">
            <w:pPr>
              <w:pStyle w:val="ListBullet"/>
            </w:pPr>
            <w:r w:rsidRPr="00D31BA1">
              <w:t>Electrical interfaces with aircraft systems, such as:</w:t>
            </w:r>
          </w:p>
          <w:p w:rsidR="00000000" w:rsidRPr="00D31BA1" w:rsidP="00D31BA1">
            <w:pPr>
              <w:pStyle w:val="ListBullet2"/>
            </w:pPr>
            <w:r w:rsidRPr="00D31BA1">
              <w:t>hydraulic</w:t>
            </w:r>
          </w:p>
          <w:p w:rsidR="00000000" w:rsidRPr="00D31BA1" w:rsidP="00D31BA1">
            <w:pPr>
              <w:pStyle w:val="ListBullet2"/>
            </w:pPr>
            <w:r w:rsidRPr="00D31BA1">
              <w:t>landing gear and brakes</w:t>
            </w:r>
          </w:p>
          <w:p w:rsidR="00000000" w:rsidRPr="00D31BA1" w:rsidP="00D31BA1">
            <w:pPr>
              <w:pStyle w:val="ListBullet2"/>
            </w:pPr>
            <w:r w:rsidRPr="00D31BA1">
              <w:t>doors</w:t>
            </w:r>
          </w:p>
          <w:p w:rsidR="00000000" w:rsidRPr="00D31BA1" w:rsidP="00D31BA1">
            <w:pPr>
              <w:pStyle w:val="ListBullet2"/>
            </w:pPr>
            <w:r w:rsidRPr="00D31BA1">
              <w:t xml:space="preserve">pneumatic </w:t>
            </w:r>
          </w:p>
          <w:p w:rsidR="00000000" w:rsidRPr="00D31BA1" w:rsidP="00D31BA1">
            <w:pPr>
              <w:pStyle w:val="ListBullet2"/>
            </w:pPr>
            <w:r w:rsidRPr="00D31BA1">
              <w:t>air conditioning and pressurisation</w:t>
            </w:r>
          </w:p>
          <w:p w:rsidR="00000000" w:rsidRPr="00D31BA1" w:rsidP="00D31BA1">
            <w:pPr>
              <w:pStyle w:val="ListBullet2"/>
            </w:pPr>
            <w:r w:rsidRPr="00D31BA1">
              <w:t>flight controls</w:t>
            </w:r>
          </w:p>
          <w:p w:rsidR="00000000" w:rsidRPr="00D31BA1" w:rsidP="00D31BA1">
            <w:pPr>
              <w:pStyle w:val="ListBullet2"/>
            </w:pPr>
            <w:r w:rsidRPr="00D31BA1">
              <w:t>engine controls</w:t>
            </w:r>
          </w:p>
          <w:p w:rsidR="00000000" w:rsidRPr="00D31BA1" w:rsidP="00D31BA1">
            <w:pPr>
              <w:pStyle w:val="ListBullet2"/>
            </w:pPr>
            <w:r w:rsidRPr="00D31BA1">
              <w:t>anti-ice and de-ice</w:t>
            </w:r>
          </w:p>
          <w:p w:rsidR="00000000" w:rsidRPr="00D31BA1" w:rsidP="00D31BA1">
            <w:pPr>
              <w:pStyle w:val="ListBullet2"/>
            </w:pPr>
            <w:r w:rsidRPr="00D31BA1">
              <w:t>fire detection and extinguishing</w:t>
            </w:r>
          </w:p>
          <w:p w:rsidR="00000000" w:rsidRPr="00D31BA1" w:rsidP="00D31BA1">
            <w:pPr>
              <w:pStyle w:val="ListBullet"/>
            </w:pPr>
            <w:r w:rsidRPr="00D31BA1">
              <w:t>Electrical interfaces with avionic systems, such as:</w:t>
            </w:r>
          </w:p>
          <w:p w:rsidR="00000000" w:rsidRPr="00D31BA1" w:rsidP="00D31BA1">
            <w:pPr>
              <w:pStyle w:val="ListBullet2"/>
            </w:pPr>
            <w:r w:rsidRPr="00D31BA1">
              <w:t>caution and warning</w:t>
            </w:r>
          </w:p>
          <w:p w:rsidR="00000000" w:rsidRPr="00D31BA1" w:rsidP="00D31BA1">
            <w:pPr>
              <w:pStyle w:val="ListBullet2"/>
            </w:pPr>
            <w:r w:rsidRPr="00D31BA1">
              <w:t>instrumentation</w:t>
            </w:r>
          </w:p>
          <w:p w:rsidR="00000000" w:rsidRPr="00D31BA1" w:rsidP="00D31BA1">
            <w:pPr>
              <w:pStyle w:val="ListBullet2"/>
            </w:pPr>
            <w:r w:rsidRPr="00D31BA1">
              <w:t>communications</w:t>
            </w:r>
          </w:p>
          <w:p w:rsidR="00000000" w:rsidRPr="00D31BA1" w:rsidP="00D31BA1">
            <w:pPr>
              <w:pStyle w:val="ListBullet2"/>
            </w:pPr>
            <w:r w:rsidRPr="00D31BA1">
              <w:t>navigation</w:t>
            </w:r>
          </w:p>
          <w:p w:rsidR="00000000" w:rsidRPr="00D31BA1" w:rsidP="00D31BA1">
            <w:pPr>
              <w:pStyle w:val="ListBullet2"/>
            </w:pPr>
            <w:r w:rsidRPr="00D31BA1">
              <w:t>pulse</w:t>
            </w:r>
          </w:p>
          <w:p w:rsidR="00000000" w:rsidRPr="00D31BA1" w:rsidP="00D31BA1">
            <w:pPr>
              <w:pStyle w:val="ListBullet2"/>
            </w:pPr>
            <w:r w:rsidRPr="00D31BA1">
              <w:t>on-board computer systems (e.g. automatic flight and engine control, flight management and on-board maintenance)</w:t>
            </w:r>
          </w:p>
          <w:p w:rsidR="00000000" w:rsidP="00D31BA1">
            <w:pPr>
              <w:pStyle w:val="ListBullet2"/>
              <w:rPr>
                <w:lang w:val="en-NZ"/>
              </w:rPr>
            </w:pPr>
            <w:r w:rsidRPr="00D31BA1">
              <w:t>in-flight entertainment</w:t>
            </w:r>
          </w:p>
        </w:tc>
      </w:tr>
      <w:tr w:rsidTr="00D31BA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rPr>
                <w:rStyle w:val="SpecialBold"/>
              </w:rPr>
              <w:t>Electrical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D31BA1" w:rsidP="00D31BA1">
            <w:pPr>
              <w:pStyle w:val="ListBullet"/>
            </w:pPr>
            <w:r w:rsidRPr="00D31BA1">
              <w:t>Alternators, generators, inverters and transformer/rectifiers</w:t>
            </w:r>
          </w:p>
          <w:p w:rsidR="00000000" w:rsidRPr="00D31BA1" w:rsidP="00D31BA1">
            <w:pPr>
              <w:pStyle w:val="ListBullet"/>
            </w:pPr>
            <w:r w:rsidRPr="00D31BA1">
              <w:t>Batteries and emergency batteries</w:t>
            </w:r>
          </w:p>
          <w:p w:rsidR="00000000" w:rsidRPr="00D31BA1" w:rsidP="00D31BA1">
            <w:pPr>
              <w:pStyle w:val="ListBullet"/>
            </w:pPr>
            <w:r w:rsidRPr="00D31BA1">
              <w:t>Regulators and indicators, such as voltage, current and frequency</w:t>
            </w:r>
          </w:p>
          <w:p w:rsidR="00000000" w:rsidRPr="00D31BA1" w:rsidP="00D31BA1">
            <w:pPr>
              <w:pStyle w:val="ListBullet"/>
            </w:pPr>
            <w:r w:rsidRPr="00D31BA1">
              <w:t>Switches</w:t>
            </w:r>
          </w:p>
          <w:p w:rsidR="00000000" w:rsidRPr="00D31BA1" w:rsidP="00D31BA1">
            <w:pPr>
              <w:pStyle w:val="ListBullet"/>
            </w:pPr>
            <w:r w:rsidRPr="00D31BA1">
              <w:t>Relays</w:t>
            </w:r>
          </w:p>
          <w:p w:rsidR="00000000" w:rsidRPr="00D31BA1" w:rsidP="00D31BA1">
            <w:pPr>
              <w:pStyle w:val="ListBullet"/>
            </w:pPr>
            <w:r w:rsidRPr="00D31BA1">
              <w:t>Wiring and related hardware</w:t>
            </w:r>
          </w:p>
          <w:p w:rsidR="00000000" w:rsidRPr="00D31BA1" w:rsidP="00D31BA1">
            <w:pPr>
              <w:pStyle w:val="ListBullet"/>
            </w:pPr>
            <w:r w:rsidRPr="00D31BA1">
              <w:t>Fuses and circuit breakers</w:t>
            </w:r>
          </w:p>
          <w:p w:rsidR="00000000" w:rsidRPr="00D31BA1" w:rsidP="00D31BA1">
            <w:pPr>
              <w:pStyle w:val="ListBullet"/>
            </w:pPr>
            <w:r w:rsidRPr="00D31BA1">
              <w:t>Rheostats</w:t>
            </w:r>
          </w:p>
          <w:p w:rsidR="00000000" w:rsidRPr="00D31BA1" w:rsidP="00D31BA1">
            <w:pPr>
              <w:pStyle w:val="ListBullet"/>
            </w:pPr>
            <w:r w:rsidRPr="00D31BA1">
              <w:t>Rotary and li</w:t>
            </w:r>
            <w:r w:rsidRPr="00D31BA1">
              <w:t>near actuators</w:t>
            </w:r>
          </w:p>
          <w:p w:rsidR="00000000" w:rsidRPr="00D31BA1" w:rsidP="00D31BA1">
            <w:pPr>
              <w:pStyle w:val="ListBullet"/>
            </w:pPr>
            <w:r w:rsidRPr="00D31BA1">
              <w:t>Lighting, including strobe lights</w:t>
            </w:r>
          </w:p>
          <w:p w:rsidR="00000000" w:rsidP="00D31BA1">
            <w:pPr>
              <w:pStyle w:val="ListBullet"/>
              <w:rPr>
                <w:lang w:val="en-NZ"/>
              </w:rPr>
            </w:pPr>
            <w:r w:rsidRPr="00D31BA1">
              <w:t>Indication and warning lights</w:t>
            </w:r>
          </w:p>
        </w:tc>
      </w:tr>
      <w:tr w:rsidTr="00D31BA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D31BA1" w:rsidP="00D31BA1">
            <w:pPr>
              <w:pStyle w:val="ListBullet"/>
            </w:pPr>
            <w:r w:rsidRPr="00D31BA1">
              <w:t>ASTM F2639-07 Standard Practices for Design, Alteration and Certification of Airplane Electrical Wiring Systems</w:t>
            </w:r>
          </w:p>
          <w:p w:rsidR="00000000" w:rsidRPr="00D31BA1" w:rsidP="00D31BA1">
            <w:pPr>
              <w:pStyle w:val="ListBullet"/>
            </w:pPr>
            <w:r w:rsidRPr="00D31BA1">
              <w:t>ARINC Report 609 Design Guidance for Aircraft Electrical Power Systems</w:t>
            </w:r>
          </w:p>
          <w:p w:rsidR="00000000" w:rsidRPr="00D31BA1" w:rsidP="00D31BA1">
            <w:pPr>
              <w:pStyle w:val="ListBullet"/>
            </w:pPr>
            <w:r w:rsidRPr="00D31BA1">
              <w:t>CASA AC 21-38(0) Aircraft Electrical Load Analysis and Power Source Capacity</w:t>
            </w:r>
          </w:p>
          <w:p w:rsidR="00000000" w:rsidRPr="00D31BA1" w:rsidP="00D31BA1">
            <w:pPr>
              <w:pStyle w:val="ListBullet"/>
            </w:pPr>
            <w:r w:rsidRPr="00D31BA1">
              <w:t>CASA AC 21-99 Aircraft Wiring and Bonding</w:t>
            </w:r>
          </w:p>
          <w:p w:rsidR="00000000" w:rsidRPr="00D31BA1" w:rsidP="00D31BA1">
            <w:pPr>
              <w:pStyle w:val="ListBullet"/>
            </w:pPr>
            <w:r w:rsidRPr="00D31BA1">
              <w:t>ADF AAP7001.054 Airworthiness Design Requirements Manual</w:t>
            </w:r>
          </w:p>
          <w:p w:rsidR="00000000" w:rsidRPr="00D31BA1" w:rsidP="00D31BA1">
            <w:pPr>
              <w:pStyle w:val="ListBullet"/>
            </w:pPr>
            <w:r w:rsidRPr="00D31BA1">
              <w:t xml:space="preserve">FAR Part </w:t>
            </w:r>
            <w:r w:rsidRPr="00D31BA1">
              <w:t xml:space="preserve">23 Airworthiness Standards for Airplanes in the Normal, Utility, Aerobatic or Commuter Categories </w:t>
            </w:r>
          </w:p>
          <w:p w:rsidR="00000000" w:rsidRPr="00D31BA1" w:rsidP="00D31BA1">
            <w:pPr>
              <w:pStyle w:val="ListBullet"/>
            </w:pPr>
            <w:r w:rsidRPr="00D31BA1">
              <w:t xml:space="preserve">FAR Part 25 Airworthiness Standards for Airplanes in the Transport Category </w:t>
            </w:r>
          </w:p>
          <w:p w:rsidR="00000000" w:rsidRPr="00D31BA1" w:rsidP="00D31BA1">
            <w:pPr>
              <w:pStyle w:val="ListBullet"/>
            </w:pPr>
            <w:r w:rsidRPr="00D31BA1">
              <w:t xml:space="preserve">FAR Part 27 Airworthiness Standards for Rotorcraft in the Normal Category </w:t>
            </w:r>
          </w:p>
          <w:p w:rsidR="00000000" w:rsidRPr="00D31BA1" w:rsidP="00D31BA1">
            <w:pPr>
              <w:pStyle w:val="ListBullet"/>
            </w:pPr>
            <w:r w:rsidRPr="00D31BA1">
              <w:t>FAR P</w:t>
            </w:r>
            <w:r w:rsidRPr="00D31BA1">
              <w:t>art 29 Airworthiness Standards for Rotorcraft in the Transport Category</w:t>
            </w:r>
          </w:p>
          <w:p w:rsidR="00000000" w:rsidRPr="00D31BA1" w:rsidP="00D31BA1">
            <w:pPr>
              <w:pStyle w:val="ListBullet"/>
            </w:pPr>
            <w:r w:rsidRPr="00D31BA1">
              <w:t>EASA CS-23 Certification Specifications for Aeroplanes in the Normal, Utility, Aerobatic or Commuter Categories</w:t>
            </w:r>
          </w:p>
          <w:p w:rsidR="00000000" w:rsidRPr="00D31BA1" w:rsidP="00D31BA1">
            <w:pPr>
              <w:pStyle w:val="ListBullet"/>
            </w:pPr>
            <w:r w:rsidRPr="00D31BA1">
              <w:t>EASA CS-25 Certification Specifications for Airplanes in the Transport C</w:t>
            </w:r>
            <w:r w:rsidRPr="00D31BA1">
              <w:t>ategory</w:t>
            </w:r>
          </w:p>
          <w:p w:rsidR="00000000" w:rsidRPr="00D31BA1" w:rsidP="00D31BA1">
            <w:pPr>
              <w:pStyle w:val="ListBullet"/>
            </w:pPr>
            <w:r w:rsidRPr="00D31BA1">
              <w:t>EASA CS-27 Certification Specifications for Rotorcraft in the Normal Category</w:t>
            </w:r>
          </w:p>
          <w:p w:rsidR="00000000" w:rsidRPr="00D31BA1" w:rsidP="00D31BA1">
            <w:pPr>
              <w:pStyle w:val="ListBullet"/>
            </w:pPr>
            <w:r w:rsidRPr="00D31BA1">
              <w:t>EASA CS-29 Certification Specifications for Rotorcraft in the Transport Category</w:t>
            </w:r>
          </w:p>
          <w:p w:rsidR="00000000" w:rsidRPr="00D31BA1" w:rsidP="00D31BA1">
            <w:pPr>
              <w:pStyle w:val="ListBullet"/>
            </w:pPr>
            <w:r w:rsidRPr="00D31BA1">
              <w:t>RTCA DO-160D Environmental Conditions and Test Procedures for Airborne Equipment</w:t>
            </w:r>
          </w:p>
          <w:p w:rsidR="00000000" w:rsidRPr="00D31BA1" w:rsidP="00D31BA1">
            <w:pPr>
              <w:pStyle w:val="ListBullet"/>
            </w:pPr>
            <w:r w:rsidRPr="00D31BA1">
              <w:t>Military</w:t>
            </w:r>
            <w:r w:rsidRPr="00D31BA1">
              <w:t xml:space="preserve"> Specification MIL-E-7016F: Electrical Load and Power Source Capacity, Aircraft, Analysis of</w:t>
            </w:r>
          </w:p>
          <w:p w:rsidR="00000000" w:rsidRPr="00D31BA1" w:rsidP="00D31BA1">
            <w:pPr>
              <w:pStyle w:val="ListBullet"/>
            </w:pPr>
            <w:r w:rsidRPr="00D31BA1">
              <w:t>SAE Aerospace AS50881 Wiring Aerospace Vehicles</w:t>
            </w:r>
          </w:p>
          <w:p w:rsidR="00000000" w:rsidRPr="00D31BA1" w:rsidP="00D31BA1">
            <w:pPr>
              <w:pStyle w:val="ListBullet"/>
            </w:pPr>
            <w:r w:rsidRPr="00D31BA1">
              <w:t>CASA AC21.16(0) Approval of material, parts, processes and appliances</w:t>
            </w:r>
          </w:p>
          <w:p w:rsidR="00000000" w:rsidRPr="00D31BA1" w:rsidP="00D31BA1">
            <w:pPr>
              <w:pStyle w:val="ListBullet"/>
            </w:pPr>
            <w:r w:rsidRPr="00D31BA1">
              <w:t xml:space="preserve">CASA AC21.145(0) Manufacture of parts during </w:t>
            </w:r>
            <w:r w:rsidRPr="00D31BA1">
              <w:t>the course of maintenance</w:t>
            </w:r>
          </w:p>
          <w:p w:rsidR="00000000" w:rsidRPr="00D31BA1" w:rsidP="00D31BA1">
            <w:pPr>
              <w:pStyle w:val="ListBullet"/>
            </w:pPr>
            <w:r w:rsidRPr="00D31BA1">
              <w:t>CASA AC21.601(0) Australian Technical Standards Order Authorisation</w:t>
            </w:r>
          </w:p>
          <w:p w:rsidR="00000000" w:rsidRPr="00D31BA1" w:rsidP="00D31BA1">
            <w:pPr>
              <w:pStyle w:val="ListBullet"/>
            </w:pPr>
            <w:r w:rsidRPr="00D31BA1">
              <w:t>CASA CAAP35-7(0) Design approval of modifications and repairs</w:t>
            </w:r>
          </w:p>
          <w:p w:rsidR="00000000" w:rsidP="00D31BA1">
            <w:pPr>
              <w:pStyle w:val="ListBullet"/>
              <w:rPr>
                <w:lang w:val="en-NZ"/>
              </w:rPr>
            </w:pPr>
            <w:r w:rsidRPr="00D31BA1">
              <w:t>FAA AC 43-13-1B Acceptable Methods, Techniques and Practices – Aircraft Inspection and Repair</w:t>
            </w:r>
          </w:p>
        </w:tc>
      </w:tr>
      <w:tr w:rsidTr="00D31BA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D31BA1">
            <w:pPr>
              <w:pStyle w:val="ListBullet"/>
              <w:rPr>
                <w:lang w:val="en-NZ"/>
              </w:rPr>
            </w:pPr>
            <w:r w:rsidRPr="00D31BA1">
              <w:t>CM is a process for control and documentation of the design and development process and for the management of system, component and software throughout the service life</w:t>
            </w:r>
          </w:p>
        </w:tc>
      </w:tr>
      <w:tr w:rsidTr="00D31BA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D31BA1" w:rsidP="00D31BA1">
            <w:pPr>
              <w:pStyle w:val="ListBullet"/>
            </w:pPr>
            <w:r w:rsidRPr="00D31BA1">
              <w:t>ILS is an integrated</w:t>
            </w:r>
            <w:r w:rsidRPr="00D31BA1">
              <w:t xml:space="preserve"> approach to the management of logistic disciplines originally developed for the management of military systems from design concept to final disposal at life-of-type. It covers:</w:t>
            </w:r>
          </w:p>
          <w:p w:rsidR="00000000" w:rsidRPr="00D31BA1" w:rsidP="00D31BA1">
            <w:pPr>
              <w:pStyle w:val="ListBullet2"/>
            </w:pPr>
            <w:r w:rsidRPr="00D31BA1">
              <w:t>reliability engineering, maintainability engineering and maintenance planning</w:t>
            </w:r>
          </w:p>
          <w:p w:rsidR="00000000" w:rsidRPr="00D31BA1" w:rsidP="00D31BA1">
            <w:pPr>
              <w:pStyle w:val="ListBullet2"/>
            </w:pPr>
            <w:r w:rsidRPr="00D31BA1">
              <w:t>supply and support</w:t>
            </w:r>
          </w:p>
          <w:p w:rsidR="00000000" w:rsidRPr="00D31BA1" w:rsidP="00D31BA1">
            <w:pPr>
              <w:pStyle w:val="ListBullet2"/>
            </w:pPr>
            <w:r w:rsidRPr="00D31BA1">
              <w:t>support and test equipment</w:t>
            </w:r>
          </w:p>
          <w:p w:rsidR="00000000" w:rsidRPr="00D31BA1" w:rsidP="00D31BA1">
            <w:pPr>
              <w:pStyle w:val="ListBullet2"/>
            </w:pPr>
            <w:r w:rsidRPr="00D31BA1">
              <w:t>manpower and personnel</w:t>
            </w:r>
          </w:p>
          <w:p w:rsidR="00000000" w:rsidRPr="00D31BA1" w:rsidP="00D31BA1">
            <w:pPr>
              <w:pStyle w:val="ListBullet2"/>
            </w:pPr>
            <w:r w:rsidRPr="00D31BA1">
              <w:t>training and training support</w:t>
            </w:r>
          </w:p>
          <w:p w:rsidR="00000000" w:rsidRPr="00D31BA1" w:rsidP="00D31BA1">
            <w:pPr>
              <w:pStyle w:val="ListBullet2"/>
            </w:pPr>
            <w:r w:rsidRPr="00D31BA1">
              <w:t>technical data and publications</w:t>
            </w:r>
          </w:p>
          <w:p w:rsidR="00000000" w:rsidRPr="00D31BA1" w:rsidP="00D31BA1">
            <w:pPr>
              <w:pStyle w:val="ListBullet2"/>
            </w:pPr>
            <w:r w:rsidRPr="00D31BA1">
              <w:t>computer resources support</w:t>
            </w:r>
          </w:p>
          <w:p w:rsidR="00000000" w:rsidRPr="00D31BA1" w:rsidP="00D31BA1">
            <w:pPr>
              <w:pStyle w:val="ListBullet2"/>
            </w:pPr>
            <w:r w:rsidRPr="00D31BA1">
              <w:t>facilities</w:t>
            </w:r>
          </w:p>
          <w:p w:rsidR="00000000" w:rsidRPr="00D31BA1" w:rsidP="00D31BA1">
            <w:pPr>
              <w:pStyle w:val="ListBullet2"/>
            </w:pPr>
            <w:r w:rsidRPr="00D31BA1">
              <w:t>packaging, handling, storage and transportation</w:t>
            </w:r>
          </w:p>
          <w:p w:rsidR="00000000" w:rsidP="00D31BA1">
            <w:pPr>
              <w:pStyle w:val="ListBullet2"/>
              <w:rPr>
                <w:lang w:val="en-NZ"/>
              </w:rPr>
            </w:pPr>
            <w:r w:rsidRPr="00D31BA1">
              <w:t>design interface</w:t>
            </w:r>
          </w:p>
        </w:tc>
      </w:tr>
      <w:tr w:rsidTr="00D31BA1">
        <w:tblPrEx>
          <w:tblW w:w="0" w:type="auto"/>
          <w:tblLayout w:type="fixed"/>
          <w:tblCellMar>
            <w:left w:w="62" w:type="dxa"/>
            <w:right w:w="62" w:type="dxa"/>
          </w:tblCellMar>
          <w:tblLook w:val="0000"/>
        </w:tblPrEx>
        <w:trPr>
          <w:trHeight w:val="2767"/>
        </w:trPr>
        <w:tc>
          <w:tcPr>
            <w:tcW w:w="3060" w:type="dxa"/>
            <w:tcBorders>
              <w:top w:val="nil"/>
              <w:left w:val="nil"/>
              <w:bottom w:val="nil"/>
              <w:right w:val="nil"/>
            </w:tcBorders>
            <w:tcMar>
              <w:top w:w="0" w:type="dxa"/>
              <w:left w:w="62" w:type="dxa"/>
              <w:bottom w:w="0" w:type="dxa"/>
              <w:right w:w="62" w:type="dxa"/>
            </w:tcMar>
          </w:tcPr>
          <w:p w:rsidR="00000000" w:rsidP="00D31BA1">
            <w:pPr>
              <w:pStyle w:val="BodyText"/>
              <w:rPr>
                <w:lang w:val="en-NZ"/>
              </w:rPr>
            </w:pPr>
            <w:r w:rsidRPr="00D31BA1">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D31BA1" w:rsidP="00D31BA1">
            <w:pPr>
              <w:pStyle w:val="ListBullet"/>
            </w:pPr>
            <w:r w:rsidRPr="00D31BA1">
              <w:t>Assistance from individuals with CASA maintenance certification licenses or those with supervisory authorisations in the ADF regulatory system</w:t>
            </w:r>
          </w:p>
          <w:p w:rsidR="00000000" w:rsidRPr="00D31BA1" w:rsidP="00D31BA1">
            <w:pPr>
              <w:pStyle w:val="ListBullet"/>
            </w:pPr>
            <w:r w:rsidRPr="00D31BA1">
              <w:t>Professional support from engineers employed within:</w:t>
            </w:r>
          </w:p>
          <w:p w:rsidR="00000000" w:rsidRPr="00D31BA1" w:rsidP="00D31BA1">
            <w:pPr>
              <w:pStyle w:val="ListBullet2"/>
            </w:pPr>
            <w:r w:rsidRPr="00D31BA1">
              <w:t>organisations with CASA continuing airworthiness management or maintenance approvals</w:t>
            </w:r>
          </w:p>
          <w:p w:rsidR="00000000" w:rsidRPr="00D31BA1" w:rsidP="00D31BA1">
            <w:pPr>
              <w:pStyle w:val="ListBullet2"/>
            </w:pPr>
            <w:r w:rsidRPr="00D31BA1">
              <w:t>approved engineering organisations under the ADF regulatory system</w:t>
            </w:r>
          </w:p>
          <w:p w:rsidR="00000000" w:rsidP="00D31BA1">
            <w:pPr>
              <w:pStyle w:val="ListBullet"/>
              <w:rPr>
                <w:lang w:val="en-NZ"/>
              </w:rPr>
            </w:pPr>
            <w:r w:rsidRPr="00D31BA1">
              <w:t xml:space="preserve">Engineers employed within organisations recognised by overseas </w:t>
            </w:r>
            <w:r w:rsidRPr="00D31BA1">
              <w:t>airworthiness organisations</w:t>
            </w:r>
          </w:p>
        </w:tc>
      </w:tr>
      <w:tr w:rsidTr="00D31BA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31BA1" w:rsidP="00D31BA1">
            <w:pPr>
              <w:pStyle w:val="BodyText"/>
            </w:pPr>
            <w:r w:rsidRPr="00D31BA1">
              <w:rPr>
                <w:rStyle w:val="SpecialBold"/>
              </w:rPr>
              <w:t>WHS, regu</w:t>
            </w:r>
            <w:r w:rsidRPr="00D31BA1">
              <w:rPr>
                <w:rStyle w:val="SpecialBold"/>
              </w:rPr>
              <w:t>latory requirements and enterprise procedures include:</w:t>
            </w:r>
          </w:p>
          <w:p w:rsidR="00000000" w:rsidP="00D31BA1">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D31BA1" w:rsidP="00D31BA1">
            <w:pPr>
              <w:pStyle w:val="ListBullet"/>
            </w:pPr>
            <w:r w:rsidRPr="00D31BA1">
              <w:t>WHS Acts and regulations</w:t>
            </w:r>
          </w:p>
          <w:p w:rsidR="00000000" w:rsidRPr="00D31BA1" w:rsidP="00D31BA1">
            <w:pPr>
              <w:pStyle w:val="ListBullet"/>
            </w:pPr>
            <w:r w:rsidRPr="00D31BA1">
              <w:t>Relevant standards</w:t>
            </w:r>
          </w:p>
          <w:p w:rsidR="00000000" w:rsidRPr="00D31BA1" w:rsidP="00D31BA1">
            <w:pPr>
              <w:pStyle w:val="ListBullet"/>
            </w:pPr>
            <w:r w:rsidRPr="00D31BA1">
              <w:t>Industry codes of practice</w:t>
            </w:r>
          </w:p>
          <w:p w:rsidR="00000000" w:rsidRPr="00D31BA1" w:rsidP="00D31BA1">
            <w:pPr>
              <w:pStyle w:val="ListBullet"/>
            </w:pPr>
            <w:r w:rsidRPr="00D31BA1">
              <w:t>Risk assessments</w:t>
            </w:r>
          </w:p>
          <w:p w:rsidR="00000000" w:rsidRPr="00D31BA1" w:rsidP="00D31BA1">
            <w:pPr>
              <w:pStyle w:val="ListBullet"/>
            </w:pPr>
            <w:r w:rsidRPr="00D31BA1">
              <w:t xml:space="preserve">Registration requirements </w:t>
            </w:r>
          </w:p>
          <w:p w:rsidR="00000000" w:rsidRPr="00D31BA1" w:rsidP="00D31BA1">
            <w:pPr>
              <w:pStyle w:val="ListBullet"/>
            </w:pPr>
            <w:r w:rsidRPr="00D31BA1">
              <w:t>Safe work practices</w:t>
            </w:r>
          </w:p>
          <w:p w:rsidR="00000000" w:rsidRPr="00D31BA1" w:rsidP="00D31BA1">
            <w:pPr>
              <w:pStyle w:val="ListBullet"/>
            </w:pPr>
            <w:r w:rsidRPr="00D31BA1">
              <w:t>Civil Aviation Safety Regulations (CASRs)</w:t>
            </w:r>
          </w:p>
          <w:p w:rsidR="00000000" w:rsidRPr="00D31BA1" w:rsidP="00D31BA1">
            <w:pPr>
              <w:pStyle w:val="ListBullet"/>
            </w:pPr>
            <w:r w:rsidRPr="00D31BA1">
              <w:t>AAP7001.053 ADF Technical Airworthiness Management Manual</w:t>
            </w:r>
          </w:p>
          <w:p w:rsidR="00000000" w:rsidRPr="00D31BA1" w:rsidP="00D31BA1">
            <w:pPr>
              <w:pStyle w:val="ListBullet"/>
            </w:pPr>
            <w:r w:rsidRPr="00D31BA1">
              <w:t>Overseas airworthiness authorities, where applicable, e.g. Federal Aviation Administration, Transport Canada, European Aviation Safety Agency</w:t>
            </w:r>
          </w:p>
        </w:tc>
      </w:tr>
    </w:tbl>
    <w:p w:rsidR="00000000" w:rsidRPr="00D31BA1" w:rsidP="00D31BA1">
      <w:pPr>
        <w:pStyle w:val="BodyText"/>
      </w:pPr>
    </w:p>
    <w:p w:rsidR="00000000" w:rsidRPr="00D31BA1" w:rsidP="00D31BA1">
      <w:pPr>
        <w:pStyle w:val="AllowPageBreak"/>
      </w:pPr>
    </w:p>
    <w:p w:rsidR="00000000" w:rsidRPr="00D31BA1" w:rsidP="00D31BA1">
      <w:pPr>
        <w:pStyle w:val="Heading1"/>
      </w:pPr>
      <w:bookmarkStart w:id="9" w:name="O_724145"/>
      <w:bookmarkEnd w:id="9"/>
      <w:r w:rsidRPr="00D31BA1">
        <w:t>Unit Mapping Information</w:t>
      </w:r>
    </w:p>
    <w:p w:rsidR="00000000" w:rsidRPr="00D31BA1" w:rsidP="00141CCE">
      <w:pPr>
        <w:pStyle w:val="BodyText"/>
      </w:pPr>
      <w:r w:rsidRPr="00D31BA1">
        <w:t>Release 1 –</w:t>
      </w:r>
      <w:r w:rsidRPr="00D31BA1">
        <w:t xml:space="preserve"> New unit based on MEM23096A Apply avionic system design principles and techniques in avionic engineering situations and MEM23096A Apply avionic system design principles and techniques in avionic engineering situations – units not equivalent</w:t>
      </w:r>
    </w:p>
    <w:p w:rsidR="00000000" w:rsidRPr="00D31BA1" w:rsidP="00D31BA1">
      <w:pPr>
        <w:pStyle w:val="Heading1"/>
      </w:pPr>
      <w:bookmarkStart w:id="10" w:name="O_724138"/>
      <w:bookmarkEnd w:id="10"/>
      <w:r w:rsidRPr="00D31BA1">
        <w:t>Links</w:t>
      </w:r>
    </w:p>
    <w:p w:rsidR="00000000" w:rsidRPr="00D31BA1" w:rsidP="00141CCE">
      <w:pPr>
        <w:pStyle w:val="BodyText"/>
      </w:pPr>
      <w:r w:rsidRPr="00D31BA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9767B">
        <w:rPr>
          <w:rStyle w:val="Hyperlink"/>
        </w:rPr>
        <w:t>https://vetnet.gov.au/Pages/TrainingDocs.aspx?q=ce216c9c-04d5-4b3b-9bcf-4e81d0950371</w:t>
      </w:r>
      <w:r>
        <w:fldChar w:fldCharType="end"/>
      </w:r>
    </w:p>
    <w:p w:rsidR="00000000" w:rsidRPr="00D31BA1" w:rsidP="00141CCE">
      <w:pPr>
        <w:pStyle w:val="BodyText"/>
        <w:sectPr w:rsidSect="00D31BA1">
          <w:headerReference w:type="default" r:id="rId10"/>
          <w:footerReference w:type="default" r:id="rId11"/>
          <w:pgSz w:w="11908" w:h="16833"/>
          <w:pgMar w:top="1702" w:right="1418" w:bottom="1702" w:left="1418" w:header="992" w:footer="992" w:gutter="0"/>
          <w:cols w:space="720"/>
          <w:noEndnote/>
          <w:docGrid w:linePitch="299"/>
        </w:sectPr>
      </w:pPr>
    </w:p>
    <w:p w:rsidR="00000000" w:rsidRPr="00D31BA1" w:rsidP="00D31BA1">
      <w:pPr>
        <w:pStyle w:val="SuperHeading"/>
      </w:pPr>
      <w:r w:rsidRPr="00D31BA1">
        <w:t>Assessment Requirements for MEA719 Evaluate aircraft e</w:t>
      </w:r>
      <w:r w:rsidRPr="00D31BA1">
        <w:t>lectrical systems</w:t>
      </w:r>
    </w:p>
    <w:p w:rsidR="00000000" w:rsidRPr="00D31BA1" w:rsidP="00D31BA1">
      <w:pPr>
        <w:pStyle w:val="Heading1"/>
      </w:pPr>
      <w:bookmarkStart w:id="11" w:name="O_724140"/>
      <w:bookmarkEnd w:id="11"/>
      <w:r w:rsidRPr="00D31BA1">
        <w:t>Modification History</w:t>
      </w:r>
    </w:p>
    <w:p w:rsidR="00000000" w:rsidRPr="00D31BA1" w:rsidP="00141CCE">
      <w:pPr>
        <w:pStyle w:val="BodyText"/>
      </w:pPr>
      <w:r w:rsidRPr="00D31BA1">
        <w:t>Release 1 - New unit of competency</w:t>
      </w:r>
    </w:p>
    <w:p w:rsidR="00000000" w:rsidRPr="00D31BA1" w:rsidP="00D31BA1">
      <w:pPr>
        <w:pStyle w:val="Heading1"/>
      </w:pPr>
      <w:bookmarkStart w:id="12" w:name="O_724143"/>
      <w:bookmarkEnd w:id="12"/>
      <w:r w:rsidRPr="00D31BA1">
        <w:t>Performance Evidence</w:t>
      </w:r>
    </w:p>
    <w:p w:rsidR="00000000" w:rsidRPr="00D31BA1" w:rsidP="00141CCE">
      <w:pPr>
        <w:pStyle w:val="BodyText"/>
      </w:pPr>
      <w:r w:rsidRPr="00D31BA1">
        <w:t>Evidence required to demonstrate competency in this unit must be relevant to and satisfy all of the requirements of the elements</w:t>
      </w:r>
      <w:r w:rsidRPr="00D31BA1">
        <w:t xml:space="preserve"> and performance criteria under the specified conditions of assessment, and must include:</w:t>
      </w:r>
    </w:p>
    <w:p w:rsidR="00000000" w:rsidRPr="00D31BA1" w:rsidP="00D31BA1">
      <w:pPr>
        <w:pStyle w:val="ListBullet"/>
      </w:pPr>
      <w:r w:rsidRPr="00D31BA1">
        <w:t>identifying WHS, regulatory and electrical safety requirements, risk management procedures, features and functions of aircraft electrical systems and components, and</w:t>
      </w:r>
      <w:r w:rsidRPr="00D31BA1">
        <w:t xml:space="preserve"> system design principles and techniques, including:</w:t>
      </w:r>
    </w:p>
    <w:p w:rsidR="00000000" w:rsidRPr="00D31BA1" w:rsidP="00D31BA1">
      <w:pPr>
        <w:pStyle w:val="ListBullet2"/>
      </w:pPr>
      <w:r w:rsidRPr="00D31BA1">
        <w:t>load analysis and operating environment</w:t>
      </w:r>
    </w:p>
    <w:p w:rsidR="00000000" w:rsidRPr="00D31BA1" w:rsidP="00D31BA1">
      <w:pPr>
        <w:pStyle w:val="ListBullet2"/>
      </w:pPr>
      <w:r w:rsidRPr="00D31BA1">
        <w:t>system control</w:t>
      </w:r>
    </w:p>
    <w:p w:rsidR="00000000" w:rsidRPr="00D31BA1" w:rsidP="00D31BA1">
      <w:pPr>
        <w:pStyle w:val="ListBullet2"/>
      </w:pPr>
      <w:r w:rsidRPr="00D31BA1">
        <w:t>indicating and circuit protection requirements</w:t>
      </w:r>
    </w:p>
    <w:p w:rsidR="00000000" w:rsidRPr="00D31BA1" w:rsidP="00D31BA1">
      <w:pPr>
        <w:pStyle w:val="ListBullet2"/>
      </w:pPr>
      <w:r w:rsidRPr="00D31BA1">
        <w:t xml:space="preserve">interface requirements between the distribution circuits and aircraft hydro-mechanical and avionic systems/system components </w:t>
      </w:r>
    </w:p>
    <w:p w:rsidR="00000000" w:rsidRPr="00D31BA1" w:rsidP="00D31BA1">
      <w:pPr>
        <w:pStyle w:val="ListBullet"/>
      </w:pPr>
      <w:r w:rsidRPr="00D31BA1">
        <w:t>reviewing effects of electricity on humans, dangerous high currents and voltages and automated systems, regulatory requirements r</w:t>
      </w:r>
      <w:r w:rsidRPr="00D31BA1">
        <w:t>elated to extra low, low and high voltage applications and relating these to aircraft electrical applications</w:t>
      </w:r>
    </w:p>
    <w:p w:rsidR="00000000" w:rsidRPr="00D31BA1" w:rsidP="00D31BA1">
      <w:pPr>
        <w:pStyle w:val="ListBullet"/>
      </w:pPr>
      <w:r w:rsidRPr="00D31BA1">
        <w:t>determining and confirming:</w:t>
      </w:r>
    </w:p>
    <w:p w:rsidR="00000000" w:rsidRPr="00D31BA1" w:rsidP="00D31BA1">
      <w:pPr>
        <w:pStyle w:val="ListBullet2"/>
      </w:pPr>
      <w:r w:rsidRPr="00D31BA1">
        <w:t>parameters and context of tasks</w:t>
      </w:r>
    </w:p>
    <w:p w:rsidR="00000000" w:rsidRPr="00D31BA1" w:rsidP="00D31BA1">
      <w:pPr>
        <w:pStyle w:val="ListBullet2"/>
      </w:pPr>
      <w:r w:rsidRPr="00D31BA1">
        <w:t>chain of responsibility</w:t>
      </w:r>
    </w:p>
    <w:p w:rsidR="00000000" w:rsidRPr="00D31BA1" w:rsidP="00D31BA1">
      <w:pPr>
        <w:pStyle w:val="ListBullet2"/>
      </w:pPr>
      <w:r w:rsidRPr="00D31BA1">
        <w:t>personal functions and responsibilities</w:t>
      </w:r>
    </w:p>
    <w:p w:rsidR="00000000" w:rsidRPr="00D31BA1" w:rsidP="00D31BA1">
      <w:pPr>
        <w:pStyle w:val="ListBullet2"/>
      </w:pPr>
      <w:r w:rsidRPr="00D31BA1">
        <w:t>team and support func</w:t>
      </w:r>
      <w:r w:rsidRPr="00D31BA1">
        <w:t>tional group interdependencies and communications</w:t>
      </w:r>
    </w:p>
    <w:p w:rsidR="00000000" w:rsidRPr="00D31BA1" w:rsidP="00D31BA1">
      <w:pPr>
        <w:pStyle w:val="ListBullet2"/>
      </w:pPr>
      <w:r w:rsidRPr="00D31BA1">
        <w:t>appropriate qualifications and delegations</w:t>
      </w:r>
    </w:p>
    <w:p w:rsidR="00000000" w:rsidRPr="00D31BA1" w:rsidP="00D31BA1">
      <w:pPr>
        <w:pStyle w:val="ListBullet2"/>
      </w:pPr>
      <w:r w:rsidRPr="00D31BA1">
        <w:t>appropriate support, including technical and professional assistance</w:t>
      </w:r>
    </w:p>
    <w:p w:rsidR="00000000" w:rsidRPr="00D31BA1" w:rsidP="00D31BA1">
      <w:pPr>
        <w:pStyle w:val="ListBullet"/>
      </w:pPr>
      <w:r w:rsidRPr="00D31BA1">
        <w:t>investigating associated CM and ILS requirements and drafting required data</w:t>
      </w:r>
    </w:p>
    <w:p w:rsidR="00000000" w:rsidRPr="00D31BA1" w:rsidP="00D31BA1">
      <w:pPr>
        <w:pStyle w:val="ListBullet"/>
      </w:pPr>
      <w:r w:rsidRPr="00D31BA1">
        <w:t>identifying and d</w:t>
      </w:r>
      <w:r w:rsidRPr="00D31BA1">
        <w:t>rafting data required for compliance with airworthiness regulations</w:t>
      </w:r>
    </w:p>
    <w:p w:rsidR="00000000" w:rsidRPr="00D31BA1" w:rsidP="00D31BA1">
      <w:pPr>
        <w:pStyle w:val="ListBullet"/>
      </w:pPr>
      <w:r w:rsidRPr="00D31BA1">
        <w:t>assessing and applying:</w:t>
      </w:r>
    </w:p>
    <w:p w:rsidR="00000000" w:rsidRPr="00D31BA1" w:rsidP="00D31BA1">
      <w:pPr>
        <w:pStyle w:val="ListBullet2"/>
      </w:pPr>
      <w:r w:rsidRPr="00D31BA1">
        <w:t>basic aircraft electrical system load analysis and design procedures</w:t>
      </w:r>
    </w:p>
    <w:p w:rsidR="00000000" w:rsidRPr="00D31BA1" w:rsidP="00D31BA1">
      <w:pPr>
        <w:pStyle w:val="ListBullet2"/>
      </w:pPr>
      <w:r w:rsidRPr="00D31BA1">
        <w:t>design standards</w:t>
      </w:r>
    </w:p>
    <w:p w:rsidR="00000000" w:rsidRPr="00D31BA1" w:rsidP="00D31BA1">
      <w:pPr>
        <w:pStyle w:val="ListBullet2"/>
      </w:pPr>
      <w:r w:rsidRPr="00D31BA1">
        <w:t xml:space="preserve">regulatory requirements </w:t>
      </w:r>
    </w:p>
    <w:p w:rsidR="00000000" w:rsidRPr="00D31BA1" w:rsidP="00D31BA1">
      <w:pPr>
        <w:pStyle w:val="ListBullet2"/>
      </w:pPr>
      <w:r w:rsidRPr="00D31BA1">
        <w:t xml:space="preserve">graphics skills and techniques </w:t>
      </w:r>
    </w:p>
    <w:p w:rsidR="00000000" w:rsidRPr="00D31BA1" w:rsidP="00D31BA1">
      <w:pPr>
        <w:pStyle w:val="ListBullet"/>
      </w:pPr>
      <w:r w:rsidRPr="00D31BA1">
        <w:t>evaluating system components and specifications against system design and operating criteria</w:t>
      </w:r>
    </w:p>
    <w:p w:rsidR="00000000" w:rsidRPr="00D31BA1" w:rsidP="00D31BA1">
      <w:pPr>
        <w:pStyle w:val="ListBullet"/>
      </w:pPr>
      <w:r w:rsidRPr="00D31BA1">
        <w:t>reporting and documenting results of scoping, principles and techniques identification and evaluation of applications, system schematics and wiring diagrams.</w:t>
      </w:r>
    </w:p>
    <w:p w:rsidR="00000000" w:rsidRPr="00D31BA1" w:rsidP="00D31BA1">
      <w:pPr>
        <w:pStyle w:val="AllowPageBreak"/>
      </w:pPr>
    </w:p>
    <w:p w:rsidR="00000000" w:rsidRPr="00D31BA1" w:rsidP="00D31BA1">
      <w:pPr>
        <w:pStyle w:val="Heading1"/>
      </w:pPr>
      <w:bookmarkStart w:id="13" w:name="O_724142"/>
      <w:bookmarkEnd w:id="13"/>
      <w:r w:rsidRPr="00D31BA1">
        <w:t>Knowledge Evidence</w:t>
      </w:r>
    </w:p>
    <w:p w:rsidR="00000000" w:rsidRPr="00D31BA1" w:rsidP="00141CCE">
      <w:pPr>
        <w:pStyle w:val="BodyText"/>
      </w:pPr>
      <w:r w:rsidRPr="00D31BA1">
        <w:t>Evidence required to demonstrate competency in this unit must be relevant to and satisfy all of the requirements of the elements and performance criteria and include knowledge of:</w:t>
      </w:r>
    </w:p>
    <w:p w:rsidR="00000000" w:rsidRPr="00D31BA1" w:rsidP="00D31BA1">
      <w:pPr>
        <w:pStyle w:val="ListBullet"/>
      </w:pPr>
      <w:r w:rsidRPr="00D31BA1">
        <w:t>features of aircraft electrical AC and D</w:t>
      </w:r>
      <w:r w:rsidRPr="00D31BA1">
        <w:t>C systems, control and distribution, circuit protection and lighting system</w:t>
      </w:r>
    </w:p>
    <w:p w:rsidR="00000000" w:rsidRPr="00D31BA1" w:rsidP="00D31BA1">
      <w:pPr>
        <w:pStyle w:val="ListBullet"/>
      </w:pPr>
      <w:r w:rsidRPr="00D31BA1">
        <w:t xml:space="preserve">interface with aircraft hydro-mechanical systems, such as hydraulic, pneumatic, environmental, anti-ice, </w:t>
      </w:r>
      <w:r w:rsidRPr="00D31BA1">
        <w:t>flight control and engine control</w:t>
      </w:r>
    </w:p>
    <w:p w:rsidR="00000000" w:rsidRPr="00D31BA1" w:rsidP="00D31BA1">
      <w:pPr>
        <w:pStyle w:val="ListBullet"/>
      </w:pPr>
      <w:r w:rsidRPr="00D31BA1">
        <w:t>interface with avionic systems, such as instrumentation, communications, navigation, pulse, on-board computer systems and in-flight entertainment</w:t>
      </w:r>
    </w:p>
    <w:p w:rsidR="00000000" w:rsidRPr="00D31BA1" w:rsidP="00D31BA1">
      <w:pPr>
        <w:pStyle w:val="ListBullet"/>
      </w:pPr>
      <w:r w:rsidRPr="00D31BA1">
        <w:t>requirements and procedures for electrical system load analysis</w:t>
      </w:r>
    </w:p>
    <w:p w:rsidR="00000000" w:rsidRPr="00D31BA1" w:rsidP="00D31BA1">
      <w:pPr>
        <w:pStyle w:val="ListBullet"/>
      </w:pPr>
      <w:r w:rsidRPr="00D31BA1">
        <w:t>electrical system components and related speci</w:t>
      </w:r>
      <w:r w:rsidRPr="00D31BA1">
        <w:t>fications</w:t>
      </w:r>
    </w:p>
    <w:p w:rsidR="00000000" w:rsidRPr="00D31BA1" w:rsidP="00D31BA1">
      <w:pPr>
        <w:pStyle w:val="ListBullet"/>
      </w:pPr>
      <w:r w:rsidRPr="00D31BA1">
        <w:t>wiring types, standards and specifications, including optical fibre</w:t>
      </w:r>
    </w:p>
    <w:p w:rsidR="00000000" w:rsidRPr="00D31BA1" w:rsidP="00D31BA1">
      <w:pPr>
        <w:pStyle w:val="ListBullet"/>
      </w:pPr>
      <w:r w:rsidRPr="00D31BA1">
        <w:t>operating environment effects</w:t>
      </w:r>
    </w:p>
    <w:p w:rsidR="00000000" w:rsidRPr="00D31BA1" w:rsidP="00D31BA1">
      <w:pPr>
        <w:pStyle w:val="ListBullet"/>
      </w:pPr>
      <w:r w:rsidRPr="00D31BA1">
        <w:t>airworthiness regulator design standards</w:t>
      </w:r>
    </w:p>
    <w:p w:rsidR="00000000" w:rsidRPr="00D31BA1" w:rsidP="00D31BA1">
      <w:pPr>
        <w:pStyle w:val="ListBullet"/>
      </w:pPr>
      <w:r w:rsidRPr="00D31BA1">
        <w:t xml:space="preserve">compliance requirements of the WHS Act and regulations, codes of practice, standards, risk assessment </w:t>
      </w:r>
    </w:p>
    <w:p w:rsidR="00000000" w:rsidRPr="00D31BA1" w:rsidP="00D31BA1">
      <w:pPr>
        <w:pStyle w:val="ListBullet"/>
      </w:pPr>
      <w:r w:rsidRPr="00D31BA1">
        <w:t>scop</w:t>
      </w:r>
      <w:r w:rsidRPr="00D31BA1">
        <w:t>e of trade, technical and professional support services required in electrical system applications</w:t>
      </w:r>
    </w:p>
    <w:p w:rsidR="00000000" w:rsidRPr="00D31BA1" w:rsidP="00D31BA1">
      <w:pPr>
        <w:pStyle w:val="ListBullet"/>
      </w:pPr>
      <w:r w:rsidRPr="00D31BA1">
        <w:t>management data interface with CM and ILS.</w:t>
      </w:r>
    </w:p>
    <w:p w:rsidR="00000000" w:rsidRPr="00D31BA1" w:rsidP="00D31BA1">
      <w:pPr>
        <w:pStyle w:val="AllowPageBreak"/>
      </w:pPr>
    </w:p>
    <w:p w:rsidR="00000000" w:rsidRPr="00D31BA1" w:rsidP="00D31BA1">
      <w:pPr>
        <w:pStyle w:val="Heading1"/>
      </w:pPr>
      <w:bookmarkStart w:id="14" w:name="O_724141"/>
      <w:bookmarkEnd w:id="14"/>
      <w:r w:rsidRPr="00D31BA1">
        <w:t>Assessment Conditions</w:t>
      </w:r>
    </w:p>
    <w:p w:rsidR="00000000" w:rsidRPr="00D31BA1" w:rsidP="00D31BA1">
      <w:pPr>
        <w:pStyle w:val="ListBullet"/>
      </w:pPr>
      <w:r w:rsidRPr="00D31BA1">
        <w:t>This unit may be assessed on the job, off the job or a combination of both</w:t>
      </w:r>
      <w:r w:rsidRPr="00D31BA1">
        <w:t xml:space="preserve"> on and off the job. Where assessment occurs off the job, that is, the candidate is not in productive work, then a simulated working environment must be used that reflects realistic workplace situations and conditions. </w:t>
      </w:r>
    </w:p>
    <w:p w:rsidR="00000000" w:rsidRPr="00D31BA1" w:rsidP="00D31BA1">
      <w:pPr>
        <w:pStyle w:val="ListBullet"/>
      </w:pPr>
      <w:r w:rsidRPr="00D31BA1">
        <w:t>The competencies covered by this uni</w:t>
      </w:r>
      <w:r w:rsidRPr="00D31BA1">
        <w:t xml:space="preserve">t would be demonstrated by an individual working alone or as part of a team. </w:t>
      </w:r>
    </w:p>
    <w:p w:rsidR="00000000" w:rsidRPr="00D31BA1" w:rsidP="00D31BA1">
      <w:pPr>
        <w:pStyle w:val="ListBullet"/>
      </w:pPr>
      <w:r w:rsidRPr="00D31BA1">
        <w:t>Where applicable, reasonable adjustment must be made to work environments and training situations to accommodate ethnicity, age, gender, demographics and disability.</w:t>
      </w:r>
    </w:p>
    <w:p w:rsidR="00000000" w:rsidRPr="00D31BA1" w:rsidP="00D31BA1">
      <w:pPr>
        <w:pStyle w:val="ListBullet"/>
      </w:pPr>
      <w:r w:rsidRPr="00D31BA1">
        <w:t>Assessment m</w:t>
      </w:r>
      <w:r w:rsidRPr="00D31BA1">
        <w:t>ethods must be by direct observation of tasks and include questioning on underpinning knowledge to ensure its correct interpretation and application.</w:t>
      </w:r>
    </w:p>
    <w:p w:rsidR="00000000" w:rsidRPr="00D31BA1" w:rsidP="00D31BA1">
      <w:pPr>
        <w:pStyle w:val="ListBullet"/>
      </w:pPr>
      <w:r w:rsidRPr="00D31BA1">
        <w:t>Assessment may be applied under project-related conditions (real or simulated) and require evidence of pro</w:t>
      </w:r>
      <w:r w:rsidRPr="00D31BA1">
        <w:t>cess.</w:t>
      </w:r>
    </w:p>
    <w:p w:rsidR="00000000" w:rsidRPr="00D31BA1" w:rsidP="00D31BA1">
      <w:pPr>
        <w:pStyle w:val="ListBullet"/>
      </w:pPr>
      <w:r w:rsidRPr="00D31BA1">
        <w:t>Assessment must confirm a reasonable inference that competency is able not only to be satisfied under the particular circumstance, but is able to be transferred to other circumstances.</w:t>
      </w:r>
    </w:p>
    <w:p w:rsidR="00000000" w:rsidRPr="00D31BA1" w:rsidP="00D31BA1">
      <w:pPr>
        <w:pStyle w:val="ListBullet"/>
      </w:pPr>
      <w:r w:rsidRPr="00D31BA1">
        <w:t>Assessors must be satisfied that the candidate can competently an</w:t>
      </w:r>
      <w:r w:rsidRPr="00D31BA1">
        <w:t>d consistently:</w:t>
      </w:r>
    </w:p>
    <w:p w:rsidR="00000000" w:rsidRPr="00D31BA1" w:rsidP="00D31BA1">
      <w:pPr>
        <w:pStyle w:val="ListBullet2"/>
      </w:pPr>
      <w:r w:rsidRPr="00D31BA1">
        <w:t>identify and apply WHS, regulatory and risk management procedures</w:t>
      </w:r>
    </w:p>
    <w:p w:rsidR="00000000" w:rsidRPr="00D31BA1" w:rsidP="00D31BA1">
      <w:pPr>
        <w:pStyle w:val="ListBullet2"/>
      </w:pPr>
      <w:r w:rsidRPr="00D31BA1">
        <w:t>review dangers and effects of electricity on humans</w:t>
      </w:r>
    </w:p>
    <w:p w:rsidR="00000000" w:rsidRPr="00D31BA1" w:rsidP="00D31BA1">
      <w:pPr>
        <w:pStyle w:val="ListBullet2"/>
      </w:pPr>
      <w:r w:rsidRPr="00D31BA1">
        <w:t>determine parameters and context of tasks, personal, team, licensed technical and professional assistance, support personnel functions and responsibilities, and chain of responsibility</w:t>
      </w:r>
    </w:p>
    <w:p w:rsidR="00000000" w:rsidRPr="00D31BA1" w:rsidP="00D31BA1">
      <w:pPr>
        <w:pStyle w:val="ListBullet2"/>
      </w:pPr>
      <w:r w:rsidRPr="00D31BA1">
        <w:t>investigate sustainability implications of aircraft electrical system a</w:t>
      </w:r>
      <w:r w:rsidRPr="00D31BA1">
        <w:t>pplications as specified in CM and/or ILS requirements</w:t>
      </w:r>
    </w:p>
    <w:p w:rsidR="00000000" w:rsidRPr="00D31BA1" w:rsidP="00D31BA1">
      <w:pPr>
        <w:pStyle w:val="ListBullet2"/>
      </w:pPr>
      <w:r w:rsidRPr="00D31BA1">
        <w:t>assess and apply basic aircraft electrical system design and maintenance/repair requirements, software basic analysis and graphics skills and techniques</w:t>
      </w:r>
    </w:p>
    <w:p w:rsidR="00000000" w:rsidRPr="00D31BA1" w:rsidP="00D31BA1">
      <w:pPr>
        <w:pStyle w:val="ListBullet2"/>
      </w:pPr>
      <w:r w:rsidRPr="00D31BA1">
        <w:t>evaluate aircraft electrical systems and compone</w:t>
      </w:r>
      <w:r w:rsidRPr="00D31BA1">
        <w:t xml:space="preserve">nts for compliance with WHS and airworthiness regulatory requirements </w:t>
      </w:r>
    </w:p>
    <w:p w:rsidR="00000000" w:rsidRPr="00D31BA1" w:rsidP="00D31BA1">
      <w:pPr>
        <w:pStyle w:val="ListBullet2"/>
      </w:pPr>
      <w:r w:rsidRPr="00D31BA1">
        <w:t>report and document results including provision of CM and ILS input data.</w:t>
      </w:r>
    </w:p>
    <w:p w:rsidR="00000000" w:rsidRPr="00D31BA1" w:rsidP="00D31BA1">
      <w:pPr>
        <w:pStyle w:val="ListBullet"/>
      </w:pPr>
      <w:r w:rsidRPr="00D31BA1">
        <w:t>Assessment may be in conjunction with assessment of other units of competency where required.</w:t>
      </w:r>
    </w:p>
    <w:p w:rsidR="00000000" w:rsidRPr="00D31BA1" w:rsidP="00D31BA1">
      <w:pPr>
        <w:pStyle w:val="ListBullet"/>
      </w:pPr>
      <w:r w:rsidRPr="00D31BA1">
        <w:t>Assessors must s</w:t>
      </w:r>
      <w:r w:rsidRPr="00D31BA1">
        <w:t>atisfy the requirements of the National Vocational Education and Training Regulator (Australian Skills Quality Authority, or its successors).</w:t>
      </w:r>
    </w:p>
    <w:p w:rsidR="00000000" w:rsidRPr="00D31BA1" w:rsidP="00D31BA1">
      <w:pPr>
        <w:pStyle w:val="AllowPageBreak"/>
      </w:pPr>
    </w:p>
    <w:p w:rsidR="00000000" w:rsidRPr="00D31BA1" w:rsidP="00D31BA1">
      <w:pPr>
        <w:pStyle w:val="Heading1"/>
      </w:pPr>
      <w:bookmarkStart w:id="15" w:name="O_724139"/>
      <w:bookmarkEnd w:id="15"/>
      <w:r w:rsidRPr="00D31BA1">
        <w:t>Links</w:t>
      </w:r>
    </w:p>
    <w:p w:rsidR="00000000" w:rsidRPr="00D31BA1" w:rsidP="00141CCE">
      <w:pPr>
        <w:pStyle w:val="BodyText"/>
      </w:pPr>
      <w:r w:rsidRPr="00D31BA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9767B">
        <w:rPr>
          <w:rStyle w:val="Hyperlink"/>
        </w:rPr>
        <w:t>https://vetnet.gov.au/Pages/TrainingDocs.aspx?q=ce216c9c-04d5-4b3b-9bcf-4e81d0950371</w:t>
      </w:r>
      <w:r>
        <w:fldChar w:fldCharType="end"/>
      </w:r>
    </w:p>
    <w:p w:rsidR="00000000" w:rsidRPr="00D31BA1" w:rsidP="00D31BA1"/>
    <w:sectPr w:rsidSect="00D31B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rsidRPr="00141CCE" w:rsidP="00141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CE" w:rsidP="00D31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41CCE" w:rsidP="00D31B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1CCE" w:rsidP="00D31B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rsidP="00D31BA1">
    <w:pPr>
      <w:pStyle w:val="Footer"/>
      <w:framePr w:wrap="around"/>
    </w:pPr>
    <w:r>
      <w:fldChar w:fldCharType="begin"/>
    </w:r>
    <w:r>
      <w:instrText xml:space="preserve"> DOCPROPERTY  Subject  \* MERGEFORMAT </w:instrText>
    </w:r>
    <w:r>
      <w:fldChar w:fldCharType="separate"/>
    </w:r>
    <w:r w:rsidR="00141CCE">
      <w:t>Approved</w:t>
    </w:r>
    <w:r w:rsidR="00141CCE">
      <w:fldChar w:fldCharType="end"/>
    </w:r>
    <w:r>
      <w:tab/>
      <w:t xml:space="preserve">Page </w:t>
    </w:r>
    <w:r>
      <w:fldChar w:fldCharType="begin"/>
    </w:r>
    <w:r>
      <w:instrText xml:space="preserve"> PAGE  \* Arabic  \* MERGEFORMAT </w:instrText>
    </w:r>
    <w:r>
      <w:fldChar w:fldCharType="separate"/>
    </w:r>
    <w:r w:rsidR="00141CC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CCE">
      <w:rPr>
        <w:noProof/>
      </w:rPr>
      <w:t>7</w:t>
    </w:r>
    <w:r>
      <w:rPr>
        <w:noProof/>
      </w:rPr>
      <w:fldChar w:fldCharType="end"/>
    </w:r>
  </w:p>
  <w:p w:rsidR="00D31BA1" w:rsidP="00D31BA1">
    <w:pPr>
      <w:pStyle w:val="Footer"/>
      <w:framePr w:wrap="around"/>
    </w:pPr>
    <w:r>
      <w:t xml:space="preserve">© Commonwealth of Australia, </w:t>
    </w:r>
    <w:r>
      <w:fldChar w:fldCharType="begin"/>
    </w:r>
    <w:r>
      <w:instrText xml:space="preserve"> DATE  \@ "yyyy"  \* MERGEFORMAT </w:instrText>
    </w:r>
    <w:r>
      <w:fldChar w:fldCharType="separate"/>
    </w:r>
    <w:r w:rsidR="00141CCE">
      <w:rPr>
        <w:noProof/>
      </w:rPr>
      <w:t>2025</w:t>
    </w:r>
    <w:r>
      <w:fldChar w:fldCharType="end"/>
    </w:r>
    <w:r>
      <w:tab/>
    </w:r>
    <w:r>
      <w:fldChar w:fldCharType="begin"/>
    </w:r>
    <w:r>
      <w:instrText xml:space="preserve"> DOCPROPERTY  Author  \* MERGEFORMAT </w:instrText>
    </w:r>
    <w:r>
      <w:fldChar w:fldCharType="separate"/>
    </w:r>
    <w:r w:rsidR="00141CCE">
      <w:t>Manufacturing Industry Skills Alliance</w:t>
    </w:r>
    <w:r w:rsidR="00141CCE">
      <w:fldChar w:fldCharType="end"/>
    </w:r>
  </w:p>
  <w:p w:rsidR="00D31BA1" w:rsidP="00D31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BA1" w:rsidRPr="00141CCE" w:rsidP="00141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CE" w:rsidRPr="002D2AF8" w:rsidP="00D31BA1">
    <w:pPr>
      <w:pStyle w:val="Header"/>
      <w:framePr w:wrap="around"/>
    </w:pPr>
    <w:r>
      <w:fldChar w:fldCharType="begin"/>
    </w:r>
    <w:r>
      <w:instrText xml:space="preserve"> TITLE   \* MERGEFORMAT </w:instrText>
    </w:r>
    <w:r>
      <w:fldChar w:fldCharType="separate"/>
    </w:r>
    <w:r>
      <w:t>MEA719 Evaluate aircraft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1CCE" w:rsidP="00D31B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1" w:rsidRPr="002D2AF8" w:rsidP="00D31BA1">
    <w:pPr>
      <w:pStyle w:val="Header"/>
      <w:framePr w:wrap="around"/>
    </w:pPr>
    <w:r>
      <w:fldChar w:fldCharType="begin"/>
    </w:r>
    <w:r>
      <w:instrText xml:space="preserve"> TITLE   \* MERGEFORMAT </w:instrText>
    </w:r>
    <w:r>
      <w:fldChar w:fldCharType="separate"/>
    </w:r>
    <w:r w:rsidR="00141CCE">
      <w:t>MEA719 Evaluate aircraft electrical systems</w:t>
    </w:r>
    <w:r w:rsidR="00141CCE">
      <w:fldChar w:fldCharType="end"/>
    </w:r>
    <w:r>
      <w:tab/>
      <w:t xml:space="preserve">Date this document was generated: </w:t>
    </w:r>
    <w:r>
      <w:fldChar w:fldCharType="begin"/>
    </w:r>
    <w:r>
      <w:instrText xml:space="preserve"> CREATEDATE  \@ "d MMMM yyyy"  \* MERGEFORMAT </w:instrText>
    </w:r>
    <w:r>
      <w:fldChar w:fldCharType="separate"/>
    </w:r>
    <w:r w:rsidR="00141CCE">
      <w:rPr>
        <w:noProof/>
      </w:rPr>
      <w:t>1 March 2025</w:t>
    </w:r>
    <w:r>
      <w:fldChar w:fldCharType="end"/>
    </w:r>
  </w:p>
  <w:p w:rsidR="00D31BA1" w:rsidP="00D31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47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E4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44D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BA1"/>
    <w:pPr>
      <w:spacing w:before="360" w:after="60"/>
      <w:outlineLvl w:val="0"/>
    </w:pPr>
    <w:rPr>
      <w:sz w:val="32"/>
    </w:rPr>
  </w:style>
  <w:style w:type="paragraph" w:styleId="Heading2">
    <w:name w:val="heading 2"/>
    <w:basedOn w:val="HeadingBase"/>
    <w:next w:val="BodyText"/>
    <w:link w:val="Heading2Char"/>
    <w:qFormat/>
    <w:rsid w:val="00D31BA1"/>
    <w:pPr>
      <w:keepLines/>
      <w:spacing w:before="240" w:after="120"/>
      <w:outlineLvl w:val="1"/>
    </w:pPr>
    <w:rPr>
      <w:sz w:val="28"/>
      <w:szCs w:val="40"/>
    </w:rPr>
  </w:style>
  <w:style w:type="paragraph" w:styleId="Heading3">
    <w:name w:val="heading 3"/>
    <w:basedOn w:val="HeadingBase"/>
    <w:next w:val="BodyText"/>
    <w:link w:val="Heading3Char"/>
    <w:qFormat/>
    <w:rsid w:val="00D31BA1"/>
    <w:pPr>
      <w:spacing w:before="180" w:after="120"/>
      <w:outlineLvl w:val="2"/>
    </w:pPr>
    <w:rPr>
      <w:spacing w:val="-10"/>
      <w:kern w:val="32"/>
    </w:rPr>
  </w:style>
  <w:style w:type="paragraph" w:styleId="Heading4">
    <w:name w:val="heading 4"/>
    <w:basedOn w:val="HeadingBase"/>
    <w:next w:val="BodyText"/>
    <w:link w:val="Heading4Char"/>
    <w:qFormat/>
    <w:rsid w:val="00D31BA1"/>
    <w:pPr>
      <w:spacing w:before="160" w:after="120"/>
      <w:outlineLvl w:val="3"/>
    </w:pPr>
    <w:rPr>
      <w:sz w:val="22"/>
    </w:rPr>
  </w:style>
  <w:style w:type="paragraph" w:styleId="Heading5">
    <w:name w:val="heading 5"/>
    <w:basedOn w:val="HeadingBase"/>
    <w:next w:val="Normal"/>
    <w:link w:val="Heading5Char"/>
    <w:qFormat/>
    <w:rsid w:val="00D31BA1"/>
    <w:pPr>
      <w:spacing w:before="80"/>
      <w:outlineLvl w:val="4"/>
    </w:pPr>
    <w:rPr>
      <w:color w:val="918585"/>
      <w:sz w:val="20"/>
    </w:rPr>
  </w:style>
  <w:style w:type="paragraph" w:styleId="Heading6">
    <w:name w:val="heading 6"/>
    <w:basedOn w:val="HeadingBase"/>
    <w:next w:val="Normal"/>
    <w:link w:val="Heading6Char"/>
    <w:qFormat/>
    <w:rsid w:val="00D31BA1"/>
    <w:pPr>
      <w:spacing w:before="60"/>
      <w:outlineLvl w:val="5"/>
    </w:pPr>
    <w:rPr>
      <w:color w:val="918585"/>
      <w:sz w:val="20"/>
    </w:rPr>
  </w:style>
  <w:style w:type="paragraph" w:styleId="Heading7">
    <w:name w:val="heading 7"/>
    <w:basedOn w:val="Normal"/>
    <w:next w:val="Normal"/>
    <w:link w:val="Heading7Char"/>
    <w:qFormat/>
    <w:rsid w:val="00D31BA1"/>
    <w:pPr>
      <w:ind w:left="720"/>
      <w:outlineLvl w:val="6"/>
    </w:pPr>
    <w:rPr>
      <w:i/>
    </w:rPr>
  </w:style>
  <w:style w:type="paragraph" w:styleId="Heading8">
    <w:name w:val="heading 8"/>
    <w:basedOn w:val="Normal"/>
    <w:next w:val="Normal"/>
    <w:link w:val="Heading8Char"/>
    <w:qFormat/>
    <w:rsid w:val="00D31BA1"/>
    <w:pPr>
      <w:ind w:left="720"/>
      <w:outlineLvl w:val="7"/>
    </w:pPr>
    <w:rPr>
      <w:i/>
    </w:rPr>
  </w:style>
  <w:style w:type="paragraph" w:styleId="Heading9">
    <w:name w:val="heading 9"/>
    <w:basedOn w:val="Normal"/>
    <w:next w:val="Normal"/>
    <w:link w:val="Heading9Char"/>
    <w:qFormat/>
    <w:rsid w:val="00D31BA1"/>
    <w:pPr>
      <w:ind w:left="720"/>
      <w:outlineLvl w:val="8"/>
    </w:pPr>
    <w:rPr>
      <w:i/>
    </w:rPr>
  </w:style>
  <w:style w:type="character" w:default="1" w:styleId="DefaultParagraphFont">
    <w:name w:val="Default Paragraph Font"/>
    <w:uiPriority w:val="1"/>
    <w:unhideWhenUsed/>
    <w:rsid w:val="00D31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BA1"/>
  </w:style>
  <w:style w:type="character" w:customStyle="1" w:styleId="Heading1Char">
    <w:name w:val="Heading 1 Char"/>
    <w:basedOn w:val="DefaultParagraphFont"/>
    <w:link w:val="Heading1"/>
    <w:rsid w:val="00D31BA1"/>
    <w:rPr>
      <w:rFonts w:ascii="Times New Roman" w:eastAsia="Times New Roman" w:hAnsi="Times New Roman" w:cs="Times New Roman"/>
      <w:b/>
      <w:sz w:val="32"/>
      <w:szCs w:val="20"/>
      <w:lang w:eastAsia="en-US"/>
    </w:rPr>
  </w:style>
  <w:style w:type="paragraph" w:styleId="BodyText">
    <w:name w:val="Body Text"/>
    <w:basedOn w:val="Normal"/>
    <w:link w:val="BodyTextChar"/>
    <w:rsid w:val="00D31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BA1"/>
    <w:rPr>
      <w:rFonts w:ascii="Times New Roman" w:eastAsia="Times New Roman" w:hAnsi="Times New Roman" w:cs="Times New Roman"/>
      <w:sz w:val="24"/>
      <w:lang w:eastAsia="en-US"/>
    </w:rPr>
  </w:style>
  <w:style w:type="paragraph" w:styleId="ListBullet">
    <w:name w:val="List Bullet"/>
    <w:basedOn w:val="List"/>
    <w:rsid w:val="00D31BA1"/>
    <w:pPr>
      <w:numPr>
        <w:numId w:val="12"/>
      </w:numPr>
      <w:tabs>
        <w:tab w:val="clear" w:pos="340"/>
      </w:tabs>
      <w:spacing w:before="40" w:after="40"/>
    </w:pPr>
  </w:style>
  <w:style w:type="character" w:customStyle="1" w:styleId="SpecialBold">
    <w:name w:val="Special Bold"/>
    <w:basedOn w:val="DefaultParagraphFont"/>
    <w:rsid w:val="00D31BA1"/>
    <w:rPr>
      <w:b/>
      <w:spacing w:val="0"/>
    </w:rPr>
  </w:style>
  <w:style w:type="paragraph" w:styleId="ListBullet2">
    <w:name w:val="List Bullet 2"/>
    <w:basedOn w:val="List2"/>
    <w:rsid w:val="00D31BA1"/>
    <w:pPr>
      <w:numPr>
        <w:numId w:val="13"/>
      </w:numPr>
      <w:tabs>
        <w:tab w:val="clear" w:pos="680"/>
      </w:tabs>
    </w:pPr>
  </w:style>
  <w:style w:type="paragraph" w:customStyle="1" w:styleId="SuperHeading">
    <w:name w:val="SuperHeading"/>
    <w:basedOn w:val="Normal"/>
    <w:rsid w:val="00D31BA1"/>
    <w:pPr>
      <w:spacing w:before="240" w:after="120"/>
      <w:outlineLvl w:val="0"/>
    </w:pPr>
    <w:rPr>
      <w:rFonts w:ascii="Times New Roman" w:hAnsi="Times New Roman"/>
      <w:b/>
      <w:sz w:val="32"/>
    </w:rPr>
  </w:style>
  <w:style w:type="paragraph" w:customStyle="1" w:styleId="AllowPageBreak">
    <w:name w:val="AllowPageBreak"/>
    <w:rsid w:val="00D31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BA1"/>
    <w:rPr>
      <w:rFonts w:ascii="Courier New" w:eastAsia="Times New Roman" w:hAnsi="Courier New" w:cs="Times New Roman"/>
      <w:i/>
      <w:szCs w:val="20"/>
      <w:lang w:eastAsia="en-US"/>
    </w:rPr>
  </w:style>
  <w:style w:type="paragraph" w:customStyle="1" w:styleId="HeadingBase">
    <w:name w:val="Heading Base"/>
    <w:rsid w:val="00D31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BA1"/>
    <w:pPr>
      <w:tabs>
        <w:tab w:val="right" w:leader="dot" w:pos="9072"/>
      </w:tabs>
      <w:ind w:left="567"/>
    </w:pPr>
    <w:rPr>
      <w:szCs w:val="22"/>
    </w:rPr>
  </w:style>
  <w:style w:type="paragraph" w:customStyle="1" w:styleId="TOCBase">
    <w:name w:val="TOC Base"/>
    <w:rsid w:val="00D31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BA1"/>
    <w:pPr>
      <w:tabs>
        <w:tab w:val="right" w:leader="dot" w:pos="9072"/>
      </w:tabs>
      <w:spacing w:before="40" w:after="40"/>
      <w:ind w:left="284"/>
    </w:pPr>
    <w:rPr>
      <w:rFonts w:ascii="Times New Roman" w:hAnsi="Times New Roman"/>
    </w:rPr>
  </w:style>
  <w:style w:type="paragraph" w:styleId="TOC1">
    <w:name w:val="toc 1"/>
    <w:basedOn w:val="TOCBase"/>
    <w:next w:val="Normal"/>
    <w:rsid w:val="00D31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BA1"/>
    <w:rPr>
      <w:rFonts w:ascii="Times New Roman" w:eastAsia="Times New Roman" w:hAnsi="Times New Roman" w:cs="Times New Roman"/>
      <w:sz w:val="16"/>
      <w:lang w:eastAsia="en-US"/>
    </w:rPr>
  </w:style>
  <w:style w:type="paragraph" w:styleId="Title">
    <w:name w:val="Title"/>
    <w:basedOn w:val="HeadingBase"/>
    <w:link w:val="TitleChar"/>
    <w:qFormat/>
    <w:rsid w:val="00D31BA1"/>
    <w:pPr>
      <w:spacing w:before="5040"/>
      <w:jc w:val="center"/>
    </w:pPr>
    <w:rPr>
      <w:sz w:val="48"/>
      <w:szCs w:val="72"/>
      <w:lang w:val="en-US"/>
    </w:rPr>
  </w:style>
  <w:style w:type="character" w:customStyle="1" w:styleId="TitleChar">
    <w:name w:val="Title Char"/>
    <w:basedOn w:val="DefaultParagraphFont"/>
    <w:link w:val="Title"/>
    <w:rsid w:val="00D31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BA1"/>
    <w:pPr>
      <w:tabs>
        <w:tab w:val="left" w:pos="3600"/>
        <w:tab w:val="left" w:pos="3958"/>
      </w:tabs>
    </w:pPr>
  </w:style>
  <w:style w:type="paragraph" w:styleId="List">
    <w:name w:val="List"/>
    <w:basedOn w:val="BodyText"/>
    <w:next w:val="BodyText"/>
    <w:rsid w:val="00D31BA1"/>
    <w:pPr>
      <w:tabs>
        <w:tab w:val="left" w:pos="340"/>
      </w:tabs>
      <w:spacing w:before="60" w:after="60"/>
      <w:ind w:left="340" w:hanging="340"/>
    </w:pPr>
  </w:style>
  <w:style w:type="paragraph" w:customStyle="1" w:styleId="Note">
    <w:name w:val="Note"/>
    <w:basedOn w:val="BodyText"/>
    <w:rsid w:val="00D31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BA1"/>
    <w:pPr>
      <w:framePr w:wrap="auto" w:hAnchor="text" w:y="6049"/>
    </w:pPr>
    <w:rPr>
      <w:color w:val="000000"/>
      <w:sz w:val="40"/>
    </w:rPr>
  </w:style>
  <w:style w:type="paragraph" w:customStyle="1" w:styleId="TOCTitle">
    <w:name w:val="TOCTitle"/>
    <w:basedOn w:val="Heading1"/>
    <w:rsid w:val="00D31BA1"/>
    <w:pPr>
      <w:spacing w:after="240"/>
      <w:jc w:val="center"/>
      <w:outlineLvl w:val="9"/>
    </w:pPr>
    <w:rPr>
      <w:caps/>
    </w:rPr>
  </w:style>
  <w:style w:type="paragraph" w:customStyle="1" w:styleId="Version">
    <w:name w:val="Version"/>
    <w:rsid w:val="00D31B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BA1"/>
    <w:pPr>
      <w:keepNext w:val="0"/>
      <w:tabs>
        <w:tab w:val="right" w:pos="4176"/>
      </w:tabs>
      <w:ind w:left="198" w:hanging="198"/>
    </w:pPr>
    <w:rPr>
      <w:rFonts w:ascii="Garamond" w:hAnsi="Garamond"/>
    </w:rPr>
  </w:style>
  <w:style w:type="paragraph" w:styleId="IndexHeading">
    <w:name w:val="index heading"/>
    <w:basedOn w:val="Normal"/>
    <w:next w:val="Index1"/>
    <w:semiHidden/>
    <w:rsid w:val="00D31BA1"/>
    <w:pPr>
      <w:spacing w:before="120" w:after="120"/>
    </w:pPr>
    <w:rPr>
      <w:rFonts w:ascii="Arial" w:hAnsi="Arial"/>
      <w:b/>
      <w:color w:val="918585"/>
      <w:sz w:val="24"/>
    </w:rPr>
  </w:style>
  <w:style w:type="paragraph" w:styleId="Header">
    <w:name w:val="header"/>
    <w:basedOn w:val="Normal"/>
    <w:link w:val="HeaderChar"/>
    <w:rsid w:val="00D31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BA1"/>
    <w:rPr>
      <w:rFonts w:ascii="Times New Roman" w:eastAsia="Times New Roman" w:hAnsi="Times New Roman" w:cs="Times New Roman"/>
      <w:sz w:val="16"/>
      <w:szCs w:val="20"/>
      <w:lang w:val="en-GB" w:eastAsia="en-US"/>
    </w:rPr>
  </w:style>
  <w:style w:type="paragraph" w:customStyle="1" w:styleId="Chapter">
    <w:name w:val="Chapter"/>
    <w:basedOn w:val="Normal"/>
    <w:rsid w:val="00D31BA1"/>
    <w:pPr>
      <w:spacing w:before="240"/>
    </w:pPr>
    <w:rPr>
      <w:rFonts w:ascii="Times New Roman" w:hAnsi="Times New Roman"/>
      <w:smallCaps/>
      <w:spacing w:val="80"/>
      <w:sz w:val="28"/>
    </w:rPr>
  </w:style>
  <w:style w:type="paragraph" w:customStyle="1" w:styleId="InChapter">
    <w:name w:val="InChapter"/>
    <w:basedOn w:val="Heading3"/>
    <w:rsid w:val="00D31BA1"/>
    <w:pPr>
      <w:spacing w:after="240"/>
      <w:outlineLvl w:val="9"/>
    </w:pPr>
    <w:rPr>
      <w:noProof/>
    </w:rPr>
  </w:style>
  <w:style w:type="paragraph" w:styleId="Index2">
    <w:name w:val="index 2"/>
    <w:basedOn w:val="Normal"/>
    <w:next w:val="Normal"/>
    <w:semiHidden/>
    <w:rsid w:val="00D31BA1"/>
    <w:pPr>
      <w:tabs>
        <w:tab w:val="right" w:pos="4176"/>
      </w:tabs>
      <w:ind w:left="568" w:hanging="284"/>
    </w:pPr>
    <w:rPr>
      <w:rFonts w:ascii="Garamond" w:hAnsi="Garamond"/>
    </w:rPr>
  </w:style>
  <w:style w:type="paragraph" w:customStyle="1" w:styleId="Byline">
    <w:name w:val="Byline"/>
    <w:rsid w:val="00D31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BA1"/>
    <w:pPr>
      <w:tabs>
        <w:tab w:val="clear" w:pos="3600"/>
        <w:tab w:val="clear" w:pos="3958"/>
      </w:tabs>
      <w:jc w:val="right"/>
    </w:pPr>
  </w:style>
  <w:style w:type="character" w:styleId="Emphasis">
    <w:name w:val="Emphasis"/>
    <w:basedOn w:val="DefaultParagraphFont"/>
    <w:qFormat/>
    <w:rsid w:val="00D31BA1"/>
    <w:rPr>
      <w:i/>
    </w:rPr>
  </w:style>
  <w:style w:type="paragraph" w:styleId="Caption">
    <w:name w:val="caption"/>
    <w:basedOn w:val="BodyText"/>
    <w:next w:val="Normal"/>
    <w:qFormat/>
    <w:rsid w:val="00D31BA1"/>
    <w:pPr>
      <w:framePr w:w="2268" w:hSpace="181" w:vSpace="181" w:wrap="around" w:vAnchor="text" w:hAnchor="page" w:x="1135" w:y="285" w:anchorLock="1"/>
    </w:pPr>
    <w:rPr>
      <w:i/>
    </w:rPr>
  </w:style>
  <w:style w:type="paragraph" w:customStyle="1" w:styleId="MiniTOCTitle">
    <w:name w:val="MiniTOCTitle"/>
    <w:basedOn w:val="Heading4"/>
    <w:rsid w:val="00D31BA1"/>
    <w:pPr>
      <w:spacing w:before="240"/>
      <w:outlineLvl w:val="9"/>
    </w:pPr>
    <w:rPr>
      <w:noProof/>
      <w:sz w:val="24"/>
    </w:rPr>
  </w:style>
  <w:style w:type="paragraph" w:customStyle="1" w:styleId="MiniTOCItem">
    <w:name w:val="MiniTOCItem"/>
    <w:basedOn w:val="ListBullet"/>
    <w:rsid w:val="00D31BA1"/>
    <w:pPr>
      <w:numPr>
        <w:numId w:val="0"/>
      </w:numPr>
      <w:tabs>
        <w:tab w:val="right" w:leader="dot" w:pos="6521"/>
      </w:tabs>
      <w:spacing w:before="0" w:after="0"/>
    </w:pPr>
  </w:style>
  <w:style w:type="paragraph" w:customStyle="1" w:styleId="TOFTitle">
    <w:name w:val="TOFTitle"/>
    <w:basedOn w:val="TOCTitle"/>
    <w:rsid w:val="00D31BA1"/>
  </w:style>
  <w:style w:type="paragraph" w:styleId="TableofFigures">
    <w:name w:val="table of figures"/>
    <w:basedOn w:val="Normal"/>
    <w:next w:val="Normal"/>
    <w:semiHidden/>
    <w:rsid w:val="00D31BA1"/>
    <w:pPr>
      <w:tabs>
        <w:tab w:val="right" w:leader="dot" w:pos="9072"/>
      </w:tabs>
      <w:ind w:left="970" w:hanging="403"/>
    </w:pPr>
    <w:rPr>
      <w:rFonts w:ascii="Times New Roman" w:hAnsi="Times New Roman"/>
      <w:b/>
    </w:rPr>
  </w:style>
  <w:style w:type="paragraph" w:styleId="ListNumber">
    <w:name w:val="List Number"/>
    <w:basedOn w:val="List"/>
    <w:rsid w:val="00D31BA1"/>
    <w:pPr>
      <w:numPr>
        <w:numId w:val="15"/>
      </w:numPr>
      <w:tabs>
        <w:tab w:val="clear" w:pos="340"/>
      </w:tabs>
    </w:pPr>
  </w:style>
  <w:style w:type="character" w:customStyle="1" w:styleId="WingdingSymbols">
    <w:name w:val="Wingding Symbols"/>
    <w:rsid w:val="00D31BA1"/>
    <w:rPr>
      <w:rFonts w:ascii="Wingdings" w:hAnsi="Wingdings"/>
    </w:rPr>
  </w:style>
  <w:style w:type="paragraph" w:customStyle="1" w:styleId="TableHeading">
    <w:name w:val="Table Heading"/>
    <w:basedOn w:val="HeadingBase"/>
    <w:rsid w:val="00D31BA1"/>
    <w:pPr>
      <w:keepLines/>
      <w:pBdr>
        <w:bottom w:val="single" w:sz="6" w:space="1" w:color="918585"/>
      </w:pBdr>
      <w:spacing w:before="240"/>
    </w:pPr>
  </w:style>
  <w:style w:type="character" w:customStyle="1" w:styleId="HotSpot">
    <w:name w:val="HotSpot"/>
    <w:rsid w:val="00D31BA1"/>
    <w:rPr>
      <w:color w:val="0033CC"/>
      <w:u w:val="none"/>
    </w:rPr>
  </w:style>
  <w:style w:type="paragraph" w:customStyle="1" w:styleId="BodyTextRight">
    <w:name w:val="Body Text Right"/>
    <w:basedOn w:val="BodyText"/>
    <w:rsid w:val="00D31BA1"/>
    <w:pPr>
      <w:spacing w:before="0" w:after="0"/>
      <w:jc w:val="right"/>
    </w:pPr>
  </w:style>
  <w:style w:type="paragraph" w:styleId="Index3">
    <w:name w:val="index 3"/>
    <w:basedOn w:val="ListNumber2"/>
    <w:next w:val="Normal"/>
    <w:semiHidden/>
    <w:rsid w:val="00D31BA1"/>
    <w:pPr>
      <w:numPr>
        <w:numId w:val="0"/>
      </w:numPr>
      <w:tabs>
        <w:tab w:val="right" w:leader="dot" w:pos="4176"/>
      </w:tabs>
    </w:pPr>
  </w:style>
  <w:style w:type="paragraph" w:styleId="ListNumber2">
    <w:name w:val="List Number 2"/>
    <w:basedOn w:val="List2"/>
    <w:rsid w:val="00D31BA1"/>
    <w:pPr>
      <w:numPr>
        <w:numId w:val="10"/>
      </w:numPr>
      <w:tabs>
        <w:tab w:val="clear" w:pos="1060"/>
      </w:tabs>
    </w:pPr>
  </w:style>
  <w:style w:type="paragraph" w:customStyle="1" w:styleId="MarginNote">
    <w:name w:val="Margin Note"/>
    <w:basedOn w:val="BodyText"/>
    <w:rsid w:val="00D31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BA1"/>
    <w:rPr>
      <w:sz w:val="32"/>
    </w:rPr>
  </w:style>
  <w:style w:type="paragraph" w:customStyle="1" w:styleId="HeadingProcedure">
    <w:name w:val="Heading Procedure"/>
    <w:basedOn w:val="HeadingBase"/>
    <w:next w:val="Normal"/>
    <w:rsid w:val="00D31BA1"/>
    <w:pPr>
      <w:tabs>
        <w:tab w:val="left" w:pos="0"/>
      </w:tabs>
      <w:spacing w:before="120" w:after="60"/>
    </w:pPr>
    <w:rPr>
      <w:i/>
      <w:color w:val="918585"/>
      <w:sz w:val="22"/>
    </w:rPr>
  </w:style>
  <w:style w:type="paragraph" w:customStyle="1" w:styleId="TableBodyText">
    <w:name w:val="Table Body Text"/>
    <w:basedOn w:val="BodyText"/>
    <w:rsid w:val="00D31BA1"/>
    <w:pPr>
      <w:spacing w:before="60" w:after="60"/>
    </w:pPr>
  </w:style>
  <w:style w:type="paragraph" w:styleId="ListContinue">
    <w:name w:val="List Continue"/>
    <w:basedOn w:val="List"/>
    <w:rsid w:val="00D31BA1"/>
    <w:pPr>
      <w:ind w:firstLine="0"/>
    </w:pPr>
  </w:style>
  <w:style w:type="paragraph" w:customStyle="1" w:styleId="ListNote">
    <w:name w:val="List Note"/>
    <w:basedOn w:val="List"/>
    <w:rsid w:val="00D31BA1"/>
    <w:pPr>
      <w:pBdr>
        <w:top w:val="single" w:sz="6" w:space="2" w:color="918585"/>
        <w:bottom w:val="single" w:sz="6" w:space="2" w:color="918585"/>
      </w:pBdr>
      <w:tabs>
        <w:tab w:val="left" w:pos="1021"/>
      </w:tabs>
      <w:ind w:firstLine="0"/>
    </w:pPr>
  </w:style>
  <w:style w:type="paragraph" w:customStyle="1" w:styleId="Warning">
    <w:name w:val="Warning"/>
    <w:basedOn w:val="BodyText"/>
    <w:rsid w:val="00D31BA1"/>
    <w:pPr>
      <w:shd w:val="clear" w:color="auto" w:fill="D9D9D9"/>
      <w:tabs>
        <w:tab w:val="left" w:pos="992"/>
      </w:tabs>
      <w:ind w:left="119" w:right="119"/>
    </w:pPr>
    <w:rPr>
      <w:sz w:val="20"/>
    </w:rPr>
  </w:style>
  <w:style w:type="paragraph" w:customStyle="1" w:styleId="MarginIcons">
    <w:name w:val="Margin Icons"/>
    <w:basedOn w:val="BodyText"/>
    <w:rsid w:val="00D31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BA1"/>
    <w:rPr>
      <w:rFonts w:ascii="Courier New" w:hAnsi="Courier New"/>
    </w:rPr>
  </w:style>
  <w:style w:type="paragraph" w:customStyle="1" w:styleId="NoteBullet">
    <w:name w:val="Note Bullet"/>
    <w:basedOn w:val="Note"/>
    <w:rsid w:val="00D31BA1"/>
    <w:pPr>
      <w:tabs>
        <w:tab w:val="clear" w:pos="680"/>
      </w:tabs>
      <w:spacing w:before="60" w:after="60"/>
    </w:pPr>
  </w:style>
  <w:style w:type="paragraph" w:customStyle="1" w:styleId="SubHeading2">
    <w:name w:val="SubHeading2"/>
    <w:basedOn w:val="HeadingBase"/>
    <w:rsid w:val="00D31BA1"/>
    <w:pPr>
      <w:spacing w:before="240" w:after="60"/>
    </w:pPr>
    <w:rPr>
      <w:sz w:val="20"/>
    </w:rPr>
  </w:style>
  <w:style w:type="paragraph" w:customStyle="1" w:styleId="SubHeading1">
    <w:name w:val="SubHeading1"/>
    <w:basedOn w:val="HeadingBase"/>
    <w:rsid w:val="00D31BA1"/>
    <w:pPr>
      <w:spacing w:before="240" w:after="60"/>
    </w:pPr>
    <w:rPr>
      <w:color w:val="918585"/>
      <w:sz w:val="22"/>
    </w:rPr>
  </w:style>
  <w:style w:type="paragraph" w:customStyle="1" w:styleId="SideHeading">
    <w:name w:val="Side Heading"/>
    <w:basedOn w:val="HeadingBase"/>
    <w:rsid w:val="00D31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BA1"/>
    <w:pPr>
      <w:tabs>
        <w:tab w:val="num" w:pos="360"/>
      </w:tabs>
    </w:pPr>
  </w:style>
  <w:style w:type="paragraph" w:styleId="PlainText">
    <w:name w:val="Plain Text"/>
    <w:basedOn w:val="Normal"/>
    <w:link w:val="PlainTextChar"/>
    <w:rsid w:val="00D31BA1"/>
    <w:rPr>
      <w:sz w:val="20"/>
    </w:rPr>
  </w:style>
  <w:style w:type="character" w:customStyle="1" w:styleId="PlainTextChar">
    <w:name w:val="Plain Text Char"/>
    <w:basedOn w:val="DefaultParagraphFont"/>
    <w:link w:val="PlainText"/>
    <w:rsid w:val="00D31BA1"/>
    <w:rPr>
      <w:rFonts w:ascii="Courier New" w:eastAsia="Times New Roman" w:hAnsi="Courier New" w:cs="Times New Roman"/>
      <w:sz w:val="20"/>
      <w:szCs w:val="20"/>
      <w:lang w:eastAsia="en-US"/>
    </w:rPr>
  </w:style>
  <w:style w:type="character" w:customStyle="1" w:styleId="MenuOption">
    <w:name w:val="Menu Option"/>
    <w:basedOn w:val="DefaultParagraphFont"/>
    <w:rsid w:val="00D31BA1"/>
    <w:rPr>
      <w:b/>
      <w:smallCaps/>
    </w:rPr>
  </w:style>
  <w:style w:type="paragraph" w:customStyle="1" w:styleId="TableListNumber">
    <w:name w:val="Table List Number"/>
    <w:basedOn w:val="ListNumber"/>
    <w:rsid w:val="00D31BA1"/>
    <w:pPr>
      <w:numPr>
        <w:numId w:val="0"/>
      </w:numPr>
    </w:pPr>
  </w:style>
  <w:style w:type="paragraph" w:styleId="TOC4">
    <w:name w:val="toc 4"/>
    <w:basedOn w:val="TOCBase"/>
    <w:next w:val="Normal"/>
    <w:semiHidden/>
    <w:rsid w:val="00D31BA1"/>
    <w:pPr>
      <w:tabs>
        <w:tab w:val="right" w:leader="dot" w:pos="9071"/>
      </w:tabs>
      <w:ind w:left="1701"/>
    </w:pPr>
  </w:style>
  <w:style w:type="paragraph" w:customStyle="1" w:styleId="ListAlpha">
    <w:name w:val="List Alpha"/>
    <w:basedOn w:val="List"/>
    <w:rsid w:val="00D31BA1"/>
    <w:pPr>
      <w:numPr>
        <w:numId w:val="9"/>
      </w:numPr>
    </w:pPr>
  </w:style>
  <w:style w:type="paragraph" w:customStyle="1" w:styleId="ListAlpha2">
    <w:name w:val="List Alpha 2"/>
    <w:basedOn w:val="List2"/>
    <w:rsid w:val="00D31BA1"/>
    <w:pPr>
      <w:numPr>
        <w:numId w:val="8"/>
      </w:numPr>
    </w:pPr>
  </w:style>
  <w:style w:type="paragraph" w:styleId="List2">
    <w:name w:val="List 2"/>
    <w:basedOn w:val="BodyText"/>
    <w:rsid w:val="00D31BA1"/>
    <w:pPr>
      <w:tabs>
        <w:tab w:val="left" w:pos="680"/>
      </w:tabs>
      <w:spacing w:before="60" w:after="60"/>
      <w:ind w:left="680" w:hanging="340"/>
    </w:pPr>
  </w:style>
  <w:style w:type="paragraph" w:styleId="List3">
    <w:name w:val="List 3"/>
    <w:basedOn w:val="BodyText"/>
    <w:rsid w:val="00D31BA1"/>
    <w:pPr>
      <w:tabs>
        <w:tab w:val="left" w:pos="1021"/>
      </w:tabs>
      <w:spacing w:before="60" w:after="60"/>
      <w:ind w:left="1020" w:hanging="340"/>
    </w:pPr>
  </w:style>
  <w:style w:type="paragraph" w:styleId="List4">
    <w:name w:val="List 4"/>
    <w:basedOn w:val="BodyText"/>
    <w:rsid w:val="00D31BA1"/>
    <w:pPr>
      <w:tabs>
        <w:tab w:val="left" w:pos="1361"/>
      </w:tabs>
      <w:spacing w:before="60" w:after="60"/>
      <w:ind w:left="1361" w:hanging="340"/>
    </w:pPr>
  </w:style>
  <w:style w:type="paragraph" w:styleId="List5">
    <w:name w:val="List 5"/>
    <w:basedOn w:val="BodyText"/>
    <w:rsid w:val="00D31BA1"/>
    <w:pPr>
      <w:tabs>
        <w:tab w:val="left" w:pos="1701"/>
      </w:tabs>
      <w:spacing w:before="60" w:after="60"/>
      <w:ind w:left="1701" w:hanging="340"/>
    </w:pPr>
  </w:style>
  <w:style w:type="paragraph" w:styleId="ListBullet3">
    <w:name w:val="List Bullet 3"/>
    <w:basedOn w:val="List3"/>
    <w:rsid w:val="00D31BA1"/>
    <w:pPr>
      <w:numPr>
        <w:numId w:val="14"/>
      </w:numPr>
      <w:tabs>
        <w:tab w:val="clear" w:pos="1021"/>
      </w:tabs>
      <w:ind w:left="1037" w:hanging="357"/>
    </w:pPr>
  </w:style>
  <w:style w:type="paragraph" w:styleId="ListBullet4">
    <w:name w:val="List Bullet 4"/>
    <w:basedOn w:val="List4"/>
    <w:rsid w:val="00D31BA1"/>
    <w:pPr>
      <w:numPr>
        <w:numId w:val="3"/>
      </w:numPr>
      <w:tabs>
        <w:tab w:val="clear" w:pos="1361"/>
      </w:tabs>
    </w:pPr>
  </w:style>
  <w:style w:type="paragraph" w:styleId="ListBullet5">
    <w:name w:val="List Bullet 5"/>
    <w:basedOn w:val="List5"/>
    <w:rsid w:val="00D31BA1"/>
    <w:pPr>
      <w:numPr>
        <w:numId w:val="4"/>
      </w:numPr>
    </w:pPr>
  </w:style>
  <w:style w:type="paragraph" w:styleId="ListContinue2">
    <w:name w:val="List Continue 2"/>
    <w:basedOn w:val="List2"/>
    <w:rsid w:val="00D31BA1"/>
    <w:pPr>
      <w:ind w:firstLine="0"/>
    </w:pPr>
  </w:style>
  <w:style w:type="paragraph" w:styleId="ListContinue3">
    <w:name w:val="List Continue 3"/>
    <w:basedOn w:val="List3"/>
    <w:rsid w:val="00D31BA1"/>
    <w:pPr>
      <w:ind w:left="1021" w:firstLine="0"/>
    </w:pPr>
  </w:style>
  <w:style w:type="paragraph" w:styleId="ListContinue4">
    <w:name w:val="List Continue 4"/>
    <w:basedOn w:val="List4"/>
    <w:rsid w:val="00D31BA1"/>
    <w:pPr>
      <w:ind w:firstLine="0"/>
    </w:pPr>
  </w:style>
  <w:style w:type="paragraph" w:styleId="ListContinue5">
    <w:name w:val="List Continue 5"/>
    <w:basedOn w:val="List5"/>
    <w:rsid w:val="00D31BA1"/>
    <w:pPr>
      <w:ind w:firstLine="0"/>
    </w:pPr>
  </w:style>
  <w:style w:type="paragraph" w:styleId="ListNumber3">
    <w:name w:val="List Number 3"/>
    <w:basedOn w:val="List3"/>
    <w:rsid w:val="00D31BA1"/>
    <w:pPr>
      <w:numPr>
        <w:numId w:val="5"/>
      </w:numPr>
    </w:pPr>
  </w:style>
  <w:style w:type="paragraph" w:styleId="ListNumber4">
    <w:name w:val="List Number 4"/>
    <w:basedOn w:val="List4"/>
    <w:rsid w:val="00D31BA1"/>
    <w:pPr>
      <w:numPr>
        <w:numId w:val="6"/>
      </w:numPr>
    </w:pPr>
  </w:style>
  <w:style w:type="paragraph" w:styleId="ListNumber5">
    <w:name w:val="List Number 5"/>
    <w:basedOn w:val="List5"/>
    <w:rsid w:val="00D31BA1"/>
    <w:pPr>
      <w:numPr>
        <w:numId w:val="7"/>
      </w:numPr>
    </w:pPr>
  </w:style>
  <w:style w:type="paragraph" w:styleId="BlockText">
    <w:name w:val="Block Text"/>
    <w:basedOn w:val="Normal"/>
    <w:rsid w:val="00D31BA1"/>
    <w:pPr>
      <w:spacing w:after="120"/>
      <w:ind w:left="1440" w:right="1440"/>
    </w:pPr>
  </w:style>
  <w:style w:type="character" w:customStyle="1" w:styleId="Subscript">
    <w:name w:val="Subscript"/>
    <w:basedOn w:val="DefaultParagraphFont"/>
    <w:rsid w:val="00D31BA1"/>
    <w:rPr>
      <w:sz w:val="16"/>
      <w:vertAlign w:val="subscript"/>
    </w:rPr>
  </w:style>
  <w:style w:type="character" w:customStyle="1" w:styleId="Superscript">
    <w:name w:val="Superscript"/>
    <w:basedOn w:val="DefaultParagraphFont"/>
    <w:rsid w:val="00D31BA1"/>
    <w:rPr>
      <w:sz w:val="16"/>
      <w:vertAlign w:val="superscript"/>
    </w:rPr>
  </w:style>
  <w:style w:type="character" w:customStyle="1" w:styleId="Symbols">
    <w:name w:val="Symbols"/>
    <w:basedOn w:val="DefaultParagraphFont"/>
    <w:rsid w:val="00D31BA1"/>
    <w:rPr>
      <w:rFonts w:ascii="Symbol" w:hAnsi="Symbol"/>
    </w:rPr>
  </w:style>
  <w:style w:type="character" w:customStyle="1" w:styleId="MenuOptions">
    <w:name w:val="Menu Options"/>
    <w:basedOn w:val="DefaultParagraphFont"/>
    <w:rsid w:val="00D31BA1"/>
    <w:rPr>
      <w:rFonts w:ascii="Arial Narrow" w:hAnsi="Arial Narrow"/>
      <w:smallCaps/>
    </w:rPr>
  </w:style>
  <w:style w:type="character" w:customStyle="1" w:styleId="Buttons">
    <w:name w:val="Buttons"/>
    <w:basedOn w:val="DefaultParagraphFont"/>
    <w:rsid w:val="00D31BA1"/>
    <w:rPr>
      <w:b/>
    </w:rPr>
  </w:style>
  <w:style w:type="character" w:customStyle="1" w:styleId="Underlined">
    <w:name w:val="Underlined"/>
    <w:basedOn w:val="DefaultParagraphFont"/>
    <w:rsid w:val="00D31BA1"/>
    <w:rPr>
      <w:u w:val="single"/>
    </w:rPr>
  </w:style>
  <w:style w:type="paragraph" w:customStyle="1" w:styleId="TableBodyTextRight">
    <w:name w:val="Table Body Text Right"/>
    <w:basedOn w:val="TableBodyText"/>
    <w:rsid w:val="00D31BA1"/>
    <w:pPr>
      <w:widowControl w:val="0"/>
      <w:autoSpaceDE w:val="0"/>
      <w:autoSpaceDN w:val="0"/>
      <w:adjustRightInd w:val="0"/>
      <w:jc w:val="right"/>
    </w:pPr>
    <w:rPr>
      <w:rFonts w:cs="Arial"/>
      <w:szCs w:val="18"/>
    </w:rPr>
  </w:style>
  <w:style w:type="paragraph" w:customStyle="1" w:styleId="CopyrightText">
    <w:name w:val="Copyright Text"/>
    <w:basedOn w:val="BodyText"/>
    <w:rsid w:val="00D31BA1"/>
    <w:rPr>
      <w:sz w:val="18"/>
    </w:rPr>
  </w:style>
  <w:style w:type="paragraph" w:customStyle="1" w:styleId="BodySmallRight">
    <w:name w:val="Body Small Right"/>
    <w:basedOn w:val="BodyTextRight"/>
    <w:rsid w:val="00D31BA1"/>
    <w:rPr>
      <w:sz w:val="18"/>
      <w:szCs w:val="18"/>
    </w:rPr>
  </w:style>
  <w:style w:type="paragraph" w:customStyle="1" w:styleId="MarginEdition">
    <w:name w:val="Margin Edition"/>
    <w:basedOn w:val="MarginNote"/>
    <w:rsid w:val="00D31BA1"/>
    <w:pPr>
      <w:spacing w:before="0" w:after="0"/>
    </w:pPr>
    <w:rPr>
      <w:rFonts w:ascii="Times New Roman" w:hAnsi="Times New Roman"/>
      <w:color w:val="999999"/>
    </w:rPr>
  </w:style>
  <w:style w:type="paragraph" w:customStyle="1" w:styleId="Spacer">
    <w:name w:val="Spacer"/>
    <w:basedOn w:val="Normal"/>
    <w:rsid w:val="00D31BA1"/>
    <w:rPr>
      <w:sz w:val="2"/>
      <w:szCs w:val="2"/>
    </w:rPr>
  </w:style>
  <w:style w:type="character" w:customStyle="1" w:styleId="Small">
    <w:name w:val="Small"/>
    <w:basedOn w:val="DefaultParagraphFont"/>
    <w:rsid w:val="00D31BA1"/>
    <w:rPr>
      <w:sz w:val="16"/>
    </w:rPr>
  </w:style>
  <w:style w:type="paragraph" w:customStyle="1" w:styleId="WideTable">
    <w:name w:val="Wide Table"/>
    <w:basedOn w:val="Normal"/>
    <w:rsid w:val="00D31BA1"/>
    <w:pPr>
      <w:ind w:left="-1418"/>
    </w:pPr>
    <w:rPr>
      <w:sz w:val="2"/>
      <w:szCs w:val="2"/>
    </w:rPr>
  </w:style>
  <w:style w:type="character" w:styleId="PageNumber">
    <w:name w:val="page number"/>
    <w:basedOn w:val="DefaultParagraphFont"/>
    <w:rsid w:val="00D31BA1"/>
  </w:style>
  <w:style w:type="paragraph" w:styleId="Quote">
    <w:name w:val="Quote"/>
    <w:basedOn w:val="Heading1"/>
    <w:link w:val="QuoteChar"/>
    <w:qFormat/>
    <w:rsid w:val="00D31BA1"/>
    <w:rPr>
      <w:b w:val="0"/>
      <w:sz w:val="72"/>
      <w:szCs w:val="72"/>
      <w:lang w:val="en-NZ"/>
    </w:rPr>
  </w:style>
  <w:style w:type="character" w:customStyle="1" w:styleId="QuoteChar">
    <w:name w:val="Quote Char"/>
    <w:basedOn w:val="DefaultParagraphFont"/>
    <w:link w:val="Quote"/>
    <w:rsid w:val="00D31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BA1"/>
    <w:pPr>
      <w:pageBreakBefore/>
    </w:pPr>
  </w:style>
  <w:style w:type="paragraph" w:customStyle="1" w:styleId="Border">
    <w:name w:val="Border"/>
    <w:basedOn w:val="Normal"/>
    <w:qFormat/>
    <w:rsid w:val="00D31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BA1"/>
    <w:rPr>
      <w:b/>
      <w:bCs/>
      <w:i/>
      <w:iCs/>
      <w:color w:val="auto"/>
    </w:rPr>
  </w:style>
  <w:style w:type="paragraph" w:styleId="IntenseQuote">
    <w:name w:val="Intense Quote"/>
    <w:basedOn w:val="Normal"/>
    <w:next w:val="Normal"/>
    <w:link w:val="IntenseQuoteChar"/>
    <w:uiPriority w:val="30"/>
    <w:qFormat/>
    <w:rsid w:val="00D31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BA1"/>
    <w:rPr>
      <w:smallCaps/>
      <w:color w:val="auto"/>
      <w:u w:val="single"/>
    </w:rPr>
  </w:style>
  <w:style w:type="character" w:styleId="IntenseReference">
    <w:name w:val="Intense Reference"/>
    <w:basedOn w:val="DefaultParagraphFont"/>
    <w:uiPriority w:val="32"/>
    <w:qFormat/>
    <w:rsid w:val="00D31BA1"/>
    <w:rPr>
      <w:b/>
      <w:bCs/>
      <w:smallCaps/>
      <w:color w:val="auto"/>
      <w:spacing w:val="5"/>
      <w:u w:val="single"/>
    </w:rPr>
  </w:style>
  <w:style w:type="paragraph" w:customStyle="1" w:styleId="2ColumnHeading">
    <w:name w:val="2Column Heading"/>
    <w:basedOn w:val="BodyText"/>
    <w:qFormat/>
    <w:rsid w:val="00D31BA1"/>
    <w:pPr>
      <w:spacing w:after="60"/>
      <w:ind w:left="-2268"/>
    </w:pPr>
    <w:rPr>
      <w:b/>
    </w:rPr>
  </w:style>
  <w:style w:type="paragraph" w:customStyle="1" w:styleId="Heading1TOC">
    <w:name w:val="Heading1 TOC"/>
    <w:basedOn w:val="Normal"/>
    <w:qFormat/>
    <w:rsid w:val="00D31BA1"/>
    <w:pPr>
      <w:spacing w:before="240" w:after="120"/>
    </w:pPr>
    <w:rPr>
      <w:rFonts w:ascii="Times New Roman" w:hAnsi="Times New Roman"/>
      <w:b/>
      <w:sz w:val="32"/>
    </w:rPr>
  </w:style>
  <w:style w:type="paragraph" w:customStyle="1" w:styleId="Heading2TOC">
    <w:name w:val="Heading2 TOC"/>
    <w:basedOn w:val="Normal"/>
    <w:qFormat/>
    <w:rsid w:val="00D31BA1"/>
    <w:pPr>
      <w:spacing w:before="240" w:after="60"/>
    </w:pPr>
    <w:rPr>
      <w:rFonts w:ascii="Times New Roman" w:hAnsi="Times New Roman"/>
      <w:b/>
      <w:sz w:val="28"/>
    </w:rPr>
  </w:style>
  <w:style w:type="character" w:customStyle="1" w:styleId="Underline">
    <w:name w:val="Underline"/>
    <w:basedOn w:val="DefaultParagraphFont"/>
    <w:qFormat/>
    <w:rsid w:val="00D31BA1"/>
    <w:rPr>
      <w:u w:val="single"/>
    </w:rPr>
  </w:style>
  <w:style w:type="character" w:customStyle="1" w:styleId="BoldandItalics">
    <w:name w:val="Bold and Italics"/>
    <w:qFormat/>
    <w:rsid w:val="00D31BA1"/>
    <w:rPr>
      <w:b/>
      <w:i/>
      <w:u w:val="none"/>
    </w:rPr>
  </w:style>
  <w:style w:type="paragraph" w:styleId="BalloonText">
    <w:name w:val="Balloon Text"/>
    <w:basedOn w:val="Normal"/>
    <w:link w:val="BalloonTextChar"/>
    <w:rsid w:val="00D31BA1"/>
    <w:rPr>
      <w:rFonts w:ascii="Tahoma" w:hAnsi="Tahoma" w:cs="Tahoma"/>
      <w:sz w:val="16"/>
      <w:szCs w:val="16"/>
    </w:rPr>
  </w:style>
  <w:style w:type="character" w:customStyle="1" w:styleId="BalloonTextChar">
    <w:name w:val="Balloon Text Char"/>
    <w:basedOn w:val="DefaultParagraphFont"/>
    <w:link w:val="BalloonText"/>
    <w:rsid w:val="00D31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BA1"/>
    <w:rPr>
      <w:b/>
      <w:color w:val="660033"/>
      <w:spacing w:val="0"/>
    </w:rPr>
  </w:style>
  <w:style w:type="paragraph" w:customStyle="1" w:styleId="Nameditemlist">
    <w:name w:val="Named item list"/>
    <w:basedOn w:val="BodyText"/>
    <w:qFormat/>
    <w:rsid w:val="00D31BA1"/>
    <w:pPr>
      <w:tabs>
        <w:tab w:val="left" w:pos="2835"/>
      </w:tabs>
      <w:ind w:left="2835" w:hanging="2835"/>
    </w:pPr>
  </w:style>
  <w:style w:type="paragraph" w:customStyle="1" w:styleId="BodyTextnopadding">
    <w:name w:val="Body Text no padding"/>
    <w:basedOn w:val="BodyText"/>
    <w:qFormat/>
    <w:rsid w:val="00D31BA1"/>
    <w:pPr>
      <w:spacing w:before="0" w:after="0"/>
    </w:pPr>
  </w:style>
  <w:style w:type="paragraph" w:customStyle="1" w:styleId="BodyTextBold">
    <w:name w:val="Body Text Bold"/>
    <w:basedOn w:val="BodyText"/>
    <w:qFormat/>
    <w:rsid w:val="00D31BA1"/>
    <w:rPr>
      <w:b/>
    </w:rPr>
  </w:style>
  <w:style w:type="character" w:styleId="Hyperlink">
    <w:name w:val="Hyperlink"/>
    <w:basedOn w:val="DefaultParagraphFont"/>
    <w:uiPriority w:val="99"/>
    <w:unhideWhenUsed/>
    <w:rsid w:val="00141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1913</Words>
  <Characters>13164</Characters>
  <Application>Microsoft Office Word</Application>
  <DocSecurity>0</DocSecurity>
  <Lines>424</Lines>
  <Paragraphs>255</Paragraphs>
  <ScaleCrop>false</ScaleCrop>
  <Company>Author-it Software Corporation Ltd.</Company>
  <LinksUpToDate>false</LinksUpToDate>
  <CharactersWithSpaces>14822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MEA719 Evaluate aircraft electrical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