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E24" w:rsidP="00910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MEA718 Evaluate rotorcraft flight control systems</w:t>
      </w:r>
      <w:r>
        <w:fldChar w:fldCharType="end"/>
      </w:r>
    </w:p>
    <w:p w:rsidR="00910E24" w:rsidP="00910E24">
      <w:pPr>
        <w:pStyle w:val="Version"/>
        <w:sectPr w:rsidSect="00460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B77" w:rsidP="00460B77">
      <w:pPr>
        <w:pStyle w:val="SuperHeading"/>
      </w:pPr>
      <w:r w:rsidRPr="00460B77">
        <w:t>MEA718 Evaluate rotorcraft flight control systems</w:t>
      </w:r>
    </w:p>
    <w:p w:rsidR="00000000" w:rsidRPr="00460B77" w:rsidP="00460B77">
      <w:pPr>
        <w:pStyle w:val="Heading1"/>
      </w:pPr>
      <w:bookmarkStart w:id="1" w:name="O_724125"/>
      <w:bookmarkEnd w:id="1"/>
      <w:r w:rsidRPr="00460B77">
        <w:t>Modification History</w:t>
      </w:r>
    </w:p>
    <w:p w:rsidR="00000000" w:rsidRPr="00460B77" w:rsidP="00910E24">
      <w:pPr>
        <w:pStyle w:val="BodyText"/>
      </w:pPr>
      <w:r w:rsidRPr="00460B77">
        <w:t>Release 1 - New unit of competency</w:t>
      </w:r>
    </w:p>
    <w:p w:rsidR="00000000" w:rsidRPr="00460B77" w:rsidP="00460B77">
      <w:pPr>
        <w:pStyle w:val="Heading1"/>
      </w:pPr>
      <w:bookmarkStart w:id="2" w:name="O_724133"/>
      <w:bookmarkEnd w:id="2"/>
      <w:r w:rsidRPr="00460B77">
        <w:t>Application</w:t>
      </w:r>
    </w:p>
    <w:p w:rsidR="00000000" w:rsidRPr="00460B77" w:rsidP="00910E24">
      <w:pPr>
        <w:pStyle w:val="BodyText"/>
      </w:pPr>
      <w:r w:rsidRPr="00460B77">
        <w:t>This unit of competency applies to rotorcraft mechanical and powered flight control systems and their components, including the interface of powered systems and au</w:t>
      </w:r>
      <w:r w:rsidRPr="00460B77">
        <w:t xml:space="preserve">tomatic flight control systems. It involves evaluation of systems and components for compliance with design and performance standards and with airworthiness regulatory requirements within both civil and military environments. </w:t>
      </w:r>
    </w:p>
    <w:p w:rsidR="00000000" w:rsidRPr="00460B77" w:rsidP="00910E24">
      <w:pPr>
        <w:pStyle w:val="BodyText"/>
      </w:pPr>
      <w:r w:rsidRPr="00460B77">
        <w:t>Also covered is documentatio</w:t>
      </w:r>
      <w:r w:rsidRPr="00460B77">
        <w:t>n of the evaluation process within management systems, such as configuration management (CM) and integrated logistic support (ILS).</w:t>
      </w:r>
    </w:p>
    <w:p w:rsidR="00000000" w:rsidRPr="00460B77" w:rsidP="00910E24">
      <w:pPr>
        <w:pStyle w:val="BodyText"/>
      </w:pPr>
      <w:r w:rsidRPr="00460B77">
        <w:t xml:space="preserve">It is suitable for people working within aircraft design teams, within the engineering departments of aircraft maintenance </w:t>
      </w:r>
      <w:r w:rsidRPr="00460B77">
        <w:t>organisations or employed within Continuing Airworthiness Management Organisations (CAMOs) and Approved Engineering Organisations (AEOs), and for those pursuing qualifications or careers in those fields.</w:t>
      </w:r>
    </w:p>
    <w:p w:rsidR="00000000" w:rsidRPr="00460B77" w:rsidP="00910E24">
      <w:pPr>
        <w:pStyle w:val="BodyText"/>
      </w:pPr>
      <w:r w:rsidRPr="00460B77">
        <w:t xml:space="preserve">This unit is used in workplaces that operate under </w:t>
      </w:r>
      <w:r w:rsidRPr="00460B77">
        <w:t>the airworthiness regulatory systems of the Australian Defence Force (ADF) and the Civil Aviation Safety Authority (CASA).</w:t>
      </w:r>
    </w:p>
    <w:p w:rsidR="00000000" w:rsidRPr="00460B77" w:rsidP="00460B77">
      <w:pPr>
        <w:pStyle w:val="Heading1"/>
      </w:pPr>
      <w:bookmarkStart w:id="3" w:name="O_724132"/>
      <w:bookmarkEnd w:id="3"/>
      <w:r w:rsidRPr="00460B7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5"/>
        <w:gridCol w:w="6162"/>
      </w:tblGrid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MEA710</w:t>
            </w:r>
          </w:p>
        </w:tc>
        <w:tc>
          <w:tcPr>
            <w:tcW w:w="6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Apply aeronautical system design techniques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MEM23004A</w:t>
            </w:r>
          </w:p>
        </w:tc>
        <w:tc>
          <w:tcPr>
            <w:tcW w:w="6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Apply technical mathematics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MEM230</w:t>
            </w:r>
            <w:r w:rsidRPr="00460B77">
              <w:t>07A</w:t>
            </w:r>
          </w:p>
        </w:tc>
        <w:tc>
          <w:tcPr>
            <w:tcW w:w="6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BodyText"/>
            </w:pPr>
            <w:r w:rsidRPr="00460B77">
              <w:t>Apply calculus to engineering tasks</w:t>
            </w:r>
          </w:p>
        </w:tc>
      </w:tr>
    </w:tbl>
    <w:p w:rsidR="00000000" w:rsidRPr="00460B77" w:rsidP="00460B77">
      <w:pPr>
        <w:pStyle w:val="BodyText"/>
      </w:pPr>
    </w:p>
    <w:p w:rsidR="00000000" w:rsidRPr="00460B77" w:rsidP="00460B77">
      <w:pPr>
        <w:pStyle w:val="AllowPageBreak"/>
      </w:pPr>
    </w:p>
    <w:p w:rsidR="00000000" w:rsidRPr="00460B77" w:rsidP="00460B77">
      <w:pPr>
        <w:pStyle w:val="Heading1"/>
      </w:pPr>
      <w:bookmarkStart w:id="4" w:name="O_724131"/>
      <w:bookmarkEnd w:id="4"/>
      <w:r w:rsidRPr="00460B77">
        <w:t>Competency Field</w:t>
      </w:r>
    </w:p>
    <w:p w:rsidR="00000000" w:rsidRPr="00460B77" w:rsidP="00910E24">
      <w:pPr>
        <w:pStyle w:val="BodyText"/>
      </w:pPr>
      <w:r w:rsidRPr="00460B77">
        <w:t xml:space="preserve">Aeronautical engineering  </w:t>
      </w:r>
    </w:p>
    <w:p w:rsidR="00000000" w:rsidRPr="00460B77" w:rsidP="00460B77">
      <w:pPr>
        <w:pStyle w:val="Heading1"/>
      </w:pPr>
      <w:bookmarkStart w:id="5" w:name="O_724130"/>
      <w:bookmarkEnd w:id="5"/>
      <w:r w:rsidRPr="00460B77">
        <w:t>Unit Sector</w:t>
      </w:r>
    </w:p>
    <w:p w:rsidR="00000000" w:rsidRPr="00460B77" w:rsidP="00460B77">
      <w:pPr>
        <w:pStyle w:val="Heading1"/>
      </w:pPr>
      <w:bookmarkStart w:id="6" w:name="O_724129"/>
      <w:bookmarkEnd w:id="6"/>
      <w:r w:rsidRPr="00460B77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295"/>
        <w:gridCol w:w="1004"/>
        <w:gridCol w:w="5270"/>
      </w:tblGrid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Elements describe the essential outcomes.</w:t>
            </w:r>
          </w:p>
        </w:tc>
        <w:tc>
          <w:tcPr>
            <w:tcW w:w="62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 xml:space="preserve">Performance criteria describe the performance needed to demonstrate achievement of the element. 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Prepare to evaluate rotorcraft flight control system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1.1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Confirm and apply safe working practices relating to aircraft pneumatic systems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1.2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Determine parameters and context of applications and purpose of evaluation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1.3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Confirm personal functions and responsibilities, team and support functional group interdependencies and communications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1.4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1.5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Determine chain of responsibility for the activity evaluation, repo</w:t>
            </w:r>
            <w:r w:rsidRPr="00460B77">
              <w:t>rting arrangements and timelines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1.6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Identify work health and safety (WHS) and regulatory requirements with particular emphasis on safety, codes of practice, performance requirements and standards, including airworthiness regulatory requirements for rot</w:t>
            </w:r>
            <w:r w:rsidRPr="00460B77">
              <w:t>orcraft flight control systems, risk management and organisational procedures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2.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Identify principles and techniques required for evaluation of rotorcraft flight control system applications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2.1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Identify features and functions of rotorcraft flight control s</w:t>
            </w:r>
            <w:r w:rsidRPr="00460B77">
              <w:t>ystems and components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2.2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Review rotorcraft flight control system design and layout requirements and techniques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2.3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Identify system electrical power requirements and interfaces with avionic systems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rotorcraft flight control system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3.1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proposed modifications to rotorcraft flight control systems and system components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3.2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rotorcraft flight control system and system component maintenance requirements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3.3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rotorcraft flight control system and system component reliability and defect history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3.4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proposed component substitutions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3.5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Evaluate application for compliance with WHS Acts, regulations, codes, directives and standards/specificat</w:t>
            </w:r>
            <w:r w:rsidRPr="00460B77">
              <w:t>ions, including those related to risk management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4.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Report results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4.1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Report results of scoping, principles and techniques identification and evaluation of applications</w:t>
            </w:r>
          </w:p>
        </w:tc>
      </w:tr>
      <w:tr w:rsidTr="00460B7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4.2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BodyText"/>
            </w:pPr>
            <w:r w:rsidRPr="00460B77">
              <w:t>Provide documentation, such as system schematics, wiring diagrams and data required by CM and/or ILS, and as required for compliance with airworthiness regulations</w:t>
            </w:r>
          </w:p>
        </w:tc>
      </w:tr>
    </w:tbl>
    <w:p w:rsidR="00000000" w:rsidRPr="00460B77" w:rsidP="00460B77">
      <w:pPr>
        <w:pStyle w:val="BodyText"/>
      </w:pPr>
    </w:p>
    <w:p w:rsidR="00000000" w:rsidRPr="00460B77" w:rsidP="00460B77">
      <w:pPr>
        <w:pStyle w:val="AllowPageBreak"/>
      </w:pPr>
    </w:p>
    <w:p w:rsidR="00000000" w:rsidRPr="00460B77" w:rsidP="00460B77">
      <w:pPr>
        <w:pStyle w:val="Heading1"/>
      </w:pPr>
      <w:bookmarkStart w:id="7" w:name="O_724128"/>
      <w:bookmarkEnd w:id="7"/>
      <w:r w:rsidRPr="00460B77">
        <w:t>Foundation Skills</w:t>
      </w:r>
    </w:p>
    <w:p w:rsidR="00000000" w:rsidRPr="00460B77" w:rsidP="00910E24">
      <w:pPr>
        <w:pStyle w:val="BodyText"/>
      </w:pPr>
      <w:r w:rsidRPr="00460B77">
        <w:t>Foundation skills essential to performance are explicit</w:t>
      </w:r>
      <w:r w:rsidRPr="00460B77">
        <w:t xml:space="preserve"> in the performance criteria of this unit of competency.</w:t>
      </w:r>
    </w:p>
    <w:p w:rsidR="00000000" w:rsidRPr="00460B77" w:rsidP="00460B77">
      <w:pPr>
        <w:pStyle w:val="Heading1"/>
      </w:pPr>
      <w:bookmarkStart w:id="8" w:name="O_724127"/>
      <w:bookmarkEnd w:id="8"/>
      <w:r w:rsidRPr="00460B7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t>This field allows for different work environments and conditions that may affect performance. Essential operating conditions that may be present (depending on the</w:t>
            </w:r>
            <w:r w:rsidRPr="00460B77">
              <w:t xml:space="preserve"> work situation, needs of the candidate, accessibility of the item, and local industry and regional contexts) are included.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Rotorcraft flight control systems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Mechanical flight control (cyclic, collective and tail rotor)</w:t>
            </w:r>
          </w:p>
          <w:p w:rsidR="00000000" w:rsidRPr="00460B77" w:rsidP="00460B77">
            <w:pPr>
              <w:pStyle w:val="ListBullet"/>
            </w:pPr>
            <w:r w:rsidRPr="00460B77">
              <w:t>Powered flight control</w:t>
            </w:r>
          </w:p>
          <w:p w:rsidR="00000000" w:rsidRPr="00460B77" w:rsidP="00460B77">
            <w:pPr>
              <w:pStyle w:val="ListBullet"/>
            </w:pPr>
            <w:r w:rsidRPr="00460B77">
              <w:t>Trim</w:t>
            </w:r>
          </w:p>
          <w:p w:rsidR="00000000" w:rsidRPr="00460B77" w:rsidP="00460B77">
            <w:pPr>
              <w:pStyle w:val="ListBullet"/>
            </w:pPr>
            <w:r w:rsidRPr="00460B77">
              <w:t>Interfaces with engine fuel control unit or throttle/governor</w:t>
            </w:r>
          </w:p>
          <w:p w:rsidR="00000000" w:rsidP="00460B77">
            <w:pPr>
              <w:pStyle w:val="ListBullet"/>
              <w:rPr>
                <w:lang w:val="en-NZ"/>
              </w:rPr>
            </w:pPr>
            <w:r w:rsidRPr="00460B77">
              <w:t>Interfaces with automatic flight control systems, electrical and instrument systems and engine power control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Rotorcraft flight control system components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Cockpit controls</w:t>
            </w:r>
          </w:p>
          <w:p w:rsidR="00000000" w:rsidRPr="00460B77" w:rsidP="00460B77">
            <w:pPr>
              <w:pStyle w:val="ListBullet"/>
            </w:pPr>
            <w:r w:rsidRPr="00460B77">
              <w:t>Cable ru</w:t>
            </w:r>
            <w:r w:rsidRPr="00460B77">
              <w:t>ns and hardware</w:t>
            </w:r>
          </w:p>
          <w:p w:rsidR="00000000" w:rsidRPr="00460B77" w:rsidP="00460B77">
            <w:pPr>
              <w:pStyle w:val="ListBullet"/>
            </w:pPr>
            <w:r w:rsidRPr="00460B77">
              <w:t>Mechanical linkages</w:t>
            </w:r>
          </w:p>
          <w:p w:rsidR="00000000" w:rsidRPr="00460B77" w:rsidP="00460B77">
            <w:pPr>
              <w:pStyle w:val="ListBullet"/>
            </w:pPr>
            <w:r w:rsidRPr="00460B77">
              <w:t>Hydraulic actuators and valves</w:t>
            </w:r>
          </w:p>
          <w:p w:rsidR="00000000" w:rsidRPr="00460B77" w:rsidP="00460B77">
            <w:pPr>
              <w:pStyle w:val="ListBullet"/>
            </w:pPr>
            <w:r w:rsidRPr="00460B77">
              <w:t>Electric actuators</w:t>
            </w:r>
          </w:p>
          <w:p w:rsidR="00000000" w:rsidRPr="00460B77" w:rsidP="00460B77">
            <w:pPr>
              <w:pStyle w:val="ListBullet"/>
            </w:pPr>
            <w:r w:rsidRPr="00460B77">
              <w:t>Hydraulic power supply, plumbing, valves and filters</w:t>
            </w:r>
          </w:p>
          <w:p w:rsidR="00000000" w:rsidRPr="00460B77" w:rsidP="00460B77">
            <w:pPr>
              <w:pStyle w:val="ListBullet"/>
            </w:pPr>
            <w:r w:rsidRPr="00460B77">
              <w:t>Trim actuators</w:t>
            </w:r>
          </w:p>
          <w:p w:rsidR="00000000" w:rsidRPr="00460B77" w:rsidP="00460B77">
            <w:pPr>
              <w:pStyle w:val="ListBullet"/>
            </w:pPr>
            <w:r w:rsidRPr="00460B77">
              <w:t>Mixer box</w:t>
            </w:r>
          </w:p>
          <w:p w:rsidR="00000000" w:rsidRPr="00460B77" w:rsidP="00460B77">
            <w:pPr>
              <w:pStyle w:val="ListBullet"/>
            </w:pPr>
            <w:r w:rsidRPr="00460B77">
              <w:t>Rotor swashplate</w:t>
            </w:r>
          </w:p>
          <w:p w:rsidR="00000000" w:rsidRPr="00460B77" w:rsidP="00460B77">
            <w:pPr>
              <w:pStyle w:val="ListBullet"/>
            </w:pPr>
            <w:r w:rsidRPr="00460B77">
              <w:t>Tail rotor pitch change mechanism</w:t>
            </w:r>
          </w:p>
          <w:p w:rsidR="00000000" w:rsidP="00460B77">
            <w:pPr>
              <w:pStyle w:val="ListBullet"/>
              <w:rPr>
                <w:lang w:val="en-NZ"/>
              </w:rPr>
            </w:pPr>
            <w:r w:rsidRPr="00460B77">
              <w:t>Indicators, lights and switches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Standards and guidance material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ADF AAP7001.054 Airworthiness Design Requirements Manual</w:t>
            </w:r>
          </w:p>
          <w:p w:rsidR="00000000" w:rsidRPr="00460B77" w:rsidP="00460B77">
            <w:pPr>
              <w:pStyle w:val="ListBullet"/>
            </w:pPr>
            <w:r w:rsidRPr="00460B77">
              <w:t xml:space="preserve">FAR Part 27 Airworthiness Standards for Rotorcraft in the Normal Category </w:t>
            </w:r>
          </w:p>
          <w:p w:rsidR="00000000" w:rsidRPr="00460B77" w:rsidP="00460B77">
            <w:pPr>
              <w:pStyle w:val="ListBullet"/>
            </w:pPr>
            <w:r w:rsidRPr="00460B77">
              <w:t>FAR Part 29 Airworthiness Standards for Rotorcraft in the Transport Category</w:t>
            </w:r>
          </w:p>
          <w:p w:rsidR="00000000" w:rsidRPr="00460B77" w:rsidP="00460B77">
            <w:pPr>
              <w:pStyle w:val="ListBullet"/>
            </w:pPr>
            <w:r w:rsidRPr="00460B77">
              <w:t xml:space="preserve">EASA </w:t>
            </w:r>
            <w:r w:rsidRPr="00460B77">
              <w:t>CS-27 Certification Specifications for Rotorcraft in the Normal Category</w:t>
            </w:r>
          </w:p>
          <w:p w:rsidR="00000000" w:rsidRPr="00460B77" w:rsidP="00460B77">
            <w:pPr>
              <w:pStyle w:val="ListBullet"/>
            </w:pPr>
            <w:r w:rsidRPr="00460B77">
              <w:t>EASA CS-29 Certification Specifications for Rotorcraft in the Transport Category</w:t>
            </w:r>
          </w:p>
          <w:p w:rsidR="00000000" w:rsidRPr="00460B77" w:rsidP="00460B77">
            <w:pPr>
              <w:pStyle w:val="ListBullet"/>
            </w:pPr>
            <w:r w:rsidRPr="00460B77">
              <w:t>CASA AC21.16(0) Approval of material, parts, processes and appliances</w:t>
            </w:r>
          </w:p>
          <w:p w:rsidR="00000000" w:rsidRPr="00460B77" w:rsidP="00460B77">
            <w:pPr>
              <w:pStyle w:val="ListBullet"/>
            </w:pPr>
            <w:r w:rsidRPr="00460B77">
              <w:t>CASA AC21.145(0) Manufacture of parts during the course of maintenance</w:t>
            </w:r>
          </w:p>
          <w:p w:rsidR="00000000" w:rsidRPr="00460B77" w:rsidP="00460B77">
            <w:pPr>
              <w:pStyle w:val="ListBullet"/>
            </w:pPr>
            <w:r w:rsidRPr="00460B77">
              <w:t>CASA AC21.601(0) Australian Technical Standards Order Authorisation</w:t>
            </w:r>
          </w:p>
          <w:p w:rsidR="00000000" w:rsidRPr="00460B77" w:rsidP="00460B77">
            <w:pPr>
              <w:pStyle w:val="ListBullet"/>
            </w:pPr>
            <w:r w:rsidRPr="00460B77">
              <w:t>CASA CAAP35-7(0) Design approval of modifications and repairs</w:t>
            </w:r>
          </w:p>
          <w:p w:rsidR="00000000" w:rsidRPr="00460B77" w:rsidP="00460B77">
            <w:pPr>
              <w:pStyle w:val="ListBullet"/>
            </w:pPr>
            <w:r w:rsidRPr="00460B77">
              <w:t>CASA AC 21-99 Aircraft Wiring and Bonding</w:t>
            </w:r>
          </w:p>
          <w:p w:rsidR="00000000" w:rsidP="00460B77">
            <w:pPr>
              <w:pStyle w:val="ListBullet"/>
              <w:rPr>
                <w:lang w:val="en-NZ"/>
              </w:rPr>
            </w:pPr>
            <w:r w:rsidRPr="00460B77">
              <w:t>FAA AC 43-13-</w:t>
            </w:r>
            <w:r w:rsidRPr="00460B77">
              <w:t>1B Acceptable Methods, Techniques and Practices – Aircraft Inspection and Repair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Configuration management (CM)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ListBullet"/>
              <w:rPr>
                <w:lang w:val="en-NZ"/>
              </w:rPr>
            </w:pPr>
            <w:r w:rsidRPr="00460B77">
              <w:t>CM is a process for control and documentation of the design and development process and for the management of system, component and software th</w:t>
            </w:r>
            <w:r w:rsidRPr="00460B77">
              <w:t>roughout the service life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Integrated logistic support (ILS)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ILS is an integrated approach to the management of logistic disciplines originally developed for the management of military systems from design concept to final disposal at life-of-type. It cove</w:t>
            </w:r>
            <w:r w:rsidRPr="00460B77">
              <w:t>rs:</w:t>
            </w:r>
          </w:p>
          <w:p w:rsidR="00000000" w:rsidRPr="00460B77" w:rsidP="00460B77">
            <w:pPr>
              <w:pStyle w:val="ListBullet2"/>
            </w:pPr>
            <w:r w:rsidRPr="00460B77">
              <w:t>reliability engineering, maintainability engineering and maintenance planning</w:t>
            </w:r>
          </w:p>
          <w:p w:rsidR="00000000" w:rsidRPr="00460B77" w:rsidP="00460B77">
            <w:pPr>
              <w:pStyle w:val="ListBullet2"/>
            </w:pPr>
            <w:r w:rsidRPr="00460B77">
              <w:t>supply and support</w:t>
            </w:r>
          </w:p>
          <w:p w:rsidR="00000000" w:rsidRPr="00460B77" w:rsidP="00460B77">
            <w:pPr>
              <w:pStyle w:val="ListBullet2"/>
            </w:pPr>
            <w:r w:rsidRPr="00460B77">
              <w:t>support and test equipment</w:t>
            </w:r>
          </w:p>
          <w:p w:rsidR="00000000" w:rsidRPr="00460B77" w:rsidP="00460B77">
            <w:pPr>
              <w:pStyle w:val="ListBullet2"/>
            </w:pPr>
            <w:r w:rsidRPr="00460B77">
              <w:t>manpower and personnel</w:t>
            </w:r>
          </w:p>
          <w:p w:rsidR="00000000" w:rsidRPr="00460B77" w:rsidP="00460B77">
            <w:pPr>
              <w:pStyle w:val="ListBullet2"/>
            </w:pPr>
            <w:r w:rsidRPr="00460B77">
              <w:t>training and training support</w:t>
            </w:r>
          </w:p>
          <w:p w:rsidR="00000000" w:rsidRPr="00460B77" w:rsidP="00460B77">
            <w:pPr>
              <w:pStyle w:val="ListBullet2"/>
            </w:pPr>
            <w:r w:rsidRPr="00460B77">
              <w:t>technical data and publications</w:t>
            </w:r>
          </w:p>
          <w:p w:rsidR="00000000" w:rsidRPr="00460B77" w:rsidP="00460B77">
            <w:pPr>
              <w:pStyle w:val="ListBullet2"/>
            </w:pPr>
            <w:r w:rsidRPr="00460B77">
              <w:t>computer resources support</w:t>
            </w:r>
          </w:p>
          <w:p w:rsidR="00000000" w:rsidRPr="00460B77" w:rsidP="00460B77">
            <w:pPr>
              <w:pStyle w:val="ListBullet2"/>
            </w:pPr>
            <w:r w:rsidRPr="00460B77">
              <w:t>facilities</w:t>
            </w:r>
          </w:p>
          <w:p w:rsidR="00000000" w:rsidRPr="00460B77" w:rsidP="00460B77">
            <w:pPr>
              <w:pStyle w:val="ListBullet2"/>
            </w:pPr>
            <w:r w:rsidRPr="00460B77">
              <w:t>packaging, handling, storage and transportation</w:t>
            </w:r>
          </w:p>
          <w:p w:rsidR="00000000" w:rsidP="00460B77">
            <w:pPr>
              <w:pStyle w:val="ListBullet2"/>
              <w:rPr>
                <w:lang w:val="en-NZ"/>
              </w:rPr>
            </w:pPr>
            <w:r w:rsidRPr="00460B77">
              <w:t>design interface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7">
            <w:pPr>
              <w:pStyle w:val="BodyText"/>
              <w:rPr>
                <w:lang w:val="en-NZ"/>
              </w:rPr>
            </w:pPr>
            <w:r w:rsidRPr="00460B77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Assistance from individuals with CASA maintenance certification licenses or those with supervisory authorisations in the ADF regu</w:t>
            </w:r>
            <w:r w:rsidRPr="00460B77">
              <w:t>latory system</w:t>
            </w:r>
          </w:p>
          <w:p w:rsidR="00000000" w:rsidRPr="00460B77" w:rsidP="00460B77">
            <w:pPr>
              <w:pStyle w:val="ListBullet"/>
            </w:pPr>
            <w:r w:rsidRPr="00460B77">
              <w:t>Professional support from engineers employed within:</w:t>
            </w:r>
          </w:p>
          <w:p w:rsidR="00000000" w:rsidRPr="00460B77" w:rsidP="00460B77">
            <w:pPr>
              <w:pStyle w:val="ListBullet2"/>
            </w:pPr>
            <w:r w:rsidRPr="00460B77">
              <w:t>organisations with CASA continuing airworthiness management or maintenance approvals</w:t>
            </w:r>
          </w:p>
          <w:p w:rsidR="00000000" w:rsidRPr="00460B77" w:rsidP="00460B77">
            <w:pPr>
              <w:pStyle w:val="ListBullet2"/>
            </w:pPr>
            <w:r w:rsidRPr="00460B77">
              <w:t>approved engineering organisations under the ADF regulatory system</w:t>
            </w:r>
          </w:p>
          <w:p w:rsidR="00000000" w:rsidP="00460B77">
            <w:pPr>
              <w:pStyle w:val="ListBullet"/>
              <w:rPr>
                <w:lang w:val="en-NZ"/>
              </w:rPr>
            </w:pPr>
            <w:r w:rsidRPr="00460B77">
              <w:t>Engineers em</w:t>
            </w:r>
            <w:r w:rsidRPr="00460B77">
              <w:t>ployed within organisations recognised by overseas airworthiness organisations</w:t>
            </w:r>
          </w:p>
        </w:tc>
      </w:tr>
      <w:tr w:rsidTr="0046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BodyText"/>
            </w:pPr>
            <w:r w:rsidRPr="00460B77">
              <w:rPr>
                <w:rStyle w:val="SpecialBold"/>
              </w:rPr>
              <w:t>WHS, regulatory requirements and enterprise procedures include:</w:t>
            </w:r>
          </w:p>
          <w:p w:rsidR="00000000" w:rsidP="00460B77">
            <w:pPr>
              <w:pStyle w:val="BodyText"/>
              <w:rPr>
                <w:lang w:val="en-NZ"/>
              </w:rPr>
            </w:pP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7" w:rsidP="00460B77">
            <w:pPr>
              <w:pStyle w:val="ListBullet"/>
            </w:pPr>
            <w:r w:rsidRPr="00460B77">
              <w:t>WHS Acts and regulations</w:t>
            </w:r>
          </w:p>
          <w:p w:rsidR="00000000" w:rsidRPr="00460B77" w:rsidP="00460B77">
            <w:pPr>
              <w:pStyle w:val="ListBullet"/>
            </w:pPr>
            <w:r w:rsidRPr="00460B77">
              <w:t>Relevant standards</w:t>
            </w:r>
          </w:p>
          <w:p w:rsidR="00000000" w:rsidRPr="00460B77" w:rsidP="00460B77">
            <w:pPr>
              <w:pStyle w:val="ListBullet"/>
            </w:pPr>
            <w:r w:rsidRPr="00460B77">
              <w:t>Industry codes of practice</w:t>
            </w:r>
          </w:p>
          <w:p w:rsidR="00000000" w:rsidRPr="00460B77" w:rsidP="00460B77">
            <w:pPr>
              <w:pStyle w:val="ListBullet"/>
            </w:pPr>
            <w:r w:rsidRPr="00460B77">
              <w:t>Risk assessments</w:t>
            </w:r>
          </w:p>
          <w:p w:rsidR="00000000" w:rsidRPr="00460B77" w:rsidP="00460B77">
            <w:pPr>
              <w:pStyle w:val="ListBullet"/>
            </w:pPr>
            <w:r w:rsidRPr="00460B77">
              <w:t xml:space="preserve">Registration requirements </w:t>
            </w:r>
          </w:p>
          <w:p w:rsidR="00000000" w:rsidRPr="00460B77" w:rsidP="00460B77">
            <w:pPr>
              <w:pStyle w:val="ListBullet"/>
            </w:pPr>
            <w:r w:rsidRPr="00460B77">
              <w:t>Safe work practices</w:t>
            </w:r>
          </w:p>
          <w:p w:rsidR="00000000" w:rsidRPr="00460B77" w:rsidP="00460B77">
            <w:pPr>
              <w:pStyle w:val="ListBullet"/>
            </w:pPr>
            <w:r w:rsidRPr="00460B77">
              <w:t>Civil Aviation Safety Regulations (CASRs)</w:t>
            </w:r>
          </w:p>
          <w:p w:rsidR="00000000" w:rsidRPr="00460B77" w:rsidP="00460B77">
            <w:pPr>
              <w:pStyle w:val="ListBullet"/>
            </w:pPr>
            <w:r w:rsidRPr="00460B77">
              <w:t>AAP7001.053 ADF Technical Airworthiness Management Manual</w:t>
            </w:r>
          </w:p>
          <w:p w:rsidR="00000000" w:rsidRPr="00460B77" w:rsidP="00460B77">
            <w:pPr>
              <w:pStyle w:val="ListBullet"/>
            </w:pPr>
            <w:r w:rsidRPr="00460B77">
              <w:t>Overseas airworthiness authorities, where applicable, e.g. Federal Aviation Administration, Transport Canada,</w:t>
            </w:r>
            <w:r w:rsidRPr="00460B77">
              <w:t xml:space="preserve"> European Aviation Safety Agency</w:t>
            </w:r>
          </w:p>
        </w:tc>
      </w:tr>
    </w:tbl>
    <w:p w:rsidR="00000000" w:rsidRPr="00460B77" w:rsidP="00460B77">
      <w:pPr>
        <w:pStyle w:val="BodyText"/>
      </w:pPr>
    </w:p>
    <w:p w:rsidR="00000000" w:rsidRPr="00460B77" w:rsidP="00460B77">
      <w:pPr>
        <w:pStyle w:val="AllowPageBreak"/>
      </w:pPr>
    </w:p>
    <w:p w:rsidR="00000000" w:rsidRPr="00460B77" w:rsidP="00460B77">
      <w:pPr>
        <w:pStyle w:val="Heading1"/>
      </w:pPr>
      <w:bookmarkStart w:id="9" w:name="O_724126"/>
      <w:bookmarkEnd w:id="9"/>
      <w:r w:rsidRPr="00460B77">
        <w:t>Unit Mapping Information</w:t>
      </w:r>
    </w:p>
    <w:p w:rsidR="00000000" w:rsidRPr="00460B77" w:rsidP="00910E24">
      <w:pPr>
        <w:pStyle w:val="BodyText"/>
      </w:pPr>
      <w:r w:rsidRPr="00460B77">
        <w:t>Release 1 – New unit based on MEM23097A Apply automated systems principles and techniques in aeronautical engineering situations – units not equivalent</w:t>
      </w:r>
    </w:p>
    <w:p w:rsidR="00000000" w:rsidRPr="00460B77" w:rsidP="00460B77">
      <w:pPr>
        <w:pStyle w:val="Heading1"/>
      </w:pPr>
      <w:bookmarkStart w:id="10" w:name="O_724119"/>
      <w:bookmarkEnd w:id="10"/>
      <w:r w:rsidRPr="00460B77">
        <w:t>Links</w:t>
      </w:r>
    </w:p>
    <w:p w:rsidR="00000000" w:rsidRPr="00460B77" w:rsidP="00910E24">
      <w:pPr>
        <w:pStyle w:val="BodyText"/>
      </w:pPr>
      <w:r w:rsidRPr="00460B77">
        <w:t>Comp</w:t>
      </w:r>
      <w:r w:rsidRPr="00460B7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448E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60B77" w:rsidP="00460B77"/>
    <w:sectPr w:rsidSect="00460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7" w:rsidRPr="00910E24" w:rsidP="00910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24" w:rsidP="00460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E24" w:rsidP="00460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0E24" w:rsidP="00460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B77" w:rsidRPr="00910E24" w:rsidP="00910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E24" w:rsidRPr="002D2AF8" w:rsidP="00460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MEA718 Evaluate rotorcraft flight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0E24" w:rsidP="00460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6B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C0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A0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B77"/>
  </w:style>
  <w:style w:type="character" w:customStyle="1" w:styleId="Heading1Char">
    <w:name w:val="Heading 1 Char"/>
    <w:basedOn w:val="DefaultParagraphFont"/>
    <w:link w:val="Heading1"/>
    <w:rsid w:val="00460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B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B77"/>
    <w:rPr>
      <w:b/>
      <w:spacing w:val="0"/>
    </w:rPr>
  </w:style>
  <w:style w:type="paragraph" w:styleId="ListBullet2">
    <w:name w:val="List Bullet 2"/>
    <w:basedOn w:val="List2"/>
    <w:rsid w:val="00460B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B77"/>
    <w:rPr>
      <w:i/>
    </w:rPr>
  </w:style>
  <w:style w:type="paragraph" w:styleId="Caption">
    <w:name w:val="caption"/>
    <w:basedOn w:val="BodyText"/>
    <w:next w:val="Normal"/>
    <w:qFormat/>
    <w:rsid w:val="00460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B77"/>
  </w:style>
  <w:style w:type="paragraph" w:styleId="TableofFigures">
    <w:name w:val="table of figures"/>
    <w:basedOn w:val="Normal"/>
    <w:next w:val="Normal"/>
    <w:semiHidden/>
    <w:rsid w:val="00460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B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0B77"/>
    <w:rPr>
      <w:rFonts w:ascii="Wingdings" w:hAnsi="Wingdings"/>
    </w:rPr>
  </w:style>
  <w:style w:type="paragraph" w:customStyle="1" w:styleId="TableHeading">
    <w:name w:val="Table Heading"/>
    <w:basedOn w:val="HeadingBase"/>
    <w:rsid w:val="00460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B77"/>
    <w:rPr>
      <w:color w:val="0033CC"/>
      <w:u w:val="none"/>
    </w:rPr>
  </w:style>
  <w:style w:type="paragraph" w:customStyle="1" w:styleId="BodyTextRight">
    <w:name w:val="Body Text Right"/>
    <w:basedOn w:val="BodyText"/>
    <w:rsid w:val="00460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B77"/>
    <w:rPr>
      <w:sz w:val="32"/>
    </w:rPr>
  </w:style>
  <w:style w:type="paragraph" w:customStyle="1" w:styleId="HeadingProcedure">
    <w:name w:val="Heading Procedure"/>
    <w:basedOn w:val="HeadingBase"/>
    <w:next w:val="Normal"/>
    <w:rsid w:val="00460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B77"/>
    <w:pPr>
      <w:spacing w:before="60" w:after="60"/>
    </w:pPr>
  </w:style>
  <w:style w:type="paragraph" w:styleId="ListContinue">
    <w:name w:val="List Continue"/>
    <w:basedOn w:val="List"/>
    <w:rsid w:val="00460B77"/>
    <w:pPr>
      <w:ind w:firstLine="0"/>
    </w:pPr>
  </w:style>
  <w:style w:type="paragraph" w:customStyle="1" w:styleId="ListNote">
    <w:name w:val="List Note"/>
    <w:basedOn w:val="List"/>
    <w:rsid w:val="00460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B77"/>
    <w:rPr>
      <w:rFonts w:ascii="Courier New" w:hAnsi="Courier New"/>
    </w:rPr>
  </w:style>
  <w:style w:type="paragraph" w:customStyle="1" w:styleId="NoteBullet">
    <w:name w:val="Note Bullet"/>
    <w:basedOn w:val="Note"/>
    <w:rsid w:val="00460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B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B77"/>
    <w:rPr>
      <w:b/>
      <w:smallCaps/>
    </w:rPr>
  </w:style>
  <w:style w:type="paragraph" w:customStyle="1" w:styleId="TableListNumber">
    <w:name w:val="Table List Number"/>
    <w:basedOn w:val="ListNumber"/>
    <w:rsid w:val="00460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B77"/>
    <w:pPr>
      <w:numPr>
        <w:numId w:val="9"/>
      </w:numPr>
    </w:pPr>
  </w:style>
  <w:style w:type="paragraph" w:customStyle="1" w:styleId="ListAlpha2">
    <w:name w:val="List Alpha 2"/>
    <w:basedOn w:val="List2"/>
    <w:rsid w:val="00460B77"/>
    <w:pPr>
      <w:numPr>
        <w:numId w:val="8"/>
      </w:numPr>
    </w:pPr>
  </w:style>
  <w:style w:type="paragraph" w:styleId="List2">
    <w:name w:val="List 2"/>
    <w:basedOn w:val="BodyText"/>
    <w:rsid w:val="00460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B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B77"/>
    <w:pPr>
      <w:numPr>
        <w:numId w:val="4"/>
      </w:numPr>
    </w:pPr>
  </w:style>
  <w:style w:type="paragraph" w:styleId="ListContinue2">
    <w:name w:val="List Continue 2"/>
    <w:basedOn w:val="List2"/>
    <w:rsid w:val="00460B77"/>
    <w:pPr>
      <w:ind w:firstLine="0"/>
    </w:pPr>
  </w:style>
  <w:style w:type="paragraph" w:styleId="ListContinue3">
    <w:name w:val="List Continue 3"/>
    <w:basedOn w:val="List3"/>
    <w:rsid w:val="00460B77"/>
    <w:pPr>
      <w:ind w:left="1021" w:firstLine="0"/>
    </w:pPr>
  </w:style>
  <w:style w:type="paragraph" w:styleId="ListContinue4">
    <w:name w:val="List Continue 4"/>
    <w:basedOn w:val="List4"/>
    <w:rsid w:val="00460B77"/>
    <w:pPr>
      <w:ind w:firstLine="0"/>
    </w:pPr>
  </w:style>
  <w:style w:type="paragraph" w:styleId="ListContinue5">
    <w:name w:val="List Continue 5"/>
    <w:basedOn w:val="List5"/>
    <w:rsid w:val="00460B77"/>
    <w:pPr>
      <w:ind w:firstLine="0"/>
    </w:pPr>
  </w:style>
  <w:style w:type="paragraph" w:styleId="ListNumber3">
    <w:name w:val="List Number 3"/>
    <w:basedOn w:val="List3"/>
    <w:rsid w:val="00460B77"/>
    <w:pPr>
      <w:numPr>
        <w:numId w:val="5"/>
      </w:numPr>
    </w:pPr>
  </w:style>
  <w:style w:type="paragraph" w:styleId="ListNumber4">
    <w:name w:val="List Number 4"/>
    <w:basedOn w:val="List4"/>
    <w:rsid w:val="00460B77"/>
    <w:pPr>
      <w:numPr>
        <w:numId w:val="6"/>
      </w:numPr>
    </w:pPr>
  </w:style>
  <w:style w:type="paragraph" w:styleId="ListNumber5">
    <w:name w:val="List Number 5"/>
    <w:basedOn w:val="List5"/>
    <w:rsid w:val="00460B77"/>
    <w:pPr>
      <w:numPr>
        <w:numId w:val="7"/>
      </w:numPr>
    </w:pPr>
  </w:style>
  <w:style w:type="paragraph" w:styleId="BlockText">
    <w:name w:val="Block Text"/>
    <w:basedOn w:val="Normal"/>
    <w:rsid w:val="00460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B77"/>
    <w:rPr>
      <w:sz w:val="16"/>
      <w:vertAlign w:val="superscript"/>
    </w:rPr>
  </w:style>
  <w:style w:type="character" w:customStyle="1" w:styleId="Symbols">
    <w:name w:val="Symbols"/>
    <w:basedOn w:val="DefaultParagraphFont"/>
    <w:rsid w:val="00460B77"/>
    <w:rPr>
      <w:rFonts w:ascii="Symbol" w:hAnsi="Symbol"/>
    </w:rPr>
  </w:style>
  <w:style w:type="character" w:customStyle="1" w:styleId="MenuOptions">
    <w:name w:val="Menu Options"/>
    <w:basedOn w:val="DefaultParagraphFont"/>
    <w:rsid w:val="00460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B77"/>
    <w:rPr>
      <w:b/>
    </w:rPr>
  </w:style>
  <w:style w:type="character" w:customStyle="1" w:styleId="Underlined">
    <w:name w:val="Underlined"/>
    <w:basedOn w:val="DefaultParagraphFont"/>
    <w:rsid w:val="00460B77"/>
    <w:rPr>
      <w:u w:val="single"/>
    </w:rPr>
  </w:style>
  <w:style w:type="paragraph" w:customStyle="1" w:styleId="TableBodyTextRight">
    <w:name w:val="Table Body Text Right"/>
    <w:basedOn w:val="TableBodyText"/>
    <w:rsid w:val="00460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B77"/>
    <w:rPr>
      <w:sz w:val="18"/>
    </w:rPr>
  </w:style>
  <w:style w:type="paragraph" w:customStyle="1" w:styleId="BodySmallRight">
    <w:name w:val="Body Small Right"/>
    <w:basedOn w:val="BodyTextRight"/>
    <w:rsid w:val="00460B77"/>
    <w:rPr>
      <w:sz w:val="18"/>
      <w:szCs w:val="18"/>
    </w:rPr>
  </w:style>
  <w:style w:type="paragraph" w:customStyle="1" w:styleId="MarginEdition">
    <w:name w:val="Margin Edition"/>
    <w:basedOn w:val="MarginNote"/>
    <w:rsid w:val="00460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B77"/>
    <w:rPr>
      <w:sz w:val="2"/>
      <w:szCs w:val="2"/>
    </w:rPr>
  </w:style>
  <w:style w:type="character" w:customStyle="1" w:styleId="Small">
    <w:name w:val="Small"/>
    <w:basedOn w:val="DefaultParagraphFont"/>
    <w:rsid w:val="00460B77"/>
    <w:rPr>
      <w:sz w:val="16"/>
    </w:rPr>
  </w:style>
  <w:style w:type="paragraph" w:customStyle="1" w:styleId="WideTable">
    <w:name w:val="Wide Table"/>
    <w:basedOn w:val="Normal"/>
    <w:rsid w:val="00460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B77"/>
  </w:style>
  <w:style w:type="paragraph" w:styleId="Quote">
    <w:name w:val="Quote"/>
    <w:basedOn w:val="Heading1"/>
    <w:link w:val="QuoteChar"/>
    <w:qFormat/>
    <w:rsid w:val="00460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B77"/>
    <w:pPr>
      <w:pageBreakBefore/>
    </w:pPr>
  </w:style>
  <w:style w:type="paragraph" w:customStyle="1" w:styleId="Border">
    <w:name w:val="Border"/>
    <w:basedOn w:val="Normal"/>
    <w:qFormat/>
    <w:rsid w:val="00460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B77"/>
    <w:rPr>
      <w:u w:val="single"/>
    </w:rPr>
  </w:style>
  <w:style w:type="character" w:customStyle="1" w:styleId="BoldandItalics">
    <w:name w:val="Bold and Italics"/>
    <w:qFormat/>
    <w:rsid w:val="00460B77"/>
    <w:rPr>
      <w:b/>
      <w:i/>
      <w:u w:val="none"/>
    </w:rPr>
  </w:style>
  <w:style w:type="paragraph" w:styleId="BalloonText">
    <w:name w:val="Balloon Text"/>
    <w:basedOn w:val="Normal"/>
    <w:link w:val="BalloonTextChar"/>
    <w:rsid w:val="00460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B77"/>
    <w:pPr>
      <w:spacing w:before="0" w:after="0"/>
    </w:pPr>
  </w:style>
  <w:style w:type="paragraph" w:customStyle="1" w:styleId="BodyTextBold">
    <w:name w:val="Body Text Bold"/>
    <w:basedOn w:val="BodyText"/>
    <w:qFormat/>
    <w:rsid w:val="00460B77"/>
    <w:rPr>
      <w:b/>
    </w:rPr>
  </w:style>
  <w:style w:type="character" w:styleId="Hyperlink">
    <w:name w:val="Hyperlink"/>
    <w:basedOn w:val="DefaultParagraphFont"/>
    <w:uiPriority w:val="99"/>
    <w:unhideWhenUsed/>
    <w:rsid w:val="00910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6873</Characters>
  <Application>Microsoft Office Word</Application>
  <DocSecurity>0</DocSecurity>
  <Lines>274</Lines>
  <Paragraphs>151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MEA718 Evaluate rotorcraft flight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