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41CB" w:rsidP="00E641CB">
      <w:pPr>
        <w:pStyle w:val="Title"/>
      </w:pPr>
      <w:r>
        <w:fldChar w:fldCharType="begin"/>
      </w:r>
      <w:r>
        <w:instrText xml:space="preserve"> TITLE   \* MERGEFORMAT </w:instrText>
      </w:r>
      <w:r>
        <w:fldChar w:fldCharType="separate"/>
      </w:r>
      <w:r>
        <w:t>MEA718 Evaluate rotorcraft flight control systems</w:t>
      </w:r>
      <w:r>
        <w:fldChar w:fldCharType="end"/>
      </w:r>
    </w:p>
    <w:p w:rsidR="00E641CB" w:rsidP="00E641CB">
      <w:pPr>
        <w:pStyle w:val="Version"/>
        <w:sectPr w:rsidSect="00FE2C4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2C4E" w:rsidP="00FE2C4E">
      <w:pPr>
        <w:pStyle w:val="SuperHeading"/>
      </w:pPr>
      <w:r w:rsidRPr="00FE2C4E">
        <w:t>MEA718 Evaluate rotorcraft flight control systems</w:t>
      </w:r>
    </w:p>
    <w:p w:rsidR="00000000" w:rsidRPr="00FE2C4E" w:rsidP="00FE2C4E">
      <w:pPr>
        <w:pStyle w:val="Heading1"/>
      </w:pPr>
      <w:bookmarkStart w:id="1" w:name="O_724125"/>
      <w:bookmarkEnd w:id="1"/>
      <w:r w:rsidRPr="00FE2C4E">
        <w:t>Modification History</w:t>
      </w:r>
    </w:p>
    <w:p w:rsidR="00000000" w:rsidRPr="00FE2C4E" w:rsidP="00E641CB">
      <w:pPr>
        <w:pStyle w:val="BodyText"/>
      </w:pPr>
      <w:r w:rsidRPr="00FE2C4E">
        <w:t>Release 1 - New unit of competency</w:t>
      </w:r>
    </w:p>
    <w:p w:rsidR="00000000" w:rsidRPr="00FE2C4E" w:rsidP="00FE2C4E">
      <w:pPr>
        <w:pStyle w:val="Heading1"/>
      </w:pPr>
      <w:bookmarkStart w:id="2" w:name="O_724133"/>
      <w:bookmarkEnd w:id="2"/>
      <w:r w:rsidRPr="00FE2C4E">
        <w:t>Application</w:t>
      </w:r>
    </w:p>
    <w:p w:rsidR="00000000" w:rsidRPr="00FE2C4E" w:rsidP="00E641CB">
      <w:pPr>
        <w:pStyle w:val="BodyText"/>
      </w:pPr>
      <w:r w:rsidRPr="00FE2C4E">
        <w:t>This unit of competency applies to rotorcraft mechanical and powered flight control systems and their components, including the interface of powered systems and au</w:t>
      </w:r>
      <w:r w:rsidRPr="00FE2C4E">
        <w:t xml:space="preserve">tomatic flight control systems. It involves evaluation of systems and components for compliance with design and performance standards and with airworthiness regulatory requirements within both civil and military environments. </w:t>
      </w:r>
    </w:p>
    <w:p w:rsidR="00000000" w:rsidRPr="00FE2C4E" w:rsidP="00E641CB">
      <w:pPr>
        <w:pStyle w:val="BodyText"/>
      </w:pPr>
      <w:r w:rsidRPr="00FE2C4E">
        <w:t>Also covered is documentatio</w:t>
      </w:r>
      <w:r w:rsidRPr="00FE2C4E">
        <w:t>n of the evaluation process within management systems, such as configuration management (CM) and integrated logistic support (ILS).</w:t>
      </w:r>
    </w:p>
    <w:p w:rsidR="00000000" w:rsidRPr="00FE2C4E" w:rsidP="00E641CB">
      <w:pPr>
        <w:pStyle w:val="BodyText"/>
      </w:pPr>
      <w:r w:rsidRPr="00FE2C4E">
        <w:t xml:space="preserve">It is suitable for people working within aircraft design teams, within the engineering departments of aircraft maintenance </w:t>
      </w:r>
      <w:r w:rsidRPr="00FE2C4E">
        <w:t>organisations or employed within Continuing Airworthiness Management Organisations (CAMOs) and Approved Engineering Organisations (AEOs), and for those pursuing qualifications or careers in those fields.</w:t>
      </w:r>
    </w:p>
    <w:p w:rsidR="00000000" w:rsidRPr="00FE2C4E" w:rsidP="00E641CB">
      <w:pPr>
        <w:pStyle w:val="BodyText"/>
      </w:pPr>
      <w:r w:rsidRPr="00FE2C4E">
        <w:t xml:space="preserve">This unit is used in workplaces that operate under </w:t>
      </w:r>
      <w:r w:rsidRPr="00FE2C4E">
        <w:t>the airworthiness regulatory systems of the Australian Defence Force (ADF) and the Civil Aviation Safety Authority (CASA).</w:t>
      </w:r>
    </w:p>
    <w:p w:rsidR="00000000" w:rsidRPr="00FE2C4E" w:rsidP="00FE2C4E">
      <w:pPr>
        <w:pStyle w:val="Heading1"/>
      </w:pPr>
      <w:bookmarkStart w:id="3" w:name="O_724132"/>
      <w:bookmarkEnd w:id="3"/>
      <w:r w:rsidRPr="00FE2C4E">
        <w:t>Pre-requisite Unit</w:t>
      </w:r>
    </w:p>
    <w:tbl>
      <w:tblPr>
        <w:tblW w:w="0" w:type="auto"/>
        <w:tblLayout w:type="fixed"/>
        <w:tblCellMar>
          <w:left w:w="62" w:type="dxa"/>
          <w:right w:w="62" w:type="dxa"/>
        </w:tblCellMar>
        <w:tblLook w:val="0000"/>
      </w:tblPr>
      <w:tblGrid>
        <w:gridCol w:w="2325"/>
        <w:gridCol w:w="6162"/>
      </w:tblGrid>
      <w:tr w:rsidTr="00FE2C4E">
        <w:tblPrEx>
          <w:tblW w:w="0" w:type="auto"/>
          <w:tblLayout w:type="fixed"/>
          <w:tblCellMar>
            <w:left w:w="62" w:type="dxa"/>
            <w:right w:w="62" w:type="dxa"/>
          </w:tblCellMar>
          <w:tblLook w:val="0000"/>
        </w:tblPrEx>
        <w:tc>
          <w:tcPr>
            <w:tcW w:w="2325" w:type="dxa"/>
            <w:tcBorders>
              <w:top w:val="nil"/>
              <w:left w:val="nil"/>
              <w:bottom w:val="nil"/>
              <w:right w:val="nil"/>
            </w:tcBorders>
            <w:tcMar>
              <w:top w:w="0" w:type="dxa"/>
              <w:left w:w="62" w:type="dxa"/>
              <w:bottom w:w="0" w:type="dxa"/>
              <w:right w:w="62" w:type="dxa"/>
            </w:tcMar>
          </w:tcPr>
          <w:p w:rsidR="00000000" w:rsidP="00FE2C4E">
            <w:pPr>
              <w:pStyle w:val="BodyText"/>
              <w:rPr>
                <w:lang w:val="en-NZ"/>
              </w:rPr>
            </w:pPr>
            <w:r w:rsidRPr="00FE2C4E">
              <w:t>MEA710</w:t>
            </w:r>
          </w:p>
        </w:tc>
        <w:tc>
          <w:tcPr>
            <w:tcW w:w="6162" w:type="dxa"/>
            <w:tcBorders>
              <w:top w:val="nil"/>
              <w:left w:val="nil"/>
              <w:bottom w:val="nil"/>
              <w:right w:val="nil"/>
            </w:tcBorders>
            <w:tcMar>
              <w:top w:w="0" w:type="dxa"/>
              <w:left w:w="62" w:type="dxa"/>
              <w:bottom w:w="0" w:type="dxa"/>
              <w:right w:w="62" w:type="dxa"/>
            </w:tcMar>
          </w:tcPr>
          <w:p w:rsidR="00000000" w:rsidP="00FE2C4E">
            <w:pPr>
              <w:pStyle w:val="BodyText"/>
              <w:rPr>
                <w:lang w:val="en-NZ"/>
              </w:rPr>
            </w:pPr>
            <w:r w:rsidRPr="00FE2C4E">
              <w:t>Apply aeronautical system design techniques</w:t>
            </w:r>
          </w:p>
        </w:tc>
      </w:tr>
      <w:tr w:rsidTr="00FE2C4E">
        <w:tblPrEx>
          <w:tblW w:w="0" w:type="auto"/>
          <w:tblLayout w:type="fixed"/>
          <w:tblCellMar>
            <w:left w:w="62" w:type="dxa"/>
            <w:right w:w="62" w:type="dxa"/>
          </w:tblCellMar>
          <w:tblLook w:val="0000"/>
        </w:tblPrEx>
        <w:tc>
          <w:tcPr>
            <w:tcW w:w="2325" w:type="dxa"/>
            <w:tcBorders>
              <w:top w:val="nil"/>
              <w:left w:val="nil"/>
              <w:bottom w:val="nil"/>
              <w:right w:val="nil"/>
            </w:tcBorders>
            <w:tcMar>
              <w:top w:w="0" w:type="dxa"/>
              <w:left w:w="62" w:type="dxa"/>
              <w:bottom w:w="0" w:type="dxa"/>
              <w:right w:w="62" w:type="dxa"/>
            </w:tcMar>
          </w:tcPr>
          <w:p w:rsidR="00000000" w:rsidP="00FE2C4E">
            <w:pPr>
              <w:pStyle w:val="BodyText"/>
              <w:rPr>
                <w:lang w:val="en-NZ"/>
              </w:rPr>
            </w:pPr>
            <w:r w:rsidRPr="00FE2C4E">
              <w:t>MEM23004A</w:t>
            </w:r>
          </w:p>
        </w:tc>
        <w:tc>
          <w:tcPr>
            <w:tcW w:w="6162" w:type="dxa"/>
            <w:tcBorders>
              <w:top w:val="nil"/>
              <w:left w:val="nil"/>
              <w:bottom w:val="nil"/>
              <w:right w:val="nil"/>
            </w:tcBorders>
            <w:tcMar>
              <w:top w:w="0" w:type="dxa"/>
              <w:left w:w="62" w:type="dxa"/>
              <w:bottom w:w="0" w:type="dxa"/>
              <w:right w:w="62" w:type="dxa"/>
            </w:tcMar>
          </w:tcPr>
          <w:p w:rsidR="00000000" w:rsidP="00FE2C4E">
            <w:pPr>
              <w:pStyle w:val="BodyText"/>
              <w:rPr>
                <w:lang w:val="en-NZ"/>
              </w:rPr>
            </w:pPr>
            <w:r w:rsidRPr="00FE2C4E">
              <w:t>Apply technical mathematics</w:t>
            </w:r>
          </w:p>
        </w:tc>
      </w:tr>
      <w:tr w:rsidTr="00FE2C4E">
        <w:tblPrEx>
          <w:tblW w:w="0" w:type="auto"/>
          <w:tblLayout w:type="fixed"/>
          <w:tblCellMar>
            <w:left w:w="62" w:type="dxa"/>
            <w:right w:w="62" w:type="dxa"/>
          </w:tblCellMar>
          <w:tblLook w:val="0000"/>
        </w:tblPrEx>
        <w:tc>
          <w:tcPr>
            <w:tcW w:w="2325" w:type="dxa"/>
            <w:tcBorders>
              <w:top w:val="nil"/>
              <w:left w:val="nil"/>
              <w:bottom w:val="nil"/>
              <w:right w:val="nil"/>
            </w:tcBorders>
            <w:tcMar>
              <w:top w:w="0" w:type="dxa"/>
              <w:left w:w="62" w:type="dxa"/>
              <w:bottom w:w="0" w:type="dxa"/>
              <w:right w:w="62" w:type="dxa"/>
            </w:tcMar>
          </w:tcPr>
          <w:p w:rsidR="00000000" w:rsidP="00FE2C4E">
            <w:pPr>
              <w:pStyle w:val="BodyText"/>
              <w:rPr>
                <w:lang w:val="en-NZ"/>
              </w:rPr>
            </w:pPr>
            <w:r w:rsidRPr="00FE2C4E">
              <w:t>MEM230</w:t>
            </w:r>
            <w:r w:rsidRPr="00FE2C4E">
              <w:t>07A</w:t>
            </w:r>
          </w:p>
        </w:tc>
        <w:tc>
          <w:tcPr>
            <w:tcW w:w="6162" w:type="dxa"/>
            <w:tcBorders>
              <w:top w:val="nil"/>
              <w:left w:val="nil"/>
              <w:bottom w:val="nil"/>
              <w:right w:val="nil"/>
            </w:tcBorders>
            <w:tcMar>
              <w:top w:w="0" w:type="dxa"/>
              <w:left w:w="62" w:type="dxa"/>
              <w:bottom w:w="0" w:type="dxa"/>
              <w:right w:w="62" w:type="dxa"/>
            </w:tcMar>
          </w:tcPr>
          <w:p w:rsidR="00000000" w:rsidRPr="00FE2C4E" w:rsidP="00FE2C4E">
            <w:pPr>
              <w:pStyle w:val="BodyText"/>
            </w:pPr>
            <w:r w:rsidRPr="00FE2C4E">
              <w:t>Apply calculus to engineering tasks</w:t>
            </w:r>
          </w:p>
        </w:tc>
      </w:tr>
    </w:tbl>
    <w:p w:rsidR="00000000" w:rsidRPr="00FE2C4E" w:rsidP="00FE2C4E">
      <w:pPr>
        <w:pStyle w:val="BodyText"/>
      </w:pPr>
    </w:p>
    <w:p w:rsidR="00000000" w:rsidRPr="00FE2C4E" w:rsidP="00FE2C4E">
      <w:pPr>
        <w:pStyle w:val="AllowPageBreak"/>
      </w:pPr>
    </w:p>
    <w:p w:rsidR="00000000" w:rsidRPr="00FE2C4E" w:rsidP="00FE2C4E">
      <w:pPr>
        <w:pStyle w:val="Heading1"/>
      </w:pPr>
      <w:bookmarkStart w:id="4" w:name="O_724131"/>
      <w:bookmarkEnd w:id="4"/>
      <w:r w:rsidRPr="00FE2C4E">
        <w:t>Competency Field</w:t>
      </w:r>
    </w:p>
    <w:p w:rsidR="00000000" w:rsidRPr="00FE2C4E" w:rsidP="00E641CB">
      <w:pPr>
        <w:pStyle w:val="BodyText"/>
      </w:pPr>
      <w:r w:rsidRPr="00FE2C4E">
        <w:t xml:space="preserve">Aeronautical engineering  </w:t>
      </w:r>
    </w:p>
    <w:p w:rsidR="00000000" w:rsidRPr="00FE2C4E" w:rsidP="00FE2C4E">
      <w:pPr>
        <w:pStyle w:val="Heading1"/>
      </w:pPr>
      <w:bookmarkStart w:id="5" w:name="O_724130"/>
      <w:bookmarkEnd w:id="5"/>
      <w:r w:rsidRPr="00FE2C4E">
        <w:t>Unit Sector</w:t>
      </w:r>
    </w:p>
    <w:p w:rsidR="00000000" w:rsidRPr="00FE2C4E" w:rsidP="00FE2C4E">
      <w:pPr>
        <w:pStyle w:val="Heading1"/>
      </w:pPr>
      <w:bookmarkStart w:id="6" w:name="O_724129"/>
      <w:bookmarkEnd w:id="6"/>
      <w:r w:rsidRPr="00FE2C4E">
        <w:t>Elements and Performance Criteria</w:t>
      </w:r>
    </w:p>
    <w:tbl>
      <w:tblPr>
        <w:tblW w:w="9286" w:type="dxa"/>
        <w:tblLayout w:type="fixed"/>
        <w:tblCellMar>
          <w:left w:w="62" w:type="dxa"/>
          <w:right w:w="62" w:type="dxa"/>
        </w:tblCellMar>
        <w:tblLook w:val="0000"/>
      </w:tblPr>
      <w:tblGrid>
        <w:gridCol w:w="717"/>
        <w:gridCol w:w="2295"/>
        <w:gridCol w:w="1004"/>
        <w:gridCol w:w="5270"/>
      </w:tblGrid>
      <w:tr w:rsidTr="00FE2C4E">
        <w:tblPrEx>
          <w:tblW w:w="9286" w:type="dxa"/>
          <w:tblLayout w:type="fixed"/>
          <w:tblCellMar>
            <w:left w:w="62" w:type="dxa"/>
            <w:right w:w="62" w:type="dxa"/>
          </w:tblCellMar>
          <w:tblLook w:val="0000"/>
        </w:tblPrEx>
        <w:tc>
          <w:tcPr>
            <w:tcW w:w="3012" w:type="dxa"/>
            <w:gridSpan w:val="2"/>
            <w:tcBorders>
              <w:top w:val="nil"/>
              <w:left w:val="nil"/>
              <w:bottom w:val="nil"/>
              <w:right w:val="nil"/>
            </w:tcBorders>
            <w:tcMar>
              <w:top w:w="0" w:type="dxa"/>
              <w:left w:w="62" w:type="dxa"/>
              <w:bottom w:w="0" w:type="dxa"/>
              <w:right w:w="62" w:type="dxa"/>
            </w:tcMar>
          </w:tcPr>
          <w:p w:rsidR="00000000" w:rsidP="00FE2C4E">
            <w:pPr>
              <w:pStyle w:val="BodyText"/>
              <w:rPr>
                <w:lang w:val="en-NZ"/>
              </w:rPr>
            </w:pPr>
            <w:r w:rsidRPr="00FE2C4E">
              <w:t>Elements describe the essential outcomes.</w:t>
            </w:r>
          </w:p>
        </w:tc>
        <w:tc>
          <w:tcPr>
            <w:tcW w:w="6274" w:type="dxa"/>
            <w:gridSpan w:val="2"/>
            <w:tcBorders>
              <w:top w:val="nil"/>
              <w:left w:val="nil"/>
              <w:bottom w:val="nil"/>
              <w:right w:val="nil"/>
            </w:tcBorders>
            <w:tcMar>
              <w:top w:w="0" w:type="dxa"/>
              <w:left w:w="62" w:type="dxa"/>
              <w:bottom w:w="0" w:type="dxa"/>
              <w:right w:w="62" w:type="dxa"/>
            </w:tcMar>
          </w:tcPr>
          <w:p w:rsidR="00000000" w:rsidP="00FE2C4E">
            <w:pPr>
              <w:pStyle w:val="BodyText"/>
              <w:rPr>
                <w:lang w:val="en-NZ"/>
              </w:rPr>
            </w:pPr>
            <w:r w:rsidRPr="00FE2C4E">
              <w:t xml:space="preserve">Performance criteria describe the performance needed to demonstrate achievement of the element. </w:t>
            </w:r>
          </w:p>
        </w:tc>
      </w:tr>
      <w:tr w:rsidTr="00FE2C4E">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FE2C4E">
            <w:pPr>
              <w:pStyle w:val="BodyText"/>
              <w:rPr>
                <w:lang w:val="en-NZ"/>
              </w:rPr>
            </w:pPr>
            <w:r w:rsidRPr="00FE2C4E">
              <w:t>1.</w:t>
            </w:r>
          </w:p>
        </w:tc>
        <w:tc>
          <w:tcPr>
            <w:tcW w:w="2295" w:type="dxa"/>
            <w:vMerge w:val="restart"/>
            <w:tcBorders>
              <w:top w:val="nil"/>
              <w:left w:val="nil"/>
              <w:bottom w:val="nil"/>
              <w:right w:val="nil"/>
            </w:tcBorders>
            <w:tcMar>
              <w:top w:w="0" w:type="dxa"/>
              <w:left w:w="62" w:type="dxa"/>
              <w:bottom w:w="0" w:type="dxa"/>
              <w:right w:w="62" w:type="dxa"/>
            </w:tcMar>
          </w:tcPr>
          <w:p w:rsidR="00000000" w:rsidP="00FE2C4E">
            <w:pPr>
              <w:pStyle w:val="BodyText"/>
              <w:rPr>
                <w:lang w:val="en-NZ"/>
              </w:rPr>
            </w:pPr>
            <w:r w:rsidRPr="00FE2C4E">
              <w:t>Prepare to evaluate rotorcraft flight control system</w:t>
            </w:r>
          </w:p>
        </w:tc>
        <w:tc>
          <w:tcPr>
            <w:tcW w:w="1004" w:type="dxa"/>
            <w:tcBorders>
              <w:top w:val="nil"/>
              <w:left w:val="nil"/>
              <w:bottom w:val="nil"/>
              <w:right w:val="nil"/>
            </w:tcBorders>
            <w:tcMar>
              <w:top w:w="0" w:type="dxa"/>
              <w:left w:w="62" w:type="dxa"/>
              <w:bottom w:w="0" w:type="dxa"/>
              <w:right w:w="62" w:type="dxa"/>
            </w:tcMar>
          </w:tcPr>
          <w:p w:rsidR="00000000" w:rsidP="00FE2C4E">
            <w:pPr>
              <w:pStyle w:val="BodyText"/>
              <w:rPr>
                <w:lang w:val="en-NZ"/>
              </w:rPr>
            </w:pPr>
            <w:r w:rsidRPr="00FE2C4E">
              <w:t>1.1</w:t>
            </w:r>
          </w:p>
        </w:tc>
        <w:tc>
          <w:tcPr>
            <w:tcW w:w="5270" w:type="dxa"/>
            <w:tcBorders>
              <w:top w:val="nil"/>
              <w:left w:val="nil"/>
              <w:bottom w:val="nil"/>
              <w:right w:val="nil"/>
            </w:tcBorders>
            <w:tcMar>
              <w:top w:w="0" w:type="dxa"/>
              <w:left w:w="62" w:type="dxa"/>
              <w:bottom w:w="0" w:type="dxa"/>
              <w:right w:w="62" w:type="dxa"/>
            </w:tcMar>
          </w:tcPr>
          <w:p w:rsidR="00000000" w:rsidP="00FE2C4E">
            <w:pPr>
              <w:pStyle w:val="BodyText"/>
              <w:rPr>
                <w:lang w:val="en-NZ"/>
              </w:rPr>
            </w:pPr>
            <w:r w:rsidRPr="00FE2C4E">
              <w:t>Confirm and apply safe working practices relating to aircraft pneumatic systems</w:t>
            </w:r>
          </w:p>
        </w:tc>
      </w:tr>
      <w:tr w:rsidTr="00FE2C4E">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FE2C4E">
            <w:pPr>
              <w:pStyle w:val="BodyText"/>
              <w:rPr>
                <w:lang w:val="en-NZ"/>
              </w:rPr>
            </w:pPr>
            <w:r w:rsidRPr="00FE2C4E">
              <w:t>1.2</w:t>
            </w:r>
          </w:p>
        </w:tc>
        <w:tc>
          <w:tcPr>
            <w:tcW w:w="5270" w:type="dxa"/>
            <w:tcBorders>
              <w:top w:val="nil"/>
              <w:left w:val="nil"/>
              <w:bottom w:val="nil"/>
              <w:right w:val="nil"/>
            </w:tcBorders>
            <w:tcMar>
              <w:top w:w="0" w:type="dxa"/>
              <w:left w:w="62" w:type="dxa"/>
              <w:bottom w:w="0" w:type="dxa"/>
              <w:right w:w="62" w:type="dxa"/>
            </w:tcMar>
          </w:tcPr>
          <w:p w:rsidR="00000000" w:rsidP="00FE2C4E">
            <w:pPr>
              <w:pStyle w:val="BodyText"/>
              <w:rPr>
                <w:lang w:val="en-NZ"/>
              </w:rPr>
            </w:pPr>
            <w:r w:rsidRPr="00FE2C4E">
              <w:t>Determine parameters and context of applications and purpose of evaluation</w:t>
            </w:r>
          </w:p>
        </w:tc>
      </w:tr>
      <w:tr w:rsidTr="00FE2C4E">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FE2C4E">
            <w:pPr>
              <w:pStyle w:val="BodyText"/>
              <w:rPr>
                <w:lang w:val="en-NZ"/>
              </w:rPr>
            </w:pPr>
            <w:r w:rsidRPr="00FE2C4E">
              <w:t>1.3</w:t>
            </w:r>
          </w:p>
        </w:tc>
        <w:tc>
          <w:tcPr>
            <w:tcW w:w="5270" w:type="dxa"/>
            <w:tcBorders>
              <w:top w:val="nil"/>
              <w:left w:val="nil"/>
              <w:bottom w:val="nil"/>
              <w:right w:val="nil"/>
            </w:tcBorders>
            <w:tcMar>
              <w:top w:w="0" w:type="dxa"/>
              <w:left w:w="62" w:type="dxa"/>
              <w:bottom w:w="0" w:type="dxa"/>
              <w:right w:w="62" w:type="dxa"/>
            </w:tcMar>
          </w:tcPr>
          <w:p w:rsidR="00000000" w:rsidP="00FE2C4E">
            <w:pPr>
              <w:pStyle w:val="BodyText"/>
              <w:rPr>
                <w:lang w:val="en-NZ"/>
              </w:rPr>
            </w:pPr>
            <w:r w:rsidRPr="00FE2C4E">
              <w:t>Confirm personal functions and responsibilities, team and support functional group interdependencies and communications</w:t>
            </w:r>
          </w:p>
        </w:tc>
      </w:tr>
      <w:tr w:rsidTr="00FE2C4E">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FE2C4E">
            <w:pPr>
              <w:pStyle w:val="BodyText"/>
              <w:rPr>
                <w:lang w:val="en-NZ"/>
              </w:rPr>
            </w:pPr>
            <w:r w:rsidRPr="00FE2C4E">
              <w:t>1.4</w:t>
            </w:r>
          </w:p>
        </w:tc>
        <w:tc>
          <w:tcPr>
            <w:tcW w:w="5270" w:type="dxa"/>
            <w:tcBorders>
              <w:top w:val="nil"/>
              <w:left w:val="nil"/>
              <w:bottom w:val="nil"/>
              <w:right w:val="nil"/>
            </w:tcBorders>
            <w:tcMar>
              <w:top w:w="0" w:type="dxa"/>
              <w:left w:w="62" w:type="dxa"/>
              <w:bottom w:w="0" w:type="dxa"/>
              <w:right w:w="62" w:type="dxa"/>
            </w:tcMar>
          </w:tcPr>
          <w:p w:rsidR="00000000" w:rsidP="00FE2C4E">
            <w:pPr>
              <w:pStyle w:val="BodyText"/>
              <w:rPr>
                <w:lang w:val="en-NZ"/>
              </w:rPr>
            </w:pPr>
            <w:r w:rsidRPr="00FE2C4E">
              <w:t>Confirm that tasks and responsibilities are appropriate to qualifications and delegations and that appropriate support, including technical and professional assistance, is available</w:t>
            </w:r>
          </w:p>
        </w:tc>
      </w:tr>
      <w:tr w:rsidTr="00FE2C4E">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FE2C4E">
            <w:pPr>
              <w:pStyle w:val="BodyText"/>
              <w:rPr>
                <w:lang w:val="en-NZ"/>
              </w:rPr>
            </w:pPr>
            <w:r w:rsidRPr="00FE2C4E">
              <w:t>1.5</w:t>
            </w:r>
          </w:p>
        </w:tc>
        <w:tc>
          <w:tcPr>
            <w:tcW w:w="5270" w:type="dxa"/>
            <w:tcBorders>
              <w:top w:val="nil"/>
              <w:left w:val="nil"/>
              <w:bottom w:val="nil"/>
              <w:right w:val="nil"/>
            </w:tcBorders>
            <w:tcMar>
              <w:top w:w="0" w:type="dxa"/>
              <w:left w:w="62" w:type="dxa"/>
              <w:bottom w:w="0" w:type="dxa"/>
              <w:right w:w="62" w:type="dxa"/>
            </w:tcMar>
          </w:tcPr>
          <w:p w:rsidR="00000000" w:rsidP="00FE2C4E">
            <w:pPr>
              <w:pStyle w:val="BodyText"/>
              <w:rPr>
                <w:lang w:val="en-NZ"/>
              </w:rPr>
            </w:pPr>
            <w:r w:rsidRPr="00FE2C4E">
              <w:t>Determine chain of responsibility for the activity evaluation, repo</w:t>
            </w:r>
            <w:r w:rsidRPr="00FE2C4E">
              <w:t>rting arrangements and timelines</w:t>
            </w:r>
          </w:p>
        </w:tc>
      </w:tr>
      <w:tr w:rsidTr="00FE2C4E">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FE2C4E">
            <w:pPr>
              <w:pStyle w:val="BodyText"/>
              <w:rPr>
                <w:lang w:val="en-NZ"/>
              </w:rPr>
            </w:pPr>
            <w:r w:rsidRPr="00FE2C4E">
              <w:t>1.6</w:t>
            </w:r>
          </w:p>
        </w:tc>
        <w:tc>
          <w:tcPr>
            <w:tcW w:w="5270" w:type="dxa"/>
            <w:tcBorders>
              <w:top w:val="nil"/>
              <w:left w:val="nil"/>
              <w:bottom w:val="nil"/>
              <w:right w:val="nil"/>
            </w:tcBorders>
            <w:tcMar>
              <w:top w:w="0" w:type="dxa"/>
              <w:left w:w="62" w:type="dxa"/>
              <w:bottom w:w="0" w:type="dxa"/>
              <w:right w:w="62" w:type="dxa"/>
            </w:tcMar>
          </w:tcPr>
          <w:p w:rsidR="00000000" w:rsidP="00FE2C4E">
            <w:pPr>
              <w:pStyle w:val="BodyText"/>
              <w:rPr>
                <w:lang w:val="en-NZ"/>
              </w:rPr>
            </w:pPr>
            <w:r w:rsidRPr="00FE2C4E">
              <w:t xml:space="preserve">Identify work health and safety (WHS) and regulatory requirements with particular emphasis on safety, codes of practice, performance requirements and standards, </w:t>
            </w:r>
            <w:r w:rsidRPr="00FE2C4E">
              <w:t>including airworthiness regulatory requirements for rotorcraft flight control systems, risk management and organisational procedures</w:t>
            </w:r>
          </w:p>
        </w:tc>
      </w:tr>
      <w:tr w:rsidTr="00FE2C4E">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FE2C4E">
            <w:pPr>
              <w:pStyle w:val="BodyText"/>
              <w:rPr>
                <w:lang w:val="en-NZ"/>
              </w:rPr>
            </w:pPr>
            <w:r w:rsidRPr="00FE2C4E">
              <w:t>2.</w:t>
            </w:r>
          </w:p>
        </w:tc>
        <w:tc>
          <w:tcPr>
            <w:tcW w:w="2295" w:type="dxa"/>
            <w:vMerge w:val="restart"/>
            <w:tcBorders>
              <w:top w:val="nil"/>
              <w:left w:val="nil"/>
              <w:bottom w:val="nil"/>
              <w:right w:val="nil"/>
            </w:tcBorders>
            <w:tcMar>
              <w:top w:w="0" w:type="dxa"/>
              <w:left w:w="62" w:type="dxa"/>
              <w:bottom w:w="0" w:type="dxa"/>
              <w:right w:w="62" w:type="dxa"/>
            </w:tcMar>
          </w:tcPr>
          <w:p w:rsidR="00000000" w:rsidP="00FE2C4E">
            <w:pPr>
              <w:pStyle w:val="BodyText"/>
              <w:rPr>
                <w:lang w:val="en-NZ"/>
              </w:rPr>
            </w:pPr>
            <w:r w:rsidRPr="00FE2C4E">
              <w:t>Identify principles and techniques required for evaluation of rotorcraft flight control system applications</w:t>
            </w:r>
          </w:p>
        </w:tc>
        <w:tc>
          <w:tcPr>
            <w:tcW w:w="1004" w:type="dxa"/>
            <w:tcBorders>
              <w:top w:val="nil"/>
              <w:left w:val="nil"/>
              <w:bottom w:val="nil"/>
              <w:right w:val="nil"/>
            </w:tcBorders>
            <w:tcMar>
              <w:top w:w="0" w:type="dxa"/>
              <w:left w:w="62" w:type="dxa"/>
              <w:bottom w:w="0" w:type="dxa"/>
              <w:right w:w="62" w:type="dxa"/>
            </w:tcMar>
          </w:tcPr>
          <w:p w:rsidR="00000000" w:rsidP="00FE2C4E">
            <w:pPr>
              <w:pStyle w:val="BodyText"/>
              <w:rPr>
                <w:lang w:val="en-NZ"/>
              </w:rPr>
            </w:pPr>
            <w:r w:rsidRPr="00FE2C4E">
              <w:t>2.1</w:t>
            </w:r>
          </w:p>
        </w:tc>
        <w:tc>
          <w:tcPr>
            <w:tcW w:w="5270" w:type="dxa"/>
            <w:tcBorders>
              <w:top w:val="nil"/>
              <w:left w:val="nil"/>
              <w:bottom w:val="nil"/>
              <w:right w:val="nil"/>
            </w:tcBorders>
            <w:tcMar>
              <w:top w:w="0" w:type="dxa"/>
              <w:left w:w="62" w:type="dxa"/>
              <w:bottom w:w="0" w:type="dxa"/>
              <w:right w:w="62" w:type="dxa"/>
            </w:tcMar>
          </w:tcPr>
          <w:p w:rsidR="00000000" w:rsidP="00FE2C4E">
            <w:pPr>
              <w:pStyle w:val="BodyText"/>
              <w:rPr>
                <w:lang w:val="en-NZ"/>
              </w:rPr>
            </w:pPr>
            <w:r w:rsidRPr="00FE2C4E">
              <w:t>Identif</w:t>
            </w:r>
            <w:r w:rsidRPr="00FE2C4E">
              <w:t>y features and functions of rotorcraft flight control systems and components</w:t>
            </w:r>
          </w:p>
        </w:tc>
      </w:tr>
      <w:tr w:rsidTr="00FE2C4E">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FE2C4E">
            <w:pPr>
              <w:pStyle w:val="BodyText"/>
              <w:rPr>
                <w:lang w:val="en-NZ"/>
              </w:rPr>
            </w:pPr>
            <w:r w:rsidRPr="00FE2C4E">
              <w:t>2.2</w:t>
            </w:r>
          </w:p>
        </w:tc>
        <w:tc>
          <w:tcPr>
            <w:tcW w:w="5270" w:type="dxa"/>
            <w:tcBorders>
              <w:top w:val="nil"/>
              <w:left w:val="nil"/>
              <w:bottom w:val="nil"/>
              <w:right w:val="nil"/>
            </w:tcBorders>
            <w:tcMar>
              <w:top w:w="0" w:type="dxa"/>
              <w:left w:w="62" w:type="dxa"/>
              <w:bottom w:w="0" w:type="dxa"/>
              <w:right w:w="62" w:type="dxa"/>
            </w:tcMar>
          </w:tcPr>
          <w:p w:rsidR="00000000" w:rsidP="00FE2C4E">
            <w:pPr>
              <w:pStyle w:val="BodyText"/>
              <w:rPr>
                <w:lang w:val="en-NZ"/>
              </w:rPr>
            </w:pPr>
            <w:r w:rsidRPr="00FE2C4E">
              <w:t>Review rotorcraft flight control system design and layout requirements and techniques</w:t>
            </w:r>
          </w:p>
        </w:tc>
      </w:tr>
      <w:tr w:rsidTr="00FE2C4E">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FE2C4E">
            <w:pPr>
              <w:pStyle w:val="BodyText"/>
              <w:rPr>
                <w:lang w:val="en-NZ"/>
              </w:rPr>
            </w:pPr>
            <w:r w:rsidRPr="00FE2C4E">
              <w:t>2.3</w:t>
            </w:r>
          </w:p>
        </w:tc>
        <w:tc>
          <w:tcPr>
            <w:tcW w:w="5270" w:type="dxa"/>
            <w:tcBorders>
              <w:top w:val="nil"/>
              <w:left w:val="nil"/>
              <w:bottom w:val="nil"/>
              <w:right w:val="nil"/>
            </w:tcBorders>
            <w:tcMar>
              <w:top w:w="0" w:type="dxa"/>
              <w:left w:w="62" w:type="dxa"/>
              <w:bottom w:w="0" w:type="dxa"/>
              <w:right w:w="62" w:type="dxa"/>
            </w:tcMar>
          </w:tcPr>
          <w:p w:rsidR="00000000" w:rsidP="00FE2C4E">
            <w:pPr>
              <w:pStyle w:val="BodyText"/>
              <w:rPr>
                <w:lang w:val="en-NZ"/>
              </w:rPr>
            </w:pPr>
            <w:r w:rsidRPr="00FE2C4E">
              <w:t>Identify system electrical power req</w:t>
            </w:r>
            <w:r w:rsidRPr="00FE2C4E">
              <w:t>uirements and interfaces with avionic systems</w:t>
            </w:r>
          </w:p>
        </w:tc>
      </w:tr>
      <w:tr w:rsidTr="00FE2C4E">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FE2C4E">
            <w:pPr>
              <w:pStyle w:val="BodyText"/>
              <w:rPr>
                <w:lang w:val="en-NZ"/>
              </w:rPr>
            </w:pPr>
            <w:r w:rsidRPr="00FE2C4E">
              <w:t>3.</w:t>
            </w:r>
          </w:p>
        </w:tc>
        <w:tc>
          <w:tcPr>
            <w:tcW w:w="2295" w:type="dxa"/>
            <w:tcBorders>
              <w:top w:val="nil"/>
              <w:left w:val="nil"/>
              <w:bottom w:val="nil"/>
              <w:right w:val="nil"/>
            </w:tcBorders>
            <w:tcMar>
              <w:top w:w="0" w:type="dxa"/>
              <w:left w:w="62" w:type="dxa"/>
              <w:bottom w:w="0" w:type="dxa"/>
              <w:right w:w="62" w:type="dxa"/>
            </w:tcMar>
          </w:tcPr>
          <w:p w:rsidR="00000000" w:rsidP="00FE2C4E">
            <w:pPr>
              <w:pStyle w:val="BodyText"/>
              <w:rPr>
                <w:lang w:val="en-NZ"/>
              </w:rPr>
            </w:pPr>
            <w:r w:rsidRPr="00FE2C4E">
              <w:t>Evaluate rotorcraft flight control system</w:t>
            </w:r>
          </w:p>
        </w:tc>
        <w:tc>
          <w:tcPr>
            <w:tcW w:w="1004" w:type="dxa"/>
            <w:tcBorders>
              <w:top w:val="nil"/>
              <w:left w:val="nil"/>
              <w:bottom w:val="nil"/>
              <w:right w:val="nil"/>
            </w:tcBorders>
            <w:tcMar>
              <w:top w:w="0" w:type="dxa"/>
              <w:left w:w="62" w:type="dxa"/>
              <w:bottom w:w="0" w:type="dxa"/>
              <w:right w:w="62" w:type="dxa"/>
            </w:tcMar>
          </w:tcPr>
          <w:p w:rsidR="00000000" w:rsidP="00FE2C4E">
            <w:pPr>
              <w:pStyle w:val="BodyText"/>
              <w:rPr>
                <w:lang w:val="en-NZ"/>
              </w:rPr>
            </w:pPr>
            <w:r w:rsidRPr="00FE2C4E">
              <w:t>3.1</w:t>
            </w:r>
          </w:p>
        </w:tc>
        <w:tc>
          <w:tcPr>
            <w:tcW w:w="5270" w:type="dxa"/>
            <w:tcBorders>
              <w:top w:val="nil"/>
              <w:left w:val="nil"/>
              <w:bottom w:val="nil"/>
              <w:right w:val="nil"/>
            </w:tcBorders>
            <w:tcMar>
              <w:top w:w="0" w:type="dxa"/>
              <w:left w:w="62" w:type="dxa"/>
              <w:bottom w:w="0" w:type="dxa"/>
              <w:right w:w="62" w:type="dxa"/>
            </w:tcMar>
          </w:tcPr>
          <w:p w:rsidR="00000000" w:rsidP="00FE2C4E">
            <w:pPr>
              <w:pStyle w:val="BodyText"/>
              <w:rPr>
                <w:lang w:val="en-NZ"/>
              </w:rPr>
            </w:pPr>
            <w:r w:rsidRPr="00FE2C4E">
              <w:t>Evaluate proposed modifications to rotorcraft flight control systems and system components</w:t>
            </w:r>
          </w:p>
        </w:tc>
      </w:tr>
      <w:tr w:rsidTr="00FE2C4E">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FE2C4E">
            <w:pPr>
              <w:pStyle w:val="BodyText"/>
              <w:rPr>
                <w:lang w:val="en-NZ"/>
              </w:rPr>
            </w:pPr>
            <w:r w:rsidRPr="00FE2C4E">
              <w:t>3.2</w:t>
            </w:r>
          </w:p>
        </w:tc>
        <w:tc>
          <w:tcPr>
            <w:tcW w:w="5270" w:type="dxa"/>
            <w:tcBorders>
              <w:top w:val="nil"/>
              <w:left w:val="nil"/>
              <w:bottom w:val="nil"/>
              <w:right w:val="nil"/>
            </w:tcBorders>
            <w:tcMar>
              <w:top w:w="0" w:type="dxa"/>
              <w:left w:w="62" w:type="dxa"/>
              <w:bottom w:w="0" w:type="dxa"/>
              <w:right w:w="62" w:type="dxa"/>
            </w:tcMar>
          </w:tcPr>
          <w:p w:rsidR="00000000" w:rsidP="00FE2C4E">
            <w:pPr>
              <w:pStyle w:val="BodyText"/>
              <w:rPr>
                <w:lang w:val="en-NZ"/>
              </w:rPr>
            </w:pPr>
            <w:r w:rsidRPr="00FE2C4E">
              <w:t>Evaluate rotorcraft flight control system and system component</w:t>
            </w:r>
            <w:r w:rsidRPr="00FE2C4E">
              <w:t xml:space="preserve"> maintenance requirements</w:t>
            </w:r>
          </w:p>
        </w:tc>
      </w:tr>
      <w:tr w:rsidTr="00FE2C4E">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FE2C4E">
            <w:pPr>
              <w:pStyle w:val="BodyText"/>
              <w:rPr>
                <w:lang w:val="en-NZ"/>
              </w:rPr>
            </w:pPr>
            <w:r w:rsidRPr="00FE2C4E">
              <w:t>3.3</w:t>
            </w:r>
          </w:p>
        </w:tc>
        <w:tc>
          <w:tcPr>
            <w:tcW w:w="5270" w:type="dxa"/>
            <w:tcBorders>
              <w:top w:val="nil"/>
              <w:left w:val="nil"/>
              <w:bottom w:val="nil"/>
              <w:right w:val="nil"/>
            </w:tcBorders>
            <w:tcMar>
              <w:top w:w="0" w:type="dxa"/>
              <w:left w:w="62" w:type="dxa"/>
              <w:bottom w:w="0" w:type="dxa"/>
              <w:right w:w="62" w:type="dxa"/>
            </w:tcMar>
          </w:tcPr>
          <w:p w:rsidR="00000000" w:rsidP="00FE2C4E">
            <w:pPr>
              <w:pStyle w:val="BodyText"/>
              <w:rPr>
                <w:lang w:val="en-NZ"/>
              </w:rPr>
            </w:pPr>
            <w:r w:rsidRPr="00FE2C4E">
              <w:t>Evaluate rotorcraft flight control system and system component reliability and defect history</w:t>
            </w:r>
          </w:p>
        </w:tc>
      </w:tr>
      <w:tr w:rsidTr="00FE2C4E">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FE2C4E">
            <w:pPr>
              <w:pStyle w:val="BodyText"/>
              <w:rPr>
                <w:lang w:val="en-NZ"/>
              </w:rPr>
            </w:pPr>
            <w:r w:rsidRPr="00FE2C4E">
              <w:t>3.4</w:t>
            </w:r>
          </w:p>
        </w:tc>
        <w:tc>
          <w:tcPr>
            <w:tcW w:w="5270" w:type="dxa"/>
            <w:tcBorders>
              <w:top w:val="nil"/>
              <w:left w:val="nil"/>
              <w:bottom w:val="nil"/>
              <w:right w:val="nil"/>
            </w:tcBorders>
            <w:tcMar>
              <w:top w:w="0" w:type="dxa"/>
              <w:left w:w="62" w:type="dxa"/>
              <w:bottom w:w="0" w:type="dxa"/>
              <w:right w:w="62" w:type="dxa"/>
            </w:tcMar>
          </w:tcPr>
          <w:p w:rsidR="00000000" w:rsidP="00FE2C4E">
            <w:pPr>
              <w:pStyle w:val="BodyText"/>
              <w:rPr>
                <w:lang w:val="en-NZ"/>
              </w:rPr>
            </w:pPr>
            <w:r w:rsidRPr="00FE2C4E">
              <w:t>Evaluate proposed component substitutions</w:t>
            </w:r>
          </w:p>
        </w:tc>
      </w:tr>
      <w:tr w:rsidTr="00FE2C4E">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FE2C4E">
            <w:pPr>
              <w:pStyle w:val="BodyText"/>
              <w:rPr>
                <w:lang w:val="en-NZ"/>
              </w:rPr>
            </w:pPr>
            <w:r w:rsidRPr="00FE2C4E">
              <w:t>3.5</w:t>
            </w:r>
          </w:p>
        </w:tc>
        <w:tc>
          <w:tcPr>
            <w:tcW w:w="5270" w:type="dxa"/>
            <w:tcBorders>
              <w:top w:val="nil"/>
              <w:left w:val="nil"/>
              <w:bottom w:val="nil"/>
              <w:right w:val="nil"/>
            </w:tcBorders>
            <w:tcMar>
              <w:top w:w="0" w:type="dxa"/>
              <w:left w:w="62" w:type="dxa"/>
              <w:bottom w:w="0" w:type="dxa"/>
              <w:right w:w="62" w:type="dxa"/>
            </w:tcMar>
          </w:tcPr>
          <w:p w:rsidR="00000000" w:rsidP="00FE2C4E">
            <w:pPr>
              <w:pStyle w:val="BodyText"/>
              <w:rPr>
                <w:lang w:val="en-NZ"/>
              </w:rPr>
            </w:pPr>
            <w:r w:rsidRPr="00FE2C4E">
              <w:t>Evaluate application for compliance with WHS Acts, regulations, codes, directives and standards/specifications, including those related to risk management</w:t>
            </w:r>
          </w:p>
        </w:tc>
      </w:tr>
      <w:tr w:rsidTr="00FE2C4E">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FE2C4E">
            <w:pPr>
              <w:pStyle w:val="BodyText"/>
              <w:rPr>
                <w:lang w:val="en-NZ"/>
              </w:rPr>
            </w:pPr>
            <w:r w:rsidRPr="00FE2C4E">
              <w:t>4.</w:t>
            </w:r>
          </w:p>
        </w:tc>
        <w:tc>
          <w:tcPr>
            <w:tcW w:w="2295" w:type="dxa"/>
            <w:tcBorders>
              <w:top w:val="nil"/>
              <w:left w:val="nil"/>
              <w:bottom w:val="nil"/>
              <w:right w:val="nil"/>
            </w:tcBorders>
            <w:tcMar>
              <w:top w:w="0" w:type="dxa"/>
              <w:left w:w="62" w:type="dxa"/>
              <w:bottom w:w="0" w:type="dxa"/>
              <w:right w:w="62" w:type="dxa"/>
            </w:tcMar>
          </w:tcPr>
          <w:p w:rsidR="00000000" w:rsidP="00FE2C4E">
            <w:pPr>
              <w:pStyle w:val="BodyText"/>
              <w:rPr>
                <w:lang w:val="en-NZ"/>
              </w:rPr>
            </w:pPr>
            <w:r w:rsidRPr="00FE2C4E">
              <w:t>Report results</w:t>
            </w:r>
          </w:p>
        </w:tc>
        <w:tc>
          <w:tcPr>
            <w:tcW w:w="1004" w:type="dxa"/>
            <w:tcBorders>
              <w:top w:val="nil"/>
              <w:left w:val="nil"/>
              <w:bottom w:val="nil"/>
              <w:right w:val="nil"/>
            </w:tcBorders>
            <w:tcMar>
              <w:top w:w="0" w:type="dxa"/>
              <w:left w:w="62" w:type="dxa"/>
              <w:bottom w:w="0" w:type="dxa"/>
              <w:right w:w="62" w:type="dxa"/>
            </w:tcMar>
          </w:tcPr>
          <w:p w:rsidR="00000000" w:rsidP="00FE2C4E">
            <w:pPr>
              <w:pStyle w:val="BodyText"/>
              <w:rPr>
                <w:lang w:val="en-NZ"/>
              </w:rPr>
            </w:pPr>
            <w:r w:rsidRPr="00FE2C4E">
              <w:t>4.1</w:t>
            </w:r>
          </w:p>
        </w:tc>
        <w:tc>
          <w:tcPr>
            <w:tcW w:w="5270" w:type="dxa"/>
            <w:tcBorders>
              <w:top w:val="nil"/>
              <w:left w:val="nil"/>
              <w:bottom w:val="nil"/>
              <w:right w:val="nil"/>
            </w:tcBorders>
            <w:tcMar>
              <w:top w:w="0" w:type="dxa"/>
              <w:left w:w="62" w:type="dxa"/>
              <w:bottom w:w="0" w:type="dxa"/>
              <w:right w:w="62" w:type="dxa"/>
            </w:tcMar>
          </w:tcPr>
          <w:p w:rsidR="00000000" w:rsidP="00FE2C4E">
            <w:pPr>
              <w:pStyle w:val="BodyText"/>
              <w:rPr>
                <w:lang w:val="en-NZ"/>
              </w:rPr>
            </w:pPr>
            <w:r w:rsidRPr="00FE2C4E">
              <w:t>Report results of scoping, principles and techniques identification and evalua</w:t>
            </w:r>
            <w:r w:rsidRPr="00FE2C4E">
              <w:t>tion of applications</w:t>
            </w:r>
          </w:p>
        </w:tc>
      </w:tr>
      <w:tr w:rsidTr="00FE2C4E">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FE2C4E">
            <w:pPr>
              <w:pStyle w:val="BodyText"/>
              <w:rPr>
                <w:lang w:val="en-NZ"/>
              </w:rPr>
            </w:pPr>
            <w:r w:rsidRPr="00FE2C4E">
              <w:t>4.2</w:t>
            </w:r>
          </w:p>
        </w:tc>
        <w:tc>
          <w:tcPr>
            <w:tcW w:w="5270" w:type="dxa"/>
            <w:tcBorders>
              <w:top w:val="nil"/>
              <w:left w:val="nil"/>
              <w:bottom w:val="nil"/>
              <w:right w:val="nil"/>
            </w:tcBorders>
            <w:tcMar>
              <w:top w:w="0" w:type="dxa"/>
              <w:left w:w="62" w:type="dxa"/>
              <w:bottom w:w="0" w:type="dxa"/>
              <w:right w:w="62" w:type="dxa"/>
            </w:tcMar>
          </w:tcPr>
          <w:p w:rsidR="00000000" w:rsidRPr="00FE2C4E" w:rsidP="00FE2C4E">
            <w:pPr>
              <w:pStyle w:val="BodyText"/>
            </w:pPr>
            <w:r w:rsidRPr="00FE2C4E">
              <w:t>Provide documentation, such as system schematics, wiring diagrams and data required by CM and/or ILS, and as required for compliance with airworthiness regulations</w:t>
            </w:r>
          </w:p>
        </w:tc>
      </w:tr>
    </w:tbl>
    <w:p w:rsidR="00000000" w:rsidRPr="00FE2C4E" w:rsidP="00FE2C4E">
      <w:pPr>
        <w:pStyle w:val="BodyText"/>
      </w:pPr>
    </w:p>
    <w:p w:rsidR="00000000" w:rsidRPr="00FE2C4E" w:rsidP="00FE2C4E">
      <w:pPr>
        <w:pStyle w:val="AllowPageBreak"/>
      </w:pPr>
    </w:p>
    <w:p w:rsidR="00000000" w:rsidRPr="00FE2C4E" w:rsidP="00FE2C4E">
      <w:pPr>
        <w:pStyle w:val="Heading1"/>
      </w:pPr>
      <w:bookmarkStart w:id="7" w:name="O_724128"/>
      <w:bookmarkEnd w:id="7"/>
      <w:r w:rsidRPr="00FE2C4E">
        <w:t>Foundation Skills</w:t>
      </w:r>
    </w:p>
    <w:p w:rsidR="00000000" w:rsidRPr="00FE2C4E" w:rsidP="00E641CB">
      <w:pPr>
        <w:pStyle w:val="BodyText"/>
      </w:pPr>
      <w:r w:rsidRPr="00FE2C4E">
        <w:t>Foundation skills essential to performance are explicit in the performance criteria of this unit of competency.</w:t>
      </w:r>
    </w:p>
    <w:p w:rsidR="00000000" w:rsidRPr="00FE2C4E" w:rsidP="00FE2C4E">
      <w:pPr>
        <w:pStyle w:val="Heading1"/>
      </w:pPr>
      <w:bookmarkStart w:id="8" w:name="O_724127"/>
      <w:bookmarkEnd w:id="8"/>
      <w:r w:rsidRPr="00FE2C4E">
        <w:t>Range of Conditions</w:t>
      </w:r>
    </w:p>
    <w:tbl>
      <w:tblPr>
        <w:tblW w:w="0" w:type="auto"/>
        <w:tblLayout w:type="fixed"/>
        <w:tblCellMar>
          <w:left w:w="62" w:type="dxa"/>
          <w:right w:w="62" w:type="dxa"/>
        </w:tblCellMar>
        <w:tblLook w:val="0000"/>
      </w:tblPr>
      <w:tblGrid>
        <w:gridCol w:w="3150"/>
        <w:gridCol w:w="5922"/>
      </w:tblGrid>
      <w:tr w:rsidTr="00FE2C4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E2C4E">
            <w:pPr>
              <w:pStyle w:val="BodyText"/>
              <w:rPr>
                <w:lang w:val="en-NZ"/>
              </w:rPr>
            </w:pPr>
            <w:r w:rsidRPr="00FE2C4E">
              <w:t>This field allows for different work environments and conditions that may affect performance. Essential ope</w:t>
            </w:r>
            <w:r w:rsidRPr="00FE2C4E">
              <w:t>rating conditions that may be present (depending on the work situation, needs of the candidate, accessibility of the item, and local industry and regional contexts) are included.</w:t>
            </w:r>
          </w:p>
        </w:tc>
      </w:tr>
      <w:tr w:rsidTr="00FE2C4E">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FE2C4E">
            <w:pPr>
              <w:pStyle w:val="BodyText"/>
              <w:rPr>
                <w:lang w:val="en-NZ"/>
              </w:rPr>
            </w:pPr>
            <w:r w:rsidRPr="00FE2C4E">
              <w:rPr>
                <w:rStyle w:val="SpecialBold"/>
              </w:rPr>
              <w:t>Rotorcraft flight control systems include:</w:t>
            </w:r>
          </w:p>
        </w:tc>
        <w:tc>
          <w:tcPr>
            <w:tcW w:w="5922" w:type="dxa"/>
            <w:tcBorders>
              <w:top w:val="nil"/>
              <w:left w:val="nil"/>
              <w:bottom w:val="nil"/>
              <w:right w:val="nil"/>
            </w:tcBorders>
            <w:tcMar>
              <w:top w:w="0" w:type="dxa"/>
              <w:left w:w="62" w:type="dxa"/>
              <w:bottom w:w="0" w:type="dxa"/>
              <w:right w:w="62" w:type="dxa"/>
            </w:tcMar>
          </w:tcPr>
          <w:p w:rsidR="00000000" w:rsidRPr="00FE2C4E" w:rsidP="00FE2C4E">
            <w:pPr>
              <w:pStyle w:val="ListBullet"/>
            </w:pPr>
            <w:r w:rsidRPr="00FE2C4E">
              <w:t>Mechanical flight control (cycl</w:t>
            </w:r>
            <w:r w:rsidRPr="00FE2C4E">
              <w:t>ic, collective and tail rotor)</w:t>
            </w:r>
          </w:p>
          <w:p w:rsidR="00000000" w:rsidRPr="00FE2C4E" w:rsidP="00FE2C4E">
            <w:pPr>
              <w:pStyle w:val="ListBullet"/>
            </w:pPr>
            <w:r w:rsidRPr="00FE2C4E">
              <w:t>Powered flight control</w:t>
            </w:r>
          </w:p>
          <w:p w:rsidR="00000000" w:rsidRPr="00FE2C4E" w:rsidP="00FE2C4E">
            <w:pPr>
              <w:pStyle w:val="ListBullet"/>
            </w:pPr>
            <w:r w:rsidRPr="00FE2C4E">
              <w:t>Trim</w:t>
            </w:r>
          </w:p>
          <w:p w:rsidR="00000000" w:rsidRPr="00FE2C4E" w:rsidP="00FE2C4E">
            <w:pPr>
              <w:pStyle w:val="ListBullet"/>
            </w:pPr>
            <w:r w:rsidRPr="00FE2C4E">
              <w:t>Interfaces with engine fuel control unit or throttle/governor</w:t>
            </w:r>
          </w:p>
          <w:p w:rsidR="00000000" w:rsidP="00FE2C4E">
            <w:pPr>
              <w:pStyle w:val="ListBullet"/>
              <w:rPr>
                <w:lang w:val="en-NZ"/>
              </w:rPr>
            </w:pPr>
            <w:r w:rsidRPr="00FE2C4E">
              <w:t>Interfaces with automatic flight control systems, electrical and instrument systems and engine power control</w:t>
            </w:r>
          </w:p>
        </w:tc>
      </w:tr>
      <w:tr w:rsidTr="00FE2C4E">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FE2C4E">
            <w:pPr>
              <w:pStyle w:val="BodyText"/>
              <w:rPr>
                <w:lang w:val="en-NZ"/>
              </w:rPr>
            </w:pPr>
            <w:r w:rsidRPr="00FE2C4E">
              <w:rPr>
                <w:rStyle w:val="SpecialBold"/>
              </w:rPr>
              <w:t>Rotorcraft flight control system components include:</w:t>
            </w:r>
          </w:p>
        </w:tc>
        <w:tc>
          <w:tcPr>
            <w:tcW w:w="5922" w:type="dxa"/>
            <w:tcBorders>
              <w:top w:val="nil"/>
              <w:left w:val="nil"/>
              <w:bottom w:val="nil"/>
              <w:right w:val="nil"/>
            </w:tcBorders>
            <w:tcMar>
              <w:top w:w="0" w:type="dxa"/>
              <w:left w:w="62" w:type="dxa"/>
              <w:bottom w:w="0" w:type="dxa"/>
              <w:right w:w="62" w:type="dxa"/>
            </w:tcMar>
          </w:tcPr>
          <w:p w:rsidR="00000000" w:rsidRPr="00FE2C4E" w:rsidP="00FE2C4E">
            <w:pPr>
              <w:pStyle w:val="ListBullet"/>
            </w:pPr>
            <w:r w:rsidRPr="00FE2C4E">
              <w:t>Cockpit controls</w:t>
            </w:r>
          </w:p>
          <w:p w:rsidR="00000000" w:rsidRPr="00FE2C4E" w:rsidP="00FE2C4E">
            <w:pPr>
              <w:pStyle w:val="ListBullet"/>
            </w:pPr>
            <w:r w:rsidRPr="00FE2C4E">
              <w:t>Cable runs and hardware</w:t>
            </w:r>
          </w:p>
          <w:p w:rsidR="00000000" w:rsidRPr="00FE2C4E" w:rsidP="00FE2C4E">
            <w:pPr>
              <w:pStyle w:val="ListBullet"/>
            </w:pPr>
            <w:r w:rsidRPr="00FE2C4E">
              <w:t>Mechanical linkages</w:t>
            </w:r>
          </w:p>
          <w:p w:rsidR="00000000" w:rsidRPr="00FE2C4E" w:rsidP="00FE2C4E">
            <w:pPr>
              <w:pStyle w:val="ListBullet"/>
            </w:pPr>
            <w:r w:rsidRPr="00FE2C4E">
              <w:t>Hydraulic actuators and valves</w:t>
            </w:r>
          </w:p>
          <w:p w:rsidR="00000000" w:rsidRPr="00FE2C4E" w:rsidP="00FE2C4E">
            <w:pPr>
              <w:pStyle w:val="ListBullet"/>
            </w:pPr>
            <w:r w:rsidRPr="00FE2C4E">
              <w:t>Electric actuators</w:t>
            </w:r>
          </w:p>
          <w:p w:rsidR="00000000" w:rsidRPr="00FE2C4E" w:rsidP="00FE2C4E">
            <w:pPr>
              <w:pStyle w:val="ListBullet"/>
            </w:pPr>
            <w:r w:rsidRPr="00FE2C4E">
              <w:t>Hydraulic power supply, plumbing, valves and filters</w:t>
            </w:r>
          </w:p>
          <w:p w:rsidR="00000000" w:rsidRPr="00FE2C4E" w:rsidP="00FE2C4E">
            <w:pPr>
              <w:pStyle w:val="ListBullet"/>
            </w:pPr>
            <w:r w:rsidRPr="00FE2C4E">
              <w:t>Trim actuators</w:t>
            </w:r>
          </w:p>
          <w:p w:rsidR="00000000" w:rsidRPr="00FE2C4E" w:rsidP="00FE2C4E">
            <w:pPr>
              <w:pStyle w:val="ListBullet"/>
            </w:pPr>
            <w:r w:rsidRPr="00FE2C4E">
              <w:t>Mixer box</w:t>
            </w:r>
          </w:p>
          <w:p w:rsidR="00000000" w:rsidRPr="00FE2C4E" w:rsidP="00FE2C4E">
            <w:pPr>
              <w:pStyle w:val="ListBullet"/>
            </w:pPr>
            <w:r w:rsidRPr="00FE2C4E">
              <w:t>Rotor swashplate</w:t>
            </w:r>
          </w:p>
          <w:p w:rsidR="00000000" w:rsidRPr="00FE2C4E" w:rsidP="00FE2C4E">
            <w:pPr>
              <w:pStyle w:val="ListBullet"/>
            </w:pPr>
            <w:r w:rsidRPr="00FE2C4E">
              <w:t>Tail rotor pitch change mechanism</w:t>
            </w:r>
          </w:p>
          <w:p w:rsidR="00000000" w:rsidP="00FE2C4E">
            <w:pPr>
              <w:pStyle w:val="ListBullet"/>
              <w:rPr>
                <w:lang w:val="en-NZ"/>
              </w:rPr>
            </w:pPr>
            <w:r w:rsidRPr="00FE2C4E">
              <w:t>Indicators, lights and switches</w:t>
            </w:r>
          </w:p>
        </w:tc>
      </w:tr>
      <w:tr w:rsidTr="00FE2C4E">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FE2C4E">
            <w:pPr>
              <w:pStyle w:val="BodyText"/>
              <w:rPr>
                <w:lang w:val="en-NZ"/>
              </w:rPr>
            </w:pPr>
            <w:r w:rsidRPr="00FE2C4E">
              <w:rPr>
                <w:rStyle w:val="SpecialBold"/>
              </w:rPr>
              <w:t>Standards and guidance material include:</w:t>
            </w:r>
          </w:p>
        </w:tc>
        <w:tc>
          <w:tcPr>
            <w:tcW w:w="5922" w:type="dxa"/>
            <w:tcBorders>
              <w:top w:val="nil"/>
              <w:left w:val="nil"/>
              <w:bottom w:val="nil"/>
              <w:right w:val="nil"/>
            </w:tcBorders>
            <w:tcMar>
              <w:top w:w="0" w:type="dxa"/>
              <w:left w:w="62" w:type="dxa"/>
              <w:bottom w:w="0" w:type="dxa"/>
              <w:right w:w="62" w:type="dxa"/>
            </w:tcMar>
          </w:tcPr>
          <w:p w:rsidR="00000000" w:rsidRPr="00FE2C4E" w:rsidP="00FE2C4E">
            <w:pPr>
              <w:pStyle w:val="ListBullet"/>
            </w:pPr>
            <w:r w:rsidRPr="00FE2C4E">
              <w:t>ADF AAP7001.054 Airworthiness Design Requirements Manual</w:t>
            </w:r>
          </w:p>
          <w:p w:rsidR="00000000" w:rsidRPr="00FE2C4E" w:rsidP="00FE2C4E">
            <w:pPr>
              <w:pStyle w:val="ListBullet"/>
            </w:pPr>
            <w:r w:rsidRPr="00FE2C4E">
              <w:t>FAR Part 27 Airworthiness Standards for Rotorcraft in the Normal Category</w:t>
            </w:r>
            <w:r w:rsidRPr="00FE2C4E">
              <w:t xml:space="preserve"> </w:t>
            </w:r>
          </w:p>
          <w:p w:rsidR="00000000" w:rsidRPr="00FE2C4E" w:rsidP="00FE2C4E">
            <w:pPr>
              <w:pStyle w:val="ListBullet"/>
            </w:pPr>
            <w:r w:rsidRPr="00FE2C4E">
              <w:t>FAR Part 29 Airworthiness Standards for Rotorcraft in the Transport Category</w:t>
            </w:r>
          </w:p>
          <w:p w:rsidR="00000000" w:rsidRPr="00FE2C4E" w:rsidP="00FE2C4E">
            <w:pPr>
              <w:pStyle w:val="ListBullet"/>
            </w:pPr>
            <w:r w:rsidRPr="00FE2C4E">
              <w:t>EASA CS-27 Certification Specifications for Rotorcraft in the Normal Category</w:t>
            </w:r>
          </w:p>
          <w:p w:rsidR="00000000" w:rsidRPr="00FE2C4E" w:rsidP="00FE2C4E">
            <w:pPr>
              <w:pStyle w:val="ListBullet"/>
            </w:pPr>
            <w:r w:rsidRPr="00FE2C4E">
              <w:t>EASA CS-29 Certification Specifications for Rotorcraft in the Transport Category</w:t>
            </w:r>
          </w:p>
          <w:p w:rsidR="00000000" w:rsidRPr="00FE2C4E" w:rsidP="00FE2C4E">
            <w:pPr>
              <w:pStyle w:val="ListBullet"/>
            </w:pPr>
            <w:r w:rsidRPr="00FE2C4E">
              <w:t>CASA AC21.16(0) Ap</w:t>
            </w:r>
            <w:r w:rsidRPr="00FE2C4E">
              <w:t>proval of material, parts, processes and appliances</w:t>
            </w:r>
          </w:p>
          <w:p w:rsidR="00000000" w:rsidRPr="00FE2C4E" w:rsidP="00FE2C4E">
            <w:pPr>
              <w:pStyle w:val="ListBullet"/>
            </w:pPr>
            <w:r w:rsidRPr="00FE2C4E">
              <w:t>CASA AC21.145(0) Manufacture of parts during the course of maintenance</w:t>
            </w:r>
          </w:p>
          <w:p w:rsidR="00000000" w:rsidRPr="00FE2C4E" w:rsidP="00FE2C4E">
            <w:pPr>
              <w:pStyle w:val="ListBullet"/>
            </w:pPr>
            <w:r w:rsidRPr="00FE2C4E">
              <w:t>CASA AC21.601(0) Australian Technical Standards Order Authorisation</w:t>
            </w:r>
          </w:p>
          <w:p w:rsidR="00000000" w:rsidRPr="00FE2C4E" w:rsidP="00FE2C4E">
            <w:pPr>
              <w:pStyle w:val="ListBullet"/>
            </w:pPr>
            <w:r w:rsidRPr="00FE2C4E">
              <w:t>CASA CAAP35-7(0) Design approval of modifications and repairs</w:t>
            </w:r>
          </w:p>
          <w:p w:rsidR="00000000" w:rsidRPr="00FE2C4E" w:rsidP="00FE2C4E">
            <w:pPr>
              <w:pStyle w:val="ListBullet"/>
            </w:pPr>
            <w:r w:rsidRPr="00FE2C4E">
              <w:t>CASA AC 21-99 Aircraft Wiring and Bonding</w:t>
            </w:r>
          </w:p>
          <w:p w:rsidR="00000000" w:rsidP="00FE2C4E">
            <w:pPr>
              <w:pStyle w:val="ListBullet"/>
              <w:rPr>
                <w:lang w:val="en-NZ"/>
              </w:rPr>
            </w:pPr>
            <w:r w:rsidRPr="00FE2C4E">
              <w:t>FAA AC 43-13-1B Acceptable Methods, Techniques and Practices – Aircraft Inspection and Repair</w:t>
            </w:r>
          </w:p>
        </w:tc>
      </w:tr>
      <w:tr w:rsidTr="00FE2C4E">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FE2C4E">
            <w:pPr>
              <w:pStyle w:val="BodyText"/>
              <w:rPr>
                <w:lang w:val="en-NZ"/>
              </w:rPr>
            </w:pPr>
            <w:r w:rsidRPr="00FE2C4E">
              <w:rPr>
                <w:rStyle w:val="SpecialBold"/>
              </w:rPr>
              <w:t>Configuration management (CM)</w:t>
            </w:r>
          </w:p>
        </w:tc>
        <w:tc>
          <w:tcPr>
            <w:tcW w:w="5922" w:type="dxa"/>
            <w:tcBorders>
              <w:top w:val="nil"/>
              <w:left w:val="nil"/>
              <w:bottom w:val="nil"/>
              <w:right w:val="nil"/>
            </w:tcBorders>
            <w:tcMar>
              <w:top w:w="0" w:type="dxa"/>
              <w:left w:w="62" w:type="dxa"/>
              <w:bottom w:w="0" w:type="dxa"/>
              <w:right w:w="62" w:type="dxa"/>
            </w:tcMar>
          </w:tcPr>
          <w:p w:rsidR="00000000" w:rsidP="00FE2C4E">
            <w:pPr>
              <w:pStyle w:val="ListBullet"/>
              <w:rPr>
                <w:lang w:val="en-NZ"/>
              </w:rPr>
            </w:pPr>
            <w:r w:rsidRPr="00FE2C4E">
              <w:t xml:space="preserve">CM is a process for control and documentation of the design and development process and </w:t>
            </w:r>
            <w:r w:rsidRPr="00FE2C4E">
              <w:t>for the management of system, component and software throughout the service life</w:t>
            </w:r>
          </w:p>
        </w:tc>
      </w:tr>
      <w:tr w:rsidTr="00FE2C4E">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FE2C4E">
            <w:pPr>
              <w:pStyle w:val="BodyText"/>
              <w:rPr>
                <w:lang w:val="en-NZ"/>
              </w:rPr>
            </w:pPr>
            <w:r w:rsidRPr="00FE2C4E">
              <w:rPr>
                <w:rStyle w:val="SpecialBold"/>
              </w:rPr>
              <w:t>Integrated logistic support (ILS)</w:t>
            </w:r>
          </w:p>
        </w:tc>
        <w:tc>
          <w:tcPr>
            <w:tcW w:w="5922" w:type="dxa"/>
            <w:tcBorders>
              <w:top w:val="nil"/>
              <w:left w:val="nil"/>
              <w:bottom w:val="nil"/>
              <w:right w:val="nil"/>
            </w:tcBorders>
            <w:tcMar>
              <w:top w:w="0" w:type="dxa"/>
              <w:left w:w="62" w:type="dxa"/>
              <w:bottom w:w="0" w:type="dxa"/>
              <w:right w:w="62" w:type="dxa"/>
            </w:tcMar>
          </w:tcPr>
          <w:p w:rsidR="00000000" w:rsidRPr="00FE2C4E" w:rsidP="00FE2C4E">
            <w:pPr>
              <w:pStyle w:val="ListBullet"/>
            </w:pPr>
            <w:r w:rsidRPr="00FE2C4E">
              <w:t>ILS is an integrated approach to the management of logistic disciplines originally developed for the management of military systems from de</w:t>
            </w:r>
            <w:r w:rsidRPr="00FE2C4E">
              <w:t>sign concept to final disposal at life-of-type. It covers:</w:t>
            </w:r>
          </w:p>
          <w:p w:rsidR="00000000" w:rsidRPr="00FE2C4E" w:rsidP="00FE2C4E">
            <w:pPr>
              <w:pStyle w:val="ListBullet2"/>
            </w:pPr>
            <w:r w:rsidRPr="00FE2C4E">
              <w:t>reliability engineering, maintainability engineering and maintenance planning</w:t>
            </w:r>
          </w:p>
          <w:p w:rsidR="00000000" w:rsidRPr="00FE2C4E" w:rsidP="00FE2C4E">
            <w:pPr>
              <w:pStyle w:val="ListBullet2"/>
            </w:pPr>
            <w:r w:rsidRPr="00FE2C4E">
              <w:t>supply and support</w:t>
            </w:r>
          </w:p>
          <w:p w:rsidR="00000000" w:rsidRPr="00FE2C4E" w:rsidP="00FE2C4E">
            <w:pPr>
              <w:pStyle w:val="ListBullet2"/>
            </w:pPr>
            <w:r w:rsidRPr="00FE2C4E">
              <w:t>support and test equipment</w:t>
            </w:r>
          </w:p>
          <w:p w:rsidR="00000000" w:rsidRPr="00FE2C4E" w:rsidP="00FE2C4E">
            <w:pPr>
              <w:pStyle w:val="ListBullet2"/>
            </w:pPr>
            <w:r w:rsidRPr="00FE2C4E">
              <w:t>manpower and personnel</w:t>
            </w:r>
          </w:p>
          <w:p w:rsidR="00000000" w:rsidRPr="00FE2C4E" w:rsidP="00FE2C4E">
            <w:pPr>
              <w:pStyle w:val="ListBullet2"/>
            </w:pPr>
            <w:r w:rsidRPr="00FE2C4E">
              <w:t>training and training support</w:t>
            </w:r>
          </w:p>
          <w:p w:rsidR="00000000" w:rsidRPr="00FE2C4E" w:rsidP="00FE2C4E">
            <w:pPr>
              <w:pStyle w:val="ListBullet2"/>
            </w:pPr>
            <w:r w:rsidRPr="00FE2C4E">
              <w:t>technical data and publications</w:t>
            </w:r>
          </w:p>
          <w:p w:rsidR="00000000" w:rsidRPr="00FE2C4E" w:rsidP="00FE2C4E">
            <w:pPr>
              <w:pStyle w:val="ListBullet2"/>
            </w:pPr>
            <w:r w:rsidRPr="00FE2C4E">
              <w:t>computer resources support</w:t>
            </w:r>
          </w:p>
          <w:p w:rsidR="00000000" w:rsidRPr="00FE2C4E" w:rsidP="00FE2C4E">
            <w:pPr>
              <w:pStyle w:val="ListBullet2"/>
            </w:pPr>
            <w:r w:rsidRPr="00FE2C4E">
              <w:t>facilities</w:t>
            </w:r>
          </w:p>
          <w:p w:rsidR="00000000" w:rsidRPr="00FE2C4E" w:rsidP="00FE2C4E">
            <w:pPr>
              <w:pStyle w:val="ListBullet2"/>
            </w:pPr>
            <w:r w:rsidRPr="00FE2C4E">
              <w:t>packaging, handling, storage and transportation</w:t>
            </w:r>
          </w:p>
          <w:p w:rsidR="00000000" w:rsidP="00FE2C4E">
            <w:pPr>
              <w:pStyle w:val="ListBullet2"/>
              <w:rPr>
                <w:lang w:val="en-NZ"/>
              </w:rPr>
            </w:pPr>
            <w:r w:rsidRPr="00FE2C4E">
              <w:t>design interface</w:t>
            </w:r>
          </w:p>
        </w:tc>
      </w:tr>
      <w:tr w:rsidTr="00FE2C4E">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FE2C4E">
            <w:pPr>
              <w:pStyle w:val="BodyText"/>
              <w:rPr>
                <w:lang w:val="en-NZ"/>
              </w:rPr>
            </w:pPr>
            <w:r w:rsidRPr="00FE2C4E">
              <w:rPr>
                <w:rStyle w:val="SpecialBold"/>
              </w:rPr>
              <w:t>Appropriate technical and professional assistance includes:</w:t>
            </w:r>
          </w:p>
        </w:tc>
        <w:tc>
          <w:tcPr>
            <w:tcW w:w="5922" w:type="dxa"/>
            <w:tcBorders>
              <w:top w:val="nil"/>
              <w:left w:val="nil"/>
              <w:bottom w:val="nil"/>
              <w:right w:val="nil"/>
            </w:tcBorders>
            <w:tcMar>
              <w:top w:w="0" w:type="dxa"/>
              <w:left w:w="62" w:type="dxa"/>
              <w:bottom w:w="0" w:type="dxa"/>
              <w:right w:w="62" w:type="dxa"/>
            </w:tcMar>
          </w:tcPr>
          <w:p w:rsidR="00000000" w:rsidRPr="00FE2C4E" w:rsidP="00FE2C4E">
            <w:pPr>
              <w:pStyle w:val="ListBullet"/>
            </w:pPr>
            <w:r w:rsidRPr="00FE2C4E">
              <w:t>Assistance from individuals with CASA maintenance certifica</w:t>
            </w:r>
            <w:r w:rsidRPr="00FE2C4E">
              <w:t>tion licenses or those with supervisory authorisations in the ADF regulatory system</w:t>
            </w:r>
          </w:p>
          <w:p w:rsidR="00000000" w:rsidRPr="00FE2C4E" w:rsidP="00FE2C4E">
            <w:pPr>
              <w:pStyle w:val="ListBullet"/>
            </w:pPr>
            <w:r w:rsidRPr="00FE2C4E">
              <w:t>Professional support from engineers employed within:</w:t>
            </w:r>
          </w:p>
          <w:p w:rsidR="00000000" w:rsidRPr="00FE2C4E" w:rsidP="00FE2C4E">
            <w:pPr>
              <w:pStyle w:val="ListBullet2"/>
            </w:pPr>
            <w:r w:rsidRPr="00FE2C4E">
              <w:t>organisations with CASA continuing airworthiness management or maintenance approvals</w:t>
            </w:r>
          </w:p>
          <w:p w:rsidR="00000000" w:rsidRPr="00FE2C4E" w:rsidP="00FE2C4E">
            <w:pPr>
              <w:pStyle w:val="ListBullet2"/>
            </w:pPr>
            <w:r w:rsidRPr="00FE2C4E">
              <w:t>approved engineering organisations under the ADF regulatory system</w:t>
            </w:r>
          </w:p>
          <w:p w:rsidR="00000000" w:rsidP="00FE2C4E">
            <w:pPr>
              <w:pStyle w:val="ListBullet"/>
              <w:rPr>
                <w:lang w:val="en-NZ"/>
              </w:rPr>
            </w:pPr>
            <w:r w:rsidRPr="00FE2C4E">
              <w:t>Engineers employed within organisations recognised by overseas airworthiness organisations</w:t>
            </w:r>
          </w:p>
        </w:tc>
      </w:tr>
      <w:tr w:rsidTr="00FE2C4E">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RPr="00FE2C4E" w:rsidP="00FE2C4E">
            <w:pPr>
              <w:pStyle w:val="BodyText"/>
            </w:pPr>
            <w:r w:rsidRPr="00FE2C4E">
              <w:rPr>
                <w:rStyle w:val="SpecialBold"/>
              </w:rPr>
              <w:t>WHS, regulatory requirements and enterprise procedures include:</w:t>
            </w:r>
          </w:p>
          <w:p w:rsidR="00000000" w:rsidP="00FE2C4E">
            <w:pPr>
              <w:pStyle w:val="BodyText"/>
              <w:rPr>
                <w:lang w:val="en-NZ"/>
              </w:rPr>
            </w:pPr>
          </w:p>
        </w:tc>
        <w:tc>
          <w:tcPr>
            <w:tcW w:w="5922" w:type="dxa"/>
            <w:tcBorders>
              <w:top w:val="nil"/>
              <w:left w:val="nil"/>
              <w:bottom w:val="nil"/>
              <w:right w:val="nil"/>
            </w:tcBorders>
            <w:tcMar>
              <w:top w:w="0" w:type="dxa"/>
              <w:left w:w="62" w:type="dxa"/>
              <w:bottom w:w="0" w:type="dxa"/>
              <w:right w:w="62" w:type="dxa"/>
            </w:tcMar>
          </w:tcPr>
          <w:p w:rsidR="00000000" w:rsidRPr="00FE2C4E" w:rsidP="00FE2C4E">
            <w:pPr>
              <w:pStyle w:val="ListBullet"/>
            </w:pPr>
            <w:r w:rsidRPr="00FE2C4E">
              <w:t>WHS Acts and regulations</w:t>
            </w:r>
          </w:p>
          <w:p w:rsidR="00000000" w:rsidRPr="00FE2C4E" w:rsidP="00FE2C4E">
            <w:pPr>
              <w:pStyle w:val="ListBullet"/>
            </w:pPr>
            <w:r w:rsidRPr="00FE2C4E">
              <w:t>Relevant standards</w:t>
            </w:r>
          </w:p>
          <w:p w:rsidR="00000000" w:rsidRPr="00FE2C4E" w:rsidP="00FE2C4E">
            <w:pPr>
              <w:pStyle w:val="ListBullet"/>
            </w:pPr>
            <w:r w:rsidRPr="00FE2C4E">
              <w:t>Industry codes of practice</w:t>
            </w:r>
          </w:p>
          <w:p w:rsidR="00000000" w:rsidRPr="00FE2C4E" w:rsidP="00FE2C4E">
            <w:pPr>
              <w:pStyle w:val="ListBullet"/>
            </w:pPr>
            <w:r w:rsidRPr="00FE2C4E">
              <w:t>Risk assessments</w:t>
            </w:r>
          </w:p>
          <w:p w:rsidR="00000000" w:rsidRPr="00FE2C4E" w:rsidP="00FE2C4E">
            <w:pPr>
              <w:pStyle w:val="ListBullet"/>
            </w:pPr>
            <w:r w:rsidRPr="00FE2C4E">
              <w:t xml:space="preserve">Registration requirements </w:t>
            </w:r>
          </w:p>
          <w:p w:rsidR="00000000" w:rsidRPr="00FE2C4E" w:rsidP="00FE2C4E">
            <w:pPr>
              <w:pStyle w:val="ListBullet"/>
            </w:pPr>
            <w:r w:rsidRPr="00FE2C4E">
              <w:t>Safe work practices</w:t>
            </w:r>
          </w:p>
          <w:p w:rsidR="00000000" w:rsidRPr="00FE2C4E" w:rsidP="00FE2C4E">
            <w:pPr>
              <w:pStyle w:val="ListBullet"/>
            </w:pPr>
            <w:r w:rsidRPr="00FE2C4E">
              <w:t>Civil Aviation Safety Regulations (CASRs)</w:t>
            </w:r>
          </w:p>
          <w:p w:rsidR="00000000" w:rsidRPr="00FE2C4E" w:rsidP="00FE2C4E">
            <w:pPr>
              <w:pStyle w:val="ListBullet"/>
            </w:pPr>
            <w:r w:rsidRPr="00FE2C4E">
              <w:t>AAP7001.053 ADF Technical Airworthiness Management Manual</w:t>
            </w:r>
          </w:p>
          <w:p w:rsidR="00000000" w:rsidRPr="00FE2C4E" w:rsidP="00FE2C4E">
            <w:pPr>
              <w:pStyle w:val="ListBullet"/>
            </w:pPr>
            <w:r w:rsidRPr="00FE2C4E">
              <w:t>Overseas airworthiness authorities, where appl</w:t>
            </w:r>
            <w:r w:rsidRPr="00FE2C4E">
              <w:t>icable, e.g. Federal Aviation Administration, Transport Canada, European Aviation Safety Agency</w:t>
            </w:r>
          </w:p>
        </w:tc>
      </w:tr>
    </w:tbl>
    <w:p w:rsidR="00000000" w:rsidRPr="00FE2C4E" w:rsidP="00FE2C4E">
      <w:pPr>
        <w:pStyle w:val="BodyText"/>
      </w:pPr>
    </w:p>
    <w:p w:rsidR="00000000" w:rsidRPr="00FE2C4E" w:rsidP="00FE2C4E">
      <w:pPr>
        <w:pStyle w:val="AllowPageBreak"/>
      </w:pPr>
    </w:p>
    <w:p w:rsidR="00000000" w:rsidRPr="00FE2C4E" w:rsidP="00FE2C4E">
      <w:pPr>
        <w:pStyle w:val="Heading1"/>
      </w:pPr>
      <w:bookmarkStart w:id="9" w:name="O_724126"/>
      <w:bookmarkEnd w:id="9"/>
      <w:r w:rsidRPr="00FE2C4E">
        <w:t>Unit Mapping Information</w:t>
      </w:r>
    </w:p>
    <w:p w:rsidR="00000000" w:rsidRPr="00FE2C4E" w:rsidP="00E641CB">
      <w:pPr>
        <w:pStyle w:val="BodyText"/>
      </w:pPr>
      <w:r w:rsidRPr="00FE2C4E">
        <w:t>Release 1 –</w:t>
      </w:r>
      <w:r w:rsidRPr="00FE2C4E">
        <w:t xml:space="preserve"> New unit based on MEM23097A Apply automated systems principles and techniques in aeronautical engineering situations – units not equivalent</w:t>
      </w:r>
    </w:p>
    <w:p w:rsidR="00000000" w:rsidRPr="00FE2C4E" w:rsidP="00FE2C4E">
      <w:pPr>
        <w:pStyle w:val="Heading1"/>
      </w:pPr>
      <w:bookmarkStart w:id="10" w:name="O_724119"/>
      <w:bookmarkEnd w:id="10"/>
      <w:r w:rsidRPr="00FE2C4E">
        <w:t>Links</w:t>
      </w:r>
    </w:p>
    <w:p w:rsidR="00000000" w:rsidRPr="00FE2C4E" w:rsidP="00E641CB">
      <w:pPr>
        <w:pStyle w:val="BodyText"/>
      </w:pPr>
      <w:r w:rsidRPr="00FE2C4E">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72448D">
        <w:rPr>
          <w:rStyle w:val="Hyperlink"/>
        </w:rPr>
        <w:t>https://vetnet.gov.au/Pages/TrainingDocs.aspx?q=ce216c9c-04d5-4b3b-9bcf-4e81d0950371</w:t>
      </w:r>
      <w:r>
        <w:fldChar w:fldCharType="end"/>
      </w:r>
    </w:p>
    <w:p w:rsidR="00000000" w:rsidRPr="00FE2C4E" w:rsidP="00E641CB">
      <w:pPr>
        <w:pStyle w:val="BodyText"/>
        <w:sectPr w:rsidSect="00FE2C4E">
          <w:headerReference w:type="default" r:id="rId10"/>
          <w:footerReference w:type="default" r:id="rId11"/>
          <w:pgSz w:w="11908" w:h="16833"/>
          <w:pgMar w:top="1702" w:right="1418" w:bottom="1702" w:left="1418" w:header="992" w:footer="992" w:gutter="0"/>
          <w:cols w:space="720"/>
          <w:noEndnote/>
          <w:docGrid w:linePitch="299"/>
        </w:sectPr>
      </w:pPr>
    </w:p>
    <w:p w:rsidR="00000000" w:rsidRPr="00FE2C4E" w:rsidP="00FE2C4E">
      <w:pPr>
        <w:pStyle w:val="SuperHeading"/>
      </w:pPr>
      <w:r w:rsidRPr="00FE2C4E">
        <w:t>Assessment Requirements for MEA718 Evaluate rotorcraft flight control systems</w:t>
      </w:r>
    </w:p>
    <w:p w:rsidR="00000000" w:rsidRPr="00FE2C4E" w:rsidP="00FE2C4E">
      <w:pPr>
        <w:pStyle w:val="Heading1"/>
      </w:pPr>
      <w:bookmarkStart w:id="11" w:name="O_724121"/>
      <w:bookmarkEnd w:id="11"/>
      <w:r w:rsidRPr="00FE2C4E">
        <w:t>Modification History</w:t>
      </w:r>
    </w:p>
    <w:p w:rsidR="00000000" w:rsidRPr="00FE2C4E" w:rsidP="00E641CB">
      <w:pPr>
        <w:pStyle w:val="BodyText"/>
      </w:pPr>
      <w:r w:rsidRPr="00FE2C4E">
        <w:t>Release 1 - New unit of competency</w:t>
      </w:r>
    </w:p>
    <w:p w:rsidR="00000000" w:rsidRPr="00FE2C4E" w:rsidP="00FE2C4E">
      <w:pPr>
        <w:pStyle w:val="Heading1"/>
      </w:pPr>
      <w:bookmarkStart w:id="12" w:name="O_724124"/>
      <w:bookmarkEnd w:id="12"/>
      <w:r w:rsidRPr="00FE2C4E">
        <w:t>Performance Evidence</w:t>
      </w:r>
    </w:p>
    <w:p w:rsidR="00000000" w:rsidRPr="00FE2C4E" w:rsidP="00E641CB">
      <w:pPr>
        <w:pStyle w:val="BodyText"/>
      </w:pPr>
      <w:r w:rsidRPr="00FE2C4E">
        <w:t>Evidence required to demonstrate competency in this unit must be relevant to and satisfy all of the requirements of the elements and performance criteria under the specified conditions of assessment, and must include:</w:t>
      </w:r>
    </w:p>
    <w:p w:rsidR="00000000" w:rsidRPr="00FE2C4E" w:rsidP="00FE2C4E">
      <w:pPr>
        <w:pStyle w:val="ListBullet"/>
      </w:pPr>
      <w:r w:rsidRPr="00FE2C4E">
        <w:t>iden</w:t>
      </w:r>
      <w:r w:rsidRPr="00FE2C4E">
        <w:t>tifying WHS, regulatory and electrical safety requirements, risk management procedures, features and functions of aircraft flight control systems and components, system design principles and techniques, including:</w:t>
      </w:r>
    </w:p>
    <w:p w:rsidR="00000000" w:rsidRPr="00FE2C4E" w:rsidP="00FE2C4E">
      <w:pPr>
        <w:pStyle w:val="ListBullet2"/>
      </w:pPr>
      <w:r w:rsidRPr="00FE2C4E">
        <w:t>performance and operating environment</w:t>
      </w:r>
    </w:p>
    <w:p w:rsidR="00000000" w:rsidRPr="00FE2C4E" w:rsidP="00FE2C4E">
      <w:pPr>
        <w:pStyle w:val="ListBullet2"/>
      </w:pPr>
      <w:r w:rsidRPr="00FE2C4E">
        <w:t>system control</w:t>
      </w:r>
    </w:p>
    <w:p w:rsidR="00000000" w:rsidRPr="00FE2C4E" w:rsidP="00FE2C4E">
      <w:pPr>
        <w:pStyle w:val="ListBullet2"/>
      </w:pPr>
      <w:r w:rsidRPr="00FE2C4E">
        <w:t xml:space="preserve">indicating and circuit protection requirements </w:t>
      </w:r>
    </w:p>
    <w:p w:rsidR="00000000" w:rsidRPr="00FE2C4E" w:rsidP="00FE2C4E">
      <w:pPr>
        <w:pStyle w:val="ListBullet2"/>
      </w:pPr>
      <w:r w:rsidRPr="00FE2C4E">
        <w:t xml:space="preserve">interface requirements between rotorcraft flight control systems and other systems, including automatic flight control systems and electrical power distribution </w:t>
      </w:r>
    </w:p>
    <w:p w:rsidR="00000000" w:rsidRPr="00FE2C4E" w:rsidP="00FE2C4E">
      <w:pPr>
        <w:pStyle w:val="ListBullet"/>
      </w:pPr>
      <w:r w:rsidRPr="00FE2C4E">
        <w:t>determining and confirming:</w:t>
      </w:r>
    </w:p>
    <w:p w:rsidR="00000000" w:rsidRPr="00FE2C4E" w:rsidP="00FE2C4E">
      <w:pPr>
        <w:pStyle w:val="ListBullet2"/>
      </w:pPr>
      <w:r w:rsidRPr="00FE2C4E">
        <w:t>p</w:t>
      </w:r>
      <w:r w:rsidRPr="00FE2C4E">
        <w:t>arameters and context of tasks</w:t>
      </w:r>
    </w:p>
    <w:p w:rsidR="00000000" w:rsidRPr="00FE2C4E" w:rsidP="00FE2C4E">
      <w:pPr>
        <w:pStyle w:val="ListBullet2"/>
      </w:pPr>
      <w:r w:rsidRPr="00FE2C4E">
        <w:t>chain of responsibility</w:t>
      </w:r>
    </w:p>
    <w:p w:rsidR="00000000" w:rsidRPr="00FE2C4E" w:rsidP="00FE2C4E">
      <w:pPr>
        <w:pStyle w:val="ListBullet2"/>
      </w:pPr>
      <w:r w:rsidRPr="00FE2C4E">
        <w:t>personal functions and responsibilities</w:t>
      </w:r>
    </w:p>
    <w:p w:rsidR="00000000" w:rsidRPr="00FE2C4E" w:rsidP="00FE2C4E">
      <w:pPr>
        <w:pStyle w:val="ListBullet2"/>
      </w:pPr>
      <w:r w:rsidRPr="00FE2C4E">
        <w:t>team and support functional group interdependencies and communications</w:t>
      </w:r>
    </w:p>
    <w:p w:rsidR="00000000" w:rsidRPr="00FE2C4E" w:rsidP="00FE2C4E">
      <w:pPr>
        <w:pStyle w:val="ListBullet2"/>
      </w:pPr>
      <w:r w:rsidRPr="00FE2C4E">
        <w:t>appropriate qualifications and delegations</w:t>
      </w:r>
    </w:p>
    <w:p w:rsidR="00000000" w:rsidRPr="00FE2C4E" w:rsidP="00FE2C4E">
      <w:pPr>
        <w:pStyle w:val="ListBullet2"/>
      </w:pPr>
      <w:r w:rsidRPr="00FE2C4E">
        <w:t>appropriate support, including technical and pr</w:t>
      </w:r>
      <w:r w:rsidRPr="00FE2C4E">
        <w:t>ofessional assistance</w:t>
      </w:r>
    </w:p>
    <w:p w:rsidR="00000000" w:rsidRPr="00FE2C4E" w:rsidP="00FE2C4E">
      <w:pPr>
        <w:pStyle w:val="ListBullet"/>
      </w:pPr>
      <w:r w:rsidRPr="00FE2C4E">
        <w:t>investigating associated CM and ILS requirements and drafting required data</w:t>
      </w:r>
    </w:p>
    <w:p w:rsidR="00000000" w:rsidRPr="00FE2C4E" w:rsidP="00FE2C4E">
      <w:pPr>
        <w:pStyle w:val="ListBullet"/>
      </w:pPr>
      <w:r w:rsidRPr="00FE2C4E">
        <w:t>identifying and drafting data required for compliance with airworthiness regulations</w:t>
      </w:r>
    </w:p>
    <w:p w:rsidR="00000000" w:rsidRPr="00FE2C4E" w:rsidP="00FE2C4E">
      <w:pPr>
        <w:pStyle w:val="ListBullet"/>
      </w:pPr>
      <w:r w:rsidRPr="00FE2C4E">
        <w:t>assessing and applying:</w:t>
      </w:r>
    </w:p>
    <w:p w:rsidR="00000000" w:rsidRPr="00FE2C4E" w:rsidP="00FE2C4E">
      <w:pPr>
        <w:pStyle w:val="ListBullet2"/>
      </w:pPr>
      <w:r w:rsidRPr="00FE2C4E">
        <w:t>basic rotorcraft flight control system performance analysis and design procedures</w:t>
      </w:r>
    </w:p>
    <w:p w:rsidR="00000000" w:rsidRPr="00FE2C4E" w:rsidP="00FE2C4E">
      <w:pPr>
        <w:pStyle w:val="ListBullet2"/>
      </w:pPr>
      <w:r w:rsidRPr="00FE2C4E">
        <w:t>design standards</w:t>
      </w:r>
    </w:p>
    <w:p w:rsidR="00000000" w:rsidRPr="00FE2C4E" w:rsidP="00FE2C4E">
      <w:pPr>
        <w:pStyle w:val="ListBullet2"/>
      </w:pPr>
      <w:r w:rsidRPr="00FE2C4E">
        <w:t>regulatory requirements</w:t>
      </w:r>
    </w:p>
    <w:p w:rsidR="00000000" w:rsidRPr="00FE2C4E" w:rsidP="00FE2C4E">
      <w:pPr>
        <w:pStyle w:val="ListBullet2"/>
      </w:pPr>
      <w:r w:rsidRPr="00FE2C4E">
        <w:t xml:space="preserve">graphics skills and techniques </w:t>
      </w:r>
    </w:p>
    <w:p w:rsidR="00000000" w:rsidRPr="00FE2C4E" w:rsidP="00FE2C4E">
      <w:pPr>
        <w:pStyle w:val="ListBullet"/>
      </w:pPr>
      <w:r w:rsidRPr="00FE2C4E">
        <w:t>evaluating system components and specifications against system design and operating criteria</w:t>
      </w:r>
    </w:p>
    <w:p w:rsidR="00000000" w:rsidRPr="00FE2C4E" w:rsidP="00FE2C4E">
      <w:pPr>
        <w:pStyle w:val="ListBullet"/>
      </w:pPr>
      <w:r w:rsidRPr="00FE2C4E">
        <w:t>reporti</w:t>
      </w:r>
      <w:r w:rsidRPr="00FE2C4E">
        <w:t>ng and documenting results of scoping, principles and techniques identification and evaluation of applications.</w:t>
      </w:r>
    </w:p>
    <w:p w:rsidR="00000000" w:rsidRPr="00FE2C4E" w:rsidP="00FE2C4E">
      <w:pPr>
        <w:pStyle w:val="AllowPageBreak"/>
      </w:pPr>
    </w:p>
    <w:p w:rsidR="00000000" w:rsidRPr="00FE2C4E" w:rsidP="00FE2C4E">
      <w:pPr>
        <w:pStyle w:val="Heading1"/>
      </w:pPr>
      <w:bookmarkStart w:id="13" w:name="O_724123"/>
      <w:bookmarkEnd w:id="13"/>
      <w:r w:rsidRPr="00FE2C4E">
        <w:t>Knowledge Evidence</w:t>
      </w:r>
    </w:p>
    <w:p w:rsidR="00000000" w:rsidRPr="00FE2C4E" w:rsidP="00E641CB">
      <w:pPr>
        <w:pStyle w:val="BodyText"/>
      </w:pPr>
      <w:r w:rsidRPr="00FE2C4E">
        <w:t>Evidence required to demonstrate competency in this unit must be relevant to and satisfy all of the requirements of the elements and performance criteria and include knowledge of:</w:t>
      </w:r>
    </w:p>
    <w:p w:rsidR="00000000" w:rsidRPr="00FE2C4E" w:rsidP="00FE2C4E">
      <w:pPr>
        <w:pStyle w:val="ListBullet"/>
      </w:pPr>
      <w:r w:rsidRPr="00FE2C4E">
        <w:t>features and layout of rotorcraft flight control systems, including control</w:t>
      </w:r>
      <w:r w:rsidRPr="00FE2C4E">
        <w:t>, indication and interface with other systems:</w:t>
      </w:r>
    </w:p>
    <w:p w:rsidR="00000000" w:rsidRPr="00FE2C4E" w:rsidP="00FE2C4E">
      <w:pPr>
        <w:pStyle w:val="ListBullet2"/>
      </w:pPr>
      <w:r w:rsidRPr="00FE2C4E">
        <w:t>cyclic and collective flight control mechanical systems and components</w:t>
      </w:r>
    </w:p>
    <w:p w:rsidR="00000000" w:rsidRPr="00FE2C4E" w:rsidP="00FE2C4E">
      <w:pPr>
        <w:pStyle w:val="ListBullet2"/>
      </w:pPr>
      <w:r w:rsidRPr="00FE2C4E">
        <w:t>cyclic and collective flight control powered systems - hydraulic actuators and irreversible valves</w:t>
      </w:r>
    </w:p>
    <w:p w:rsidR="00000000" w:rsidRPr="00FE2C4E" w:rsidP="00FE2C4E">
      <w:pPr>
        <w:pStyle w:val="ListBullet2"/>
      </w:pPr>
      <w:r w:rsidRPr="00FE2C4E">
        <w:t>tail rotor control</w:t>
      </w:r>
    </w:p>
    <w:p w:rsidR="00000000" w:rsidRPr="00FE2C4E" w:rsidP="00FE2C4E">
      <w:pPr>
        <w:pStyle w:val="ListBullet2"/>
      </w:pPr>
      <w:r w:rsidRPr="00FE2C4E">
        <w:t>interface with automatic flight control servo actuating devices and trim systems</w:t>
      </w:r>
    </w:p>
    <w:p w:rsidR="00000000" w:rsidRPr="00FE2C4E" w:rsidP="00FE2C4E">
      <w:pPr>
        <w:pStyle w:val="ListBullet2"/>
      </w:pPr>
      <w:r w:rsidRPr="00FE2C4E">
        <w:t>interface with electrical power supply, instrument systems and engine power control system</w:t>
      </w:r>
    </w:p>
    <w:p w:rsidR="00000000" w:rsidRPr="00FE2C4E" w:rsidP="00FE2C4E">
      <w:pPr>
        <w:pStyle w:val="ListBullet"/>
      </w:pPr>
      <w:r w:rsidRPr="00FE2C4E">
        <w:t>basic design principles for:</w:t>
      </w:r>
    </w:p>
    <w:p w:rsidR="00000000" w:rsidRPr="00FE2C4E" w:rsidP="00FE2C4E">
      <w:pPr>
        <w:pStyle w:val="ListBullet2"/>
      </w:pPr>
      <w:r w:rsidRPr="00FE2C4E">
        <w:t xml:space="preserve">cyclic, collective and tail rotor flight controls </w:t>
      </w:r>
    </w:p>
    <w:p w:rsidR="00000000" w:rsidRPr="00FE2C4E" w:rsidP="00FE2C4E">
      <w:pPr>
        <w:pStyle w:val="ListBullet2"/>
      </w:pPr>
      <w:r w:rsidRPr="00FE2C4E">
        <w:t>cy</w:t>
      </w:r>
      <w:r w:rsidRPr="00FE2C4E">
        <w:t>clic, collective and tail rotor flight control mechanical systems and components</w:t>
      </w:r>
    </w:p>
    <w:p w:rsidR="00000000" w:rsidRPr="00FE2C4E" w:rsidP="00FE2C4E">
      <w:pPr>
        <w:pStyle w:val="ListBullet2"/>
      </w:pPr>
      <w:r w:rsidRPr="00FE2C4E">
        <w:t>powered flight control systems and components</w:t>
      </w:r>
    </w:p>
    <w:p w:rsidR="00000000" w:rsidRPr="00FE2C4E" w:rsidP="00FE2C4E">
      <w:pPr>
        <w:pStyle w:val="ListBullet2"/>
      </w:pPr>
      <w:r w:rsidRPr="00FE2C4E">
        <w:t>trim systems and components</w:t>
      </w:r>
    </w:p>
    <w:p w:rsidR="00000000" w:rsidRPr="00FE2C4E" w:rsidP="00FE2C4E">
      <w:pPr>
        <w:pStyle w:val="ListBullet"/>
      </w:pPr>
      <w:r w:rsidRPr="00FE2C4E">
        <w:t>interface with the aircraft electrical and instrument systems</w:t>
      </w:r>
    </w:p>
    <w:p w:rsidR="00000000" w:rsidRPr="00FE2C4E" w:rsidP="00FE2C4E">
      <w:pPr>
        <w:pStyle w:val="ListBullet"/>
      </w:pPr>
      <w:r w:rsidRPr="00FE2C4E">
        <w:t>interface with automatic flight contro</w:t>
      </w:r>
      <w:r w:rsidRPr="00FE2C4E">
        <w:t>l systems</w:t>
      </w:r>
    </w:p>
    <w:p w:rsidR="00000000" w:rsidRPr="00FE2C4E" w:rsidP="00FE2C4E">
      <w:pPr>
        <w:pStyle w:val="ListBullet"/>
      </w:pPr>
      <w:r w:rsidRPr="00FE2C4E">
        <w:t>wiring types, standards and specifications</w:t>
      </w:r>
    </w:p>
    <w:p w:rsidR="00000000" w:rsidRPr="00FE2C4E" w:rsidP="00FE2C4E">
      <w:pPr>
        <w:pStyle w:val="ListBullet"/>
      </w:pPr>
      <w:r w:rsidRPr="00FE2C4E">
        <w:t>performance and operating environment effects</w:t>
      </w:r>
    </w:p>
    <w:p w:rsidR="00000000" w:rsidRPr="00FE2C4E" w:rsidP="00FE2C4E">
      <w:pPr>
        <w:pStyle w:val="ListBullet"/>
      </w:pPr>
      <w:r w:rsidRPr="00FE2C4E">
        <w:t>airworthiness regulator design standards</w:t>
      </w:r>
    </w:p>
    <w:p w:rsidR="00000000" w:rsidRPr="00FE2C4E" w:rsidP="00FE2C4E">
      <w:pPr>
        <w:pStyle w:val="ListBullet"/>
      </w:pPr>
      <w:r w:rsidRPr="00FE2C4E">
        <w:t xml:space="preserve">compliance requirements of the WHS Act and regulations, codes of practice, standards and risk assessment </w:t>
      </w:r>
    </w:p>
    <w:p w:rsidR="00000000" w:rsidRPr="00FE2C4E" w:rsidP="00FE2C4E">
      <w:pPr>
        <w:pStyle w:val="ListBullet"/>
      </w:pPr>
      <w:r w:rsidRPr="00FE2C4E">
        <w:t>scope of trade, technical and professional support services required in aircraft flight control system applications</w:t>
      </w:r>
    </w:p>
    <w:p w:rsidR="00000000" w:rsidRPr="00FE2C4E" w:rsidP="00FE2C4E">
      <w:pPr>
        <w:pStyle w:val="ListBullet"/>
      </w:pPr>
      <w:r w:rsidRPr="00FE2C4E">
        <w:t>management data interface with CM and ILS.</w:t>
      </w:r>
    </w:p>
    <w:p w:rsidR="00000000" w:rsidRPr="00FE2C4E" w:rsidP="00FE2C4E">
      <w:pPr>
        <w:pStyle w:val="AllowPageBreak"/>
      </w:pPr>
    </w:p>
    <w:p w:rsidR="00000000" w:rsidRPr="00FE2C4E" w:rsidP="00FE2C4E">
      <w:pPr>
        <w:pStyle w:val="Heading1"/>
      </w:pPr>
      <w:bookmarkStart w:id="14" w:name="O_724122"/>
      <w:bookmarkEnd w:id="14"/>
      <w:r w:rsidRPr="00FE2C4E">
        <w:t>Assessment Conditions</w:t>
      </w:r>
    </w:p>
    <w:p w:rsidR="00000000" w:rsidRPr="00FE2C4E" w:rsidP="00FE2C4E">
      <w:pPr>
        <w:pStyle w:val="ListBullet"/>
      </w:pPr>
      <w:r w:rsidRPr="00FE2C4E">
        <w:t>This unit may be assessed on the job, off the job or a co</w:t>
      </w:r>
      <w:r w:rsidRPr="00FE2C4E">
        <w:t xml:space="preserve">mbination of both on and off the job. Where assessment occurs off the job, that is, the candidate is not in productive work, then a simulated working environment must be used that reflects realistic workplace situations and conditions. </w:t>
      </w:r>
    </w:p>
    <w:p w:rsidR="00000000" w:rsidRPr="00FE2C4E" w:rsidP="00FE2C4E">
      <w:pPr>
        <w:pStyle w:val="ListBullet"/>
      </w:pPr>
      <w:r w:rsidRPr="00FE2C4E">
        <w:t>The competencies co</w:t>
      </w:r>
      <w:r w:rsidRPr="00FE2C4E">
        <w:t xml:space="preserve">vered by this unit would be demonstrated by an individual working alone or as part of a team. </w:t>
      </w:r>
    </w:p>
    <w:p w:rsidR="00000000" w:rsidRPr="00FE2C4E" w:rsidP="00FE2C4E">
      <w:pPr>
        <w:pStyle w:val="ListBullet"/>
      </w:pPr>
      <w:r w:rsidRPr="00FE2C4E">
        <w:t>Where applicable, reasonable adjustment must be made to work environments and training situations to accommodate ethnicity, age, gender, demographics and disabil</w:t>
      </w:r>
      <w:r w:rsidRPr="00FE2C4E">
        <w:t>ity.</w:t>
      </w:r>
    </w:p>
    <w:p w:rsidR="00000000" w:rsidRPr="00FE2C4E" w:rsidP="00FE2C4E">
      <w:pPr>
        <w:pStyle w:val="ListBullet"/>
      </w:pPr>
      <w:r w:rsidRPr="00FE2C4E">
        <w:t>Assessment methods must be by direct observation of tasks and include questioning on underpinning knowledge to ensure its correct interpretation and application.</w:t>
      </w:r>
    </w:p>
    <w:p w:rsidR="00000000" w:rsidRPr="00FE2C4E" w:rsidP="00FE2C4E">
      <w:pPr>
        <w:pStyle w:val="ListBullet"/>
      </w:pPr>
      <w:r w:rsidRPr="00FE2C4E">
        <w:t>Assessment may be applied under project-related conditions (real or simulated) and requir</w:t>
      </w:r>
      <w:r w:rsidRPr="00FE2C4E">
        <w:t>e evidence of process.</w:t>
      </w:r>
    </w:p>
    <w:p w:rsidR="00000000" w:rsidRPr="00FE2C4E" w:rsidP="00FE2C4E">
      <w:pPr>
        <w:pStyle w:val="ListBullet"/>
      </w:pPr>
      <w:r w:rsidRPr="00FE2C4E">
        <w:t>Assessment must confirm a reasonable inference that competency is able not only to be satisfied under the particular circumstance, but is able to be transferred to other circumstances.</w:t>
      </w:r>
    </w:p>
    <w:p w:rsidR="00000000" w:rsidRPr="00FE2C4E" w:rsidP="00FE2C4E">
      <w:pPr>
        <w:pStyle w:val="ListBullet"/>
      </w:pPr>
      <w:r w:rsidRPr="00FE2C4E">
        <w:t>Assessors must be satisfied that the candidate c</w:t>
      </w:r>
      <w:r w:rsidRPr="00FE2C4E">
        <w:t>an competently and consistently:</w:t>
      </w:r>
    </w:p>
    <w:p w:rsidR="00000000" w:rsidRPr="00FE2C4E" w:rsidP="00FE2C4E">
      <w:pPr>
        <w:pStyle w:val="ListBullet2"/>
      </w:pPr>
      <w:r w:rsidRPr="00FE2C4E">
        <w:t>identify and apply WHS, regulatory and risk management procedures</w:t>
      </w:r>
    </w:p>
    <w:p w:rsidR="00000000" w:rsidRPr="00FE2C4E" w:rsidP="00FE2C4E">
      <w:pPr>
        <w:pStyle w:val="ListBullet2"/>
      </w:pPr>
      <w:r w:rsidRPr="00FE2C4E">
        <w:t>determine parameters and context of tasks, personal, team, technical and professional assistance and support, personnel functions and responsibilities, and chain of responsibility</w:t>
      </w:r>
    </w:p>
    <w:p w:rsidR="00000000" w:rsidRPr="00FE2C4E" w:rsidP="00FE2C4E">
      <w:pPr>
        <w:pStyle w:val="ListBullet2"/>
      </w:pPr>
      <w:r w:rsidRPr="00FE2C4E">
        <w:t xml:space="preserve">investigate sustainability implications of rotorcraft flight control system </w:t>
      </w:r>
      <w:r w:rsidRPr="00FE2C4E">
        <w:t>applications as specified in CM and/or ILS requirements</w:t>
      </w:r>
    </w:p>
    <w:p w:rsidR="00000000" w:rsidRPr="00FE2C4E" w:rsidP="00FE2C4E">
      <w:pPr>
        <w:pStyle w:val="ListBullet2"/>
      </w:pPr>
      <w:r w:rsidRPr="00FE2C4E">
        <w:t>assess and apply basic rotorcraft flight control system design and maintenance/repair requirements, and graphics skills and techniques</w:t>
      </w:r>
    </w:p>
    <w:p w:rsidR="00000000" w:rsidRPr="00FE2C4E" w:rsidP="00FE2C4E">
      <w:pPr>
        <w:pStyle w:val="ListBullet2"/>
      </w:pPr>
      <w:r w:rsidRPr="00FE2C4E">
        <w:t>evaluate aircraft flight control systems and components for compl</w:t>
      </w:r>
      <w:r w:rsidRPr="00FE2C4E">
        <w:t xml:space="preserve">iance with WHS and airworthiness regulatory requirements </w:t>
      </w:r>
    </w:p>
    <w:p w:rsidR="00000000" w:rsidRPr="00FE2C4E" w:rsidP="00FE2C4E">
      <w:pPr>
        <w:pStyle w:val="ListBullet2"/>
      </w:pPr>
      <w:r w:rsidRPr="00FE2C4E">
        <w:t>report and document results including provision of CM and ILS input data.</w:t>
      </w:r>
    </w:p>
    <w:p w:rsidR="00000000" w:rsidRPr="00FE2C4E" w:rsidP="00FE2C4E">
      <w:pPr>
        <w:pStyle w:val="ListBullet"/>
      </w:pPr>
      <w:r w:rsidRPr="00FE2C4E">
        <w:t>Assessment may be in conjunction with assessment of other units of competency where required.</w:t>
      </w:r>
    </w:p>
    <w:p w:rsidR="00000000" w:rsidRPr="00FE2C4E" w:rsidP="00FE2C4E">
      <w:pPr>
        <w:pStyle w:val="ListBullet"/>
      </w:pPr>
      <w:r w:rsidRPr="00FE2C4E">
        <w:t>Assessors must satisfy the re</w:t>
      </w:r>
      <w:r w:rsidRPr="00FE2C4E">
        <w:t>quirements of the National Vocational Education and Training Regulator (Australian Skills Quality Authority, or its successors).</w:t>
      </w:r>
    </w:p>
    <w:p w:rsidR="00000000" w:rsidRPr="00FE2C4E" w:rsidP="00FE2C4E">
      <w:pPr>
        <w:pStyle w:val="AllowPageBreak"/>
      </w:pPr>
    </w:p>
    <w:p w:rsidR="00000000" w:rsidRPr="00FE2C4E" w:rsidP="00FE2C4E">
      <w:pPr>
        <w:pStyle w:val="Heading1"/>
      </w:pPr>
      <w:bookmarkStart w:id="15" w:name="O_724120"/>
      <w:bookmarkEnd w:id="15"/>
      <w:r w:rsidRPr="00FE2C4E">
        <w:t>Links</w:t>
      </w:r>
    </w:p>
    <w:p w:rsidR="00000000" w:rsidRPr="00FE2C4E" w:rsidP="00E641CB">
      <w:pPr>
        <w:pStyle w:val="BodyText"/>
      </w:pPr>
      <w:r w:rsidRPr="00FE2C4E">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72448D">
        <w:rPr>
          <w:rStyle w:val="Hyperlink"/>
        </w:rPr>
        <w:t>https://vetnet.gov.au/Pages/TrainingDocs.aspx?q=ce216c9c-04d5-4b3b-9bcf-4e81d0950371</w:t>
      </w:r>
      <w:r>
        <w:fldChar w:fldCharType="end"/>
      </w:r>
    </w:p>
    <w:p w:rsidR="00000000" w:rsidRPr="00FE2C4E" w:rsidP="00FE2C4E"/>
    <w:sectPr w:rsidSect="00FE2C4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C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C4E" w:rsidRPr="00E641CB" w:rsidP="00E641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C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1CB" w:rsidP="00FE2C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E641CB" w:rsidP="00FE2C4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641CB" w:rsidP="00FE2C4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C4E" w:rsidP="00FE2C4E">
    <w:pPr>
      <w:pStyle w:val="Footer"/>
      <w:framePr w:wrap="around"/>
    </w:pPr>
    <w:r>
      <w:fldChar w:fldCharType="begin"/>
    </w:r>
    <w:r>
      <w:instrText xml:space="preserve"> DOCPROPERTY  Subject  \* MERGEFORMAT </w:instrText>
    </w:r>
    <w:r>
      <w:fldChar w:fldCharType="separate"/>
    </w:r>
    <w:r w:rsidR="00E641CB">
      <w:t>Approved</w:t>
    </w:r>
    <w:r w:rsidR="00E641CB">
      <w:fldChar w:fldCharType="end"/>
    </w:r>
    <w:r>
      <w:tab/>
      <w:t xml:space="preserve">Page </w:t>
    </w:r>
    <w:r>
      <w:fldChar w:fldCharType="begin"/>
    </w:r>
    <w:r>
      <w:instrText xml:space="preserve"> PAGE  \* Arabic  \* MERGEFORMAT </w:instrText>
    </w:r>
    <w:r>
      <w:fldChar w:fldCharType="separate"/>
    </w:r>
    <w:r w:rsidR="00E641CB">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641CB">
      <w:rPr>
        <w:noProof/>
      </w:rPr>
      <w:t>7</w:t>
    </w:r>
    <w:r>
      <w:rPr>
        <w:noProof/>
      </w:rPr>
      <w:fldChar w:fldCharType="end"/>
    </w:r>
  </w:p>
  <w:p w:rsidR="00FE2C4E" w:rsidP="00FE2C4E">
    <w:pPr>
      <w:pStyle w:val="Footer"/>
      <w:framePr w:wrap="around"/>
    </w:pPr>
    <w:r>
      <w:t xml:space="preserve">© Commonwealth of Australia, </w:t>
    </w:r>
    <w:r>
      <w:fldChar w:fldCharType="begin"/>
    </w:r>
    <w:r>
      <w:instrText xml:space="preserve"> DATE  \@ "yyyy"  \* MERGEFORMAT </w:instrText>
    </w:r>
    <w:r>
      <w:fldChar w:fldCharType="separate"/>
    </w:r>
    <w:r w:rsidR="00E641CB">
      <w:rPr>
        <w:noProof/>
      </w:rPr>
      <w:t>2025</w:t>
    </w:r>
    <w:r>
      <w:fldChar w:fldCharType="end"/>
    </w:r>
    <w:r>
      <w:tab/>
    </w:r>
    <w:r>
      <w:fldChar w:fldCharType="begin"/>
    </w:r>
    <w:r>
      <w:instrText xml:space="preserve"> DOCPROPERTY  Author  \* MERGEFORMAT </w:instrText>
    </w:r>
    <w:r>
      <w:fldChar w:fldCharType="separate"/>
    </w:r>
    <w:r w:rsidR="00E641CB">
      <w:t>Manufacturing Industry Skills Alliance</w:t>
    </w:r>
    <w:r w:rsidR="00E641CB">
      <w:fldChar w:fldCharType="end"/>
    </w:r>
  </w:p>
  <w:p w:rsidR="00FE2C4E" w:rsidP="00FE2C4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C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1C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E2C4E" w:rsidRPr="00E641CB" w:rsidP="00E641C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C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1CB" w:rsidRPr="002D2AF8" w:rsidP="00FE2C4E">
    <w:pPr>
      <w:pStyle w:val="Header"/>
      <w:framePr w:wrap="around"/>
    </w:pPr>
    <w:r>
      <w:fldChar w:fldCharType="begin"/>
    </w:r>
    <w:r>
      <w:instrText xml:space="preserve"> TITLE   \* MERGEFORMAT </w:instrText>
    </w:r>
    <w:r>
      <w:fldChar w:fldCharType="separate"/>
    </w:r>
    <w:r>
      <w:t>MEA718 Evaluate rotorcraft flight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641CB" w:rsidP="00FE2C4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C4E" w:rsidRPr="002D2AF8" w:rsidP="00FE2C4E">
    <w:pPr>
      <w:pStyle w:val="Header"/>
      <w:framePr w:wrap="around"/>
    </w:pPr>
    <w:r>
      <w:fldChar w:fldCharType="begin"/>
    </w:r>
    <w:r>
      <w:instrText xml:space="preserve"> TITLE   \* MERGEFORMAT </w:instrText>
    </w:r>
    <w:r>
      <w:fldChar w:fldCharType="separate"/>
    </w:r>
    <w:r w:rsidR="00E641CB">
      <w:t>MEA718 Evaluate rotorcraft flight control systems</w:t>
    </w:r>
    <w:r w:rsidR="00E641CB">
      <w:fldChar w:fldCharType="end"/>
    </w:r>
    <w:r>
      <w:tab/>
      <w:t xml:space="preserve">Date this document was generated: </w:t>
    </w:r>
    <w:r>
      <w:fldChar w:fldCharType="begin"/>
    </w:r>
    <w:r>
      <w:instrText xml:space="preserve"> CREATEDATE  \@ "d MMMM yyyy"  \* MERGEFORMAT </w:instrText>
    </w:r>
    <w:r>
      <w:fldChar w:fldCharType="separate"/>
    </w:r>
    <w:r w:rsidR="00E641CB">
      <w:rPr>
        <w:noProof/>
      </w:rPr>
      <w:t>2 March 2025</w:t>
    </w:r>
    <w:r>
      <w:fldChar w:fldCharType="end"/>
    </w:r>
  </w:p>
  <w:p w:rsidR="00FE2C4E" w:rsidP="00FE2C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1EAA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9073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6401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2C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2C4E"/>
    <w:pPr>
      <w:spacing w:before="360" w:after="60"/>
      <w:outlineLvl w:val="0"/>
    </w:pPr>
    <w:rPr>
      <w:sz w:val="32"/>
    </w:rPr>
  </w:style>
  <w:style w:type="paragraph" w:styleId="Heading2">
    <w:name w:val="heading 2"/>
    <w:basedOn w:val="HeadingBase"/>
    <w:next w:val="BodyText"/>
    <w:link w:val="Heading2Char"/>
    <w:qFormat/>
    <w:rsid w:val="00FE2C4E"/>
    <w:pPr>
      <w:keepLines/>
      <w:spacing w:before="240" w:after="120"/>
      <w:outlineLvl w:val="1"/>
    </w:pPr>
    <w:rPr>
      <w:sz w:val="28"/>
      <w:szCs w:val="40"/>
    </w:rPr>
  </w:style>
  <w:style w:type="paragraph" w:styleId="Heading3">
    <w:name w:val="heading 3"/>
    <w:basedOn w:val="HeadingBase"/>
    <w:next w:val="BodyText"/>
    <w:link w:val="Heading3Char"/>
    <w:qFormat/>
    <w:rsid w:val="00FE2C4E"/>
    <w:pPr>
      <w:spacing w:before="180" w:after="120"/>
      <w:outlineLvl w:val="2"/>
    </w:pPr>
    <w:rPr>
      <w:spacing w:val="-10"/>
      <w:kern w:val="32"/>
    </w:rPr>
  </w:style>
  <w:style w:type="paragraph" w:styleId="Heading4">
    <w:name w:val="heading 4"/>
    <w:basedOn w:val="HeadingBase"/>
    <w:next w:val="BodyText"/>
    <w:link w:val="Heading4Char"/>
    <w:qFormat/>
    <w:rsid w:val="00FE2C4E"/>
    <w:pPr>
      <w:spacing w:before="160" w:after="120"/>
      <w:outlineLvl w:val="3"/>
    </w:pPr>
    <w:rPr>
      <w:sz w:val="22"/>
    </w:rPr>
  </w:style>
  <w:style w:type="paragraph" w:styleId="Heading5">
    <w:name w:val="heading 5"/>
    <w:basedOn w:val="HeadingBase"/>
    <w:next w:val="Normal"/>
    <w:link w:val="Heading5Char"/>
    <w:qFormat/>
    <w:rsid w:val="00FE2C4E"/>
    <w:pPr>
      <w:spacing w:before="80"/>
      <w:outlineLvl w:val="4"/>
    </w:pPr>
    <w:rPr>
      <w:color w:val="918585"/>
      <w:sz w:val="20"/>
    </w:rPr>
  </w:style>
  <w:style w:type="paragraph" w:styleId="Heading6">
    <w:name w:val="heading 6"/>
    <w:basedOn w:val="HeadingBase"/>
    <w:next w:val="Normal"/>
    <w:link w:val="Heading6Char"/>
    <w:qFormat/>
    <w:rsid w:val="00FE2C4E"/>
    <w:pPr>
      <w:spacing w:before="60"/>
      <w:outlineLvl w:val="5"/>
    </w:pPr>
    <w:rPr>
      <w:color w:val="918585"/>
      <w:sz w:val="20"/>
    </w:rPr>
  </w:style>
  <w:style w:type="paragraph" w:styleId="Heading7">
    <w:name w:val="heading 7"/>
    <w:basedOn w:val="Normal"/>
    <w:next w:val="Normal"/>
    <w:link w:val="Heading7Char"/>
    <w:qFormat/>
    <w:rsid w:val="00FE2C4E"/>
    <w:pPr>
      <w:ind w:left="720"/>
      <w:outlineLvl w:val="6"/>
    </w:pPr>
    <w:rPr>
      <w:i/>
    </w:rPr>
  </w:style>
  <w:style w:type="paragraph" w:styleId="Heading8">
    <w:name w:val="heading 8"/>
    <w:basedOn w:val="Normal"/>
    <w:next w:val="Normal"/>
    <w:link w:val="Heading8Char"/>
    <w:qFormat/>
    <w:rsid w:val="00FE2C4E"/>
    <w:pPr>
      <w:ind w:left="720"/>
      <w:outlineLvl w:val="7"/>
    </w:pPr>
    <w:rPr>
      <w:i/>
    </w:rPr>
  </w:style>
  <w:style w:type="paragraph" w:styleId="Heading9">
    <w:name w:val="heading 9"/>
    <w:basedOn w:val="Normal"/>
    <w:next w:val="Normal"/>
    <w:link w:val="Heading9Char"/>
    <w:qFormat/>
    <w:rsid w:val="00FE2C4E"/>
    <w:pPr>
      <w:ind w:left="720"/>
      <w:outlineLvl w:val="8"/>
    </w:pPr>
    <w:rPr>
      <w:i/>
    </w:rPr>
  </w:style>
  <w:style w:type="character" w:default="1" w:styleId="DefaultParagraphFont">
    <w:name w:val="Default Paragraph Font"/>
    <w:uiPriority w:val="1"/>
    <w:unhideWhenUsed/>
    <w:rsid w:val="00FE2C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2C4E"/>
  </w:style>
  <w:style w:type="character" w:customStyle="1" w:styleId="Heading1Char">
    <w:name w:val="Heading 1 Char"/>
    <w:basedOn w:val="DefaultParagraphFont"/>
    <w:link w:val="Heading1"/>
    <w:rsid w:val="00FE2C4E"/>
    <w:rPr>
      <w:rFonts w:ascii="Times New Roman" w:eastAsia="Times New Roman" w:hAnsi="Times New Roman" w:cs="Times New Roman"/>
      <w:b/>
      <w:sz w:val="32"/>
      <w:szCs w:val="20"/>
      <w:lang w:eastAsia="en-US"/>
    </w:rPr>
  </w:style>
  <w:style w:type="paragraph" w:styleId="BodyText">
    <w:name w:val="Body Text"/>
    <w:basedOn w:val="Normal"/>
    <w:link w:val="BodyTextChar"/>
    <w:rsid w:val="00FE2C4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E2C4E"/>
    <w:rPr>
      <w:rFonts w:ascii="Times New Roman" w:eastAsia="Times New Roman" w:hAnsi="Times New Roman" w:cs="Times New Roman"/>
      <w:sz w:val="24"/>
      <w:lang w:eastAsia="en-US"/>
    </w:rPr>
  </w:style>
  <w:style w:type="paragraph" w:styleId="ListBullet">
    <w:name w:val="List Bullet"/>
    <w:basedOn w:val="List"/>
    <w:rsid w:val="00FE2C4E"/>
    <w:pPr>
      <w:numPr>
        <w:numId w:val="12"/>
      </w:numPr>
      <w:tabs>
        <w:tab w:val="clear" w:pos="340"/>
      </w:tabs>
      <w:spacing w:before="40" w:after="40"/>
    </w:pPr>
  </w:style>
  <w:style w:type="character" w:customStyle="1" w:styleId="SpecialBold">
    <w:name w:val="Special Bold"/>
    <w:basedOn w:val="DefaultParagraphFont"/>
    <w:rsid w:val="00FE2C4E"/>
    <w:rPr>
      <w:b/>
      <w:spacing w:val="0"/>
    </w:rPr>
  </w:style>
  <w:style w:type="paragraph" w:styleId="ListBullet2">
    <w:name w:val="List Bullet 2"/>
    <w:basedOn w:val="List2"/>
    <w:rsid w:val="00FE2C4E"/>
    <w:pPr>
      <w:numPr>
        <w:numId w:val="13"/>
      </w:numPr>
      <w:tabs>
        <w:tab w:val="clear" w:pos="680"/>
      </w:tabs>
    </w:pPr>
  </w:style>
  <w:style w:type="paragraph" w:customStyle="1" w:styleId="SuperHeading">
    <w:name w:val="SuperHeading"/>
    <w:basedOn w:val="Normal"/>
    <w:rsid w:val="00FE2C4E"/>
    <w:pPr>
      <w:spacing w:before="240" w:after="120"/>
      <w:outlineLvl w:val="0"/>
    </w:pPr>
    <w:rPr>
      <w:rFonts w:ascii="Times New Roman" w:hAnsi="Times New Roman"/>
      <w:b/>
      <w:sz w:val="32"/>
    </w:rPr>
  </w:style>
  <w:style w:type="paragraph" w:customStyle="1" w:styleId="AllowPageBreak">
    <w:name w:val="AllowPageBreak"/>
    <w:rsid w:val="00FE2C4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E2C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2C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2C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2C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2C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2C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2C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2C4E"/>
    <w:rPr>
      <w:rFonts w:ascii="Courier New" w:eastAsia="Times New Roman" w:hAnsi="Courier New" w:cs="Times New Roman"/>
      <w:i/>
      <w:szCs w:val="20"/>
      <w:lang w:eastAsia="en-US"/>
    </w:rPr>
  </w:style>
  <w:style w:type="paragraph" w:customStyle="1" w:styleId="HeadingBase">
    <w:name w:val="Heading Base"/>
    <w:rsid w:val="00FE2C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2C4E"/>
    <w:pPr>
      <w:tabs>
        <w:tab w:val="right" w:leader="dot" w:pos="9072"/>
      </w:tabs>
      <w:ind w:left="567"/>
    </w:pPr>
    <w:rPr>
      <w:szCs w:val="22"/>
    </w:rPr>
  </w:style>
  <w:style w:type="paragraph" w:customStyle="1" w:styleId="TOCBase">
    <w:name w:val="TOC Base"/>
    <w:rsid w:val="00FE2C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2C4E"/>
    <w:pPr>
      <w:tabs>
        <w:tab w:val="right" w:leader="dot" w:pos="9072"/>
      </w:tabs>
      <w:spacing w:before="40" w:after="40"/>
      <w:ind w:left="284"/>
    </w:pPr>
    <w:rPr>
      <w:rFonts w:ascii="Times New Roman" w:hAnsi="Times New Roman"/>
    </w:rPr>
  </w:style>
  <w:style w:type="paragraph" w:styleId="TOC1">
    <w:name w:val="toc 1"/>
    <w:basedOn w:val="TOCBase"/>
    <w:next w:val="Normal"/>
    <w:rsid w:val="00FE2C4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2C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2C4E"/>
    <w:rPr>
      <w:rFonts w:ascii="Times New Roman" w:eastAsia="Times New Roman" w:hAnsi="Times New Roman" w:cs="Times New Roman"/>
      <w:sz w:val="16"/>
      <w:lang w:eastAsia="en-US"/>
    </w:rPr>
  </w:style>
  <w:style w:type="paragraph" w:styleId="Title">
    <w:name w:val="Title"/>
    <w:basedOn w:val="HeadingBase"/>
    <w:link w:val="TitleChar"/>
    <w:qFormat/>
    <w:rsid w:val="00FE2C4E"/>
    <w:pPr>
      <w:spacing w:before="5040"/>
      <w:jc w:val="center"/>
    </w:pPr>
    <w:rPr>
      <w:sz w:val="48"/>
      <w:szCs w:val="72"/>
      <w:lang w:val="en-US"/>
    </w:rPr>
  </w:style>
  <w:style w:type="character" w:customStyle="1" w:styleId="TitleChar">
    <w:name w:val="Title Char"/>
    <w:basedOn w:val="DefaultParagraphFont"/>
    <w:link w:val="Title"/>
    <w:rsid w:val="00FE2C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2C4E"/>
    <w:pPr>
      <w:tabs>
        <w:tab w:val="left" w:pos="3600"/>
        <w:tab w:val="left" w:pos="3958"/>
      </w:tabs>
    </w:pPr>
  </w:style>
  <w:style w:type="paragraph" w:styleId="List">
    <w:name w:val="List"/>
    <w:basedOn w:val="BodyText"/>
    <w:next w:val="BodyText"/>
    <w:rsid w:val="00FE2C4E"/>
    <w:pPr>
      <w:tabs>
        <w:tab w:val="left" w:pos="340"/>
      </w:tabs>
      <w:spacing w:before="60" w:after="60"/>
      <w:ind w:left="340" w:hanging="340"/>
    </w:pPr>
  </w:style>
  <w:style w:type="paragraph" w:customStyle="1" w:styleId="Note">
    <w:name w:val="Note"/>
    <w:basedOn w:val="BodyText"/>
    <w:rsid w:val="00FE2C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2C4E"/>
    <w:pPr>
      <w:framePr w:wrap="auto" w:hAnchor="text" w:y="6049"/>
    </w:pPr>
    <w:rPr>
      <w:color w:val="000000"/>
      <w:sz w:val="40"/>
    </w:rPr>
  </w:style>
  <w:style w:type="paragraph" w:customStyle="1" w:styleId="TOCTitle">
    <w:name w:val="TOCTitle"/>
    <w:basedOn w:val="Heading1"/>
    <w:rsid w:val="00FE2C4E"/>
    <w:pPr>
      <w:spacing w:after="240"/>
      <w:jc w:val="center"/>
      <w:outlineLvl w:val="9"/>
    </w:pPr>
    <w:rPr>
      <w:caps/>
    </w:rPr>
  </w:style>
  <w:style w:type="paragraph" w:customStyle="1" w:styleId="Version">
    <w:name w:val="Version"/>
    <w:rsid w:val="00FE2C4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2C4E"/>
    <w:pPr>
      <w:keepNext w:val="0"/>
      <w:tabs>
        <w:tab w:val="right" w:pos="4176"/>
      </w:tabs>
      <w:ind w:left="198" w:hanging="198"/>
    </w:pPr>
    <w:rPr>
      <w:rFonts w:ascii="Garamond" w:hAnsi="Garamond"/>
    </w:rPr>
  </w:style>
  <w:style w:type="paragraph" w:styleId="IndexHeading">
    <w:name w:val="index heading"/>
    <w:basedOn w:val="Normal"/>
    <w:next w:val="Index1"/>
    <w:semiHidden/>
    <w:rsid w:val="00FE2C4E"/>
    <w:pPr>
      <w:spacing w:before="120" w:after="120"/>
    </w:pPr>
    <w:rPr>
      <w:rFonts w:ascii="Arial" w:hAnsi="Arial"/>
      <w:b/>
      <w:color w:val="918585"/>
      <w:sz w:val="24"/>
    </w:rPr>
  </w:style>
  <w:style w:type="paragraph" w:styleId="Header">
    <w:name w:val="header"/>
    <w:basedOn w:val="Normal"/>
    <w:link w:val="HeaderChar"/>
    <w:rsid w:val="00FE2C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2C4E"/>
    <w:rPr>
      <w:rFonts w:ascii="Times New Roman" w:eastAsia="Times New Roman" w:hAnsi="Times New Roman" w:cs="Times New Roman"/>
      <w:sz w:val="16"/>
      <w:szCs w:val="20"/>
      <w:lang w:val="en-GB" w:eastAsia="en-US"/>
    </w:rPr>
  </w:style>
  <w:style w:type="paragraph" w:customStyle="1" w:styleId="Chapter">
    <w:name w:val="Chapter"/>
    <w:basedOn w:val="Normal"/>
    <w:rsid w:val="00FE2C4E"/>
    <w:pPr>
      <w:spacing w:before="240"/>
    </w:pPr>
    <w:rPr>
      <w:rFonts w:ascii="Times New Roman" w:hAnsi="Times New Roman"/>
      <w:smallCaps/>
      <w:spacing w:val="80"/>
      <w:sz w:val="28"/>
    </w:rPr>
  </w:style>
  <w:style w:type="paragraph" w:customStyle="1" w:styleId="InChapter">
    <w:name w:val="InChapter"/>
    <w:basedOn w:val="Heading3"/>
    <w:rsid w:val="00FE2C4E"/>
    <w:pPr>
      <w:spacing w:after="240"/>
      <w:outlineLvl w:val="9"/>
    </w:pPr>
    <w:rPr>
      <w:noProof/>
    </w:rPr>
  </w:style>
  <w:style w:type="paragraph" w:styleId="Index2">
    <w:name w:val="index 2"/>
    <w:basedOn w:val="Normal"/>
    <w:next w:val="Normal"/>
    <w:semiHidden/>
    <w:rsid w:val="00FE2C4E"/>
    <w:pPr>
      <w:tabs>
        <w:tab w:val="right" w:pos="4176"/>
      </w:tabs>
      <w:ind w:left="568" w:hanging="284"/>
    </w:pPr>
    <w:rPr>
      <w:rFonts w:ascii="Garamond" w:hAnsi="Garamond"/>
    </w:rPr>
  </w:style>
  <w:style w:type="paragraph" w:customStyle="1" w:styleId="Byline">
    <w:name w:val="Byline"/>
    <w:rsid w:val="00FE2C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2C4E"/>
    <w:pPr>
      <w:tabs>
        <w:tab w:val="clear" w:pos="3600"/>
        <w:tab w:val="clear" w:pos="3958"/>
      </w:tabs>
      <w:jc w:val="right"/>
    </w:pPr>
  </w:style>
  <w:style w:type="character" w:styleId="Emphasis">
    <w:name w:val="Emphasis"/>
    <w:basedOn w:val="DefaultParagraphFont"/>
    <w:qFormat/>
    <w:rsid w:val="00FE2C4E"/>
    <w:rPr>
      <w:i/>
    </w:rPr>
  </w:style>
  <w:style w:type="paragraph" w:styleId="Caption">
    <w:name w:val="caption"/>
    <w:basedOn w:val="BodyText"/>
    <w:next w:val="Normal"/>
    <w:qFormat/>
    <w:rsid w:val="00FE2C4E"/>
    <w:pPr>
      <w:framePr w:w="2268" w:hSpace="181" w:vSpace="181" w:wrap="around" w:vAnchor="text" w:hAnchor="page" w:x="1135" w:y="285" w:anchorLock="1"/>
    </w:pPr>
    <w:rPr>
      <w:i/>
    </w:rPr>
  </w:style>
  <w:style w:type="paragraph" w:customStyle="1" w:styleId="MiniTOCTitle">
    <w:name w:val="MiniTOCTitle"/>
    <w:basedOn w:val="Heading4"/>
    <w:rsid w:val="00FE2C4E"/>
    <w:pPr>
      <w:spacing w:before="240"/>
      <w:outlineLvl w:val="9"/>
    </w:pPr>
    <w:rPr>
      <w:noProof/>
      <w:sz w:val="24"/>
    </w:rPr>
  </w:style>
  <w:style w:type="paragraph" w:customStyle="1" w:styleId="MiniTOCItem">
    <w:name w:val="MiniTOCItem"/>
    <w:basedOn w:val="ListBullet"/>
    <w:rsid w:val="00FE2C4E"/>
    <w:pPr>
      <w:numPr>
        <w:numId w:val="0"/>
      </w:numPr>
      <w:tabs>
        <w:tab w:val="right" w:leader="dot" w:pos="6521"/>
      </w:tabs>
      <w:spacing w:before="0" w:after="0"/>
    </w:pPr>
  </w:style>
  <w:style w:type="paragraph" w:customStyle="1" w:styleId="TOFTitle">
    <w:name w:val="TOFTitle"/>
    <w:basedOn w:val="TOCTitle"/>
    <w:rsid w:val="00FE2C4E"/>
  </w:style>
  <w:style w:type="paragraph" w:styleId="TableofFigures">
    <w:name w:val="table of figures"/>
    <w:basedOn w:val="Normal"/>
    <w:next w:val="Normal"/>
    <w:semiHidden/>
    <w:rsid w:val="00FE2C4E"/>
    <w:pPr>
      <w:tabs>
        <w:tab w:val="right" w:leader="dot" w:pos="9072"/>
      </w:tabs>
      <w:ind w:left="970" w:hanging="403"/>
    </w:pPr>
    <w:rPr>
      <w:rFonts w:ascii="Times New Roman" w:hAnsi="Times New Roman"/>
      <w:b/>
    </w:rPr>
  </w:style>
  <w:style w:type="paragraph" w:styleId="ListNumber">
    <w:name w:val="List Number"/>
    <w:basedOn w:val="List"/>
    <w:rsid w:val="00FE2C4E"/>
    <w:pPr>
      <w:numPr>
        <w:numId w:val="15"/>
      </w:numPr>
      <w:tabs>
        <w:tab w:val="clear" w:pos="340"/>
      </w:tabs>
    </w:pPr>
  </w:style>
  <w:style w:type="character" w:customStyle="1" w:styleId="WingdingSymbols">
    <w:name w:val="Wingding Symbols"/>
    <w:rsid w:val="00FE2C4E"/>
    <w:rPr>
      <w:rFonts w:ascii="Wingdings" w:hAnsi="Wingdings"/>
    </w:rPr>
  </w:style>
  <w:style w:type="paragraph" w:customStyle="1" w:styleId="TableHeading">
    <w:name w:val="Table Heading"/>
    <w:basedOn w:val="HeadingBase"/>
    <w:rsid w:val="00FE2C4E"/>
    <w:pPr>
      <w:keepLines/>
      <w:pBdr>
        <w:bottom w:val="single" w:sz="6" w:space="1" w:color="918585"/>
      </w:pBdr>
      <w:spacing w:before="240"/>
    </w:pPr>
  </w:style>
  <w:style w:type="character" w:customStyle="1" w:styleId="HotSpot">
    <w:name w:val="HotSpot"/>
    <w:rsid w:val="00FE2C4E"/>
    <w:rPr>
      <w:color w:val="0033CC"/>
      <w:u w:val="none"/>
    </w:rPr>
  </w:style>
  <w:style w:type="paragraph" w:customStyle="1" w:styleId="BodyTextRight">
    <w:name w:val="Body Text Right"/>
    <w:basedOn w:val="BodyText"/>
    <w:rsid w:val="00FE2C4E"/>
    <w:pPr>
      <w:spacing w:before="0" w:after="0"/>
      <w:jc w:val="right"/>
    </w:pPr>
  </w:style>
  <w:style w:type="paragraph" w:styleId="Index3">
    <w:name w:val="index 3"/>
    <w:basedOn w:val="ListNumber2"/>
    <w:next w:val="Normal"/>
    <w:semiHidden/>
    <w:rsid w:val="00FE2C4E"/>
    <w:pPr>
      <w:numPr>
        <w:numId w:val="0"/>
      </w:numPr>
      <w:tabs>
        <w:tab w:val="right" w:leader="dot" w:pos="4176"/>
      </w:tabs>
    </w:pPr>
  </w:style>
  <w:style w:type="paragraph" w:styleId="ListNumber2">
    <w:name w:val="List Number 2"/>
    <w:basedOn w:val="List2"/>
    <w:rsid w:val="00FE2C4E"/>
    <w:pPr>
      <w:numPr>
        <w:numId w:val="10"/>
      </w:numPr>
      <w:tabs>
        <w:tab w:val="clear" w:pos="1060"/>
      </w:tabs>
    </w:pPr>
  </w:style>
  <w:style w:type="paragraph" w:customStyle="1" w:styleId="MarginNote">
    <w:name w:val="Margin Note"/>
    <w:basedOn w:val="BodyText"/>
    <w:rsid w:val="00FE2C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2C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2C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2C4E"/>
    <w:rPr>
      <w:sz w:val="32"/>
    </w:rPr>
  </w:style>
  <w:style w:type="paragraph" w:customStyle="1" w:styleId="HeadingProcedure">
    <w:name w:val="Heading Procedure"/>
    <w:basedOn w:val="HeadingBase"/>
    <w:next w:val="Normal"/>
    <w:rsid w:val="00FE2C4E"/>
    <w:pPr>
      <w:tabs>
        <w:tab w:val="left" w:pos="0"/>
      </w:tabs>
      <w:spacing w:before="120" w:after="60"/>
    </w:pPr>
    <w:rPr>
      <w:i/>
      <w:color w:val="918585"/>
      <w:sz w:val="22"/>
    </w:rPr>
  </w:style>
  <w:style w:type="paragraph" w:customStyle="1" w:styleId="TableBodyText">
    <w:name w:val="Table Body Text"/>
    <w:basedOn w:val="BodyText"/>
    <w:rsid w:val="00FE2C4E"/>
    <w:pPr>
      <w:spacing w:before="60" w:after="60"/>
    </w:pPr>
  </w:style>
  <w:style w:type="paragraph" w:styleId="ListContinue">
    <w:name w:val="List Continue"/>
    <w:basedOn w:val="List"/>
    <w:rsid w:val="00FE2C4E"/>
    <w:pPr>
      <w:ind w:firstLine="0"/>
    </w:pPr>
  </w:style>
  <w:style w:type="paragraph" w:customStyle="1" w:styleId="ListNote">
    <w:name w:val="List Note"/>
    <w:basedOn w:val="List"/>
    <w:rsid w:val="00FE2C4E"/>
    <w:pPr>
      <w:pBdr>
        <w:top w:val="single" w:sz="6" w:space="2" w:color="918585"/>
        <w:bottom w:val="single" w:sz="6" w:space="2" w:color="918585"/>
      </w:pBdr>
      <w:tabs>
        <w:tab w:val="left" w:pos="1021"/>
      </w:tabs>
      <w:ind w:firstLine="0"/>
    </w:pPr>
  </w:style>
  <w:style w:type="paragraph" w:customStyle="1" w:styleId="Warning">
    <w:name w:val="Warning"/>
    <w:basedOn w:val="BodyText"/>
    <w:rsid w:val="00FE2C4E"/>
    <w:pPr>
      <w:shd w:val="clear" w:color="auto" w:fill="D9D9D9"/>
      <w:tabs>
        <w:tab w:val="left" w:pos="992"/>
      </w:tabs>
      <w:ind w:left="119" w:right="119"/>
    </w:pPr>
    <w:rPr>
      <w:sz w:val="20"/>
    </w:rPr>
  </w:style>
  <w:style w:type="paragraph" w:customStyle="1" w:styleId="MarginIcons">
    <w:name w:val="Margin Icons"/>
    <w:basedOn w:val="BodyText"/>
    <w:rsid w:val="00FE2C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2C4E"/>
    <w:rPr>
      <w:rFonts w:ascii="Courier New" w:hAnsi="Courier New"/>
    </w:rPr>
  </w:style>
  <w:style w:type="paragraph" w:customStyle="1" w:styleId="NoteBullet">
    <w:name w:val="Note Bullet"/>
    <w:basedOn w:val="Note"/>
    <w:rsid w:val="00FE2C4E"/>
    <w:pPr>
      <w:tabs>
        <w:tab w:val="clear" w:pos="680"/>
      </w:tabs>
      <w:spacing w:before="60" w:after="60"/>
    </w:pPr>
  </w:style>
  <w:style w:type="paragraph" w:customStyle="1" w:styleId="SubHeading2">
    <w:name w:val="SubHeading2"/>
    <w:basedOn w:val="HeadingBase"/>
    <w:rsid w:val="00FE2C4E"/>
    <w:pPr>
      <w:spacing w:before="240" w:after="60"/>
    </w:pPr>
    <w:rPr>
      <w:sz w:val="20"/>
    </w:rPr>
  </w:style>
  <w:style w:type="paragraph" w:customStyle="1" w:styleId="SubHeading1">
    <w:name w:val="SubHeading1"/>
    <w:basedOn w:val="HeadingBase"/>
    <w:rsid w:val="00FE2C4E"/>
    <w:pPr>
      <w:spacing w:before="240" w:after="60"/>
    </w:pPr>
    <w:rPr>
      <w:color w:val="918585"/>
      <w:sz w:val="22"/>
    </w:rPr>
  </w:style>
  <w:style w:type="paragraph" w:customStyle="1" w:styleId="SideHeading">
    <w:name w:val="Side Heading"/>
    <w:basedOn w:val="HeadingBase"/>
    <w:rsid w:val="00FE2C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2C4E"/>
    <w:pPr>
      <w:tabs>
        <w:tab w:val="num" w:pos="360"/>
      </w:tabs>
    </w:pPr>
  </w:style>
  <w:style w:type="paragraph" w:styleId="PlainText">
    <w:name w:val="Plain Text"/>
    <w:basedOn w:val="Normal"/>
    <w:link w:val="PlainTextChar"/>
    <w:rsid w:val="00FE2C4E"/>
    <w:rPr>
      <w:sz w:val="20"/>
    </w:rPr>
  </w:style>
  <w:style w:type="character" w:customStyle="1" w:styleId="PlainTextChar">
    <w:name w:val="Plain Text Char"/>
    <w:basedOn w:val="DefaultParagraphFont"/>
    <w:link w:val="PlainText"/>
    <w:rsid w:val="00FE2C4E"/>
    <w:rPr>
      <w:rFonts w:ascii="Courier New" w:eastAsia="Times New Roman" w:hAnsi="Courier New" w:cs="Times New Roman"/>
      <w:sz w:val="20"/>
      <w:szCs w:val="20"/>
      <w:lang w:eastAsia="en-US"/>
    </w:rPr>
  </w:style>
  <w:style w:type="character" w:customStyle="1" w:styleId="MenuOption">
    <w:name w:val="Menu Option"/>
    <w:basedOn w:val="DefaultParagraphFont"/>
    <w:rsid w:val="00FE2C4E"/>
    <w:rPr>
      <w:b/>
      <w:smallCaps/>
    </w:rPr>
  </w:style>
  <w:style w:type="paragraph" w:customStyle="1" w:styleId="TableListNumber">
    <w:name w:val="Table List Number"/>
    <w:basedOn w:val="ListNumber"/>
    <w:rsid w:val="00FE2C4E"/>
    <w:pPr>
      <w:numPr>
        <w:numId w:val="0"/>
      </w:numPr>
    </w:pPr>
  </w:style>
  <w:style w:type="paragraph" w:styleId="TOC4">
    <w:name w:val="toc 4"/>
    <w:basedOn w:val="TOCBase"/>
    <w:next w:val="Normal"/>
    <w:semiHidden/>
    <w:rsid w:val="00FE2C4E"/>
    <w:pPr>
      <w:tabs>
        <w:tab w:val="right" w:leader="dot" w:pos="9071"/>
      </w:tabs>
      <w:ind w:left="1701"/>
    </w:pPr>
  </w:style>
  <w:style w:type="paragraph" w:customStyle="1" w:styleId="ListAlpha">
    <w:name w:val="List Alpha"/>
    <w:basedOn w:val="List"/>
    <w:rsid w:val="00FE2C4E"/>
    <w:pPr>
      <w:numPr>
        <w:numId w:val="9"/>
      </w:numPr>
    </w:pPr>
  </w:style>
  <w:style w:type="paragraph" w:customStyle="1" w:styleId="ListAlpha2">
    <w:name w:val="List Alpha 2"/>
    <w:basedOn w:val="List2"/>
    <w:rsid w:val="00FE2C4E"/>
    <w:pPr>
      <w:numPr>
        <w:numId w:val="8"/>
      </w:numPr>
    </w:pPr>
  </w:style>
  <w:style w:type="paragraph" w:styleId="List2">
    <w:name w:val="List 2"/>
    <w:basedOn w:val="BodyText"/>
    <w:rsid w:val="00FE2C4E"/>
    <w:pPr>
      <w:tabs>
        <w:tab w:val="left" w:pos="680"/>
      </w:tabs>
      <w:spacing w:before="60" w:after="60"/>
      <w:ind w:left="680" w:hanging="340"/>
    </w:pPr>
  </w:style>
  <w:style w:type="paragraph" w:styleId="List3">
    <w:name w:val="List 3"/>
    <w:basedOn w:val="BodyText"/>
    <w:rsid w:val="00FE2C4E"/>
    <w:pPr>
      <w:tabs>
        <w:tab w:val="left" w:pos="1021"/>
      </w:tabs>
      <w:spacing w:before="60" w:after="60"/>
      <w:ind w:left="1020" w:hanging="340"/>
    </w:pPr>
  </w:style>
  <w:style w:type="paragraph" w:styleId="List4">
    <w:name w:val="List 4"/>
    <w:basedOn w:val="BodyText"/>
    <w:rsid w:val="00FE2C4E"/>
    <w:pPr>
      <w:tabs>
        <w:tab w:val="left" w:pos="1361"/>
      </w:tabs>
      <w:spacing w:before="60" w:after="60"/>
      <w:ind w:left="1361" w:hanging="340"/>
    </w:pPr>
  </w:style>
  <w:style w:type="paragraph" w:styleId="List5">
    <w:name w:val="List 5"/>
    <w:basedOn w:val="BodyText"/>
    <w:rsid w:val="00FE2C4E"/>
    <w:pPr>
      <w:tabs>
        <w:tab w:val="left" w:pos="1701"/>
      </w:tabs>
      <w:spacing w:before="60" w:after="60"/>
      <w:ind w:left="1701" w:hanging="340"/>
    </w:pPr>
  </w:style>
  <w:style w:type="paragraph" w:styleId="ListBullet3">
    <w:name w:val="List Bullet 3"/>
    <w:basedOn w:val="List3"/>
    <w:rsid w:val="00FE2C4E"/>
    <w:pPr>
      <w:numPr>
        <w:numId w:val="14"/>
      </w:numPr>
      <w:tabs>
        <w:tab w:val="clear" w:pos="1021"/>
      </w:tabs>
      <w:ind w:left="1037" w:hanging="357"/>
    </w:pPr>
  </w:style>
  <w:style w:type="paragraph" w:styleId="ListBullet4">
    <w:name w:val="List Bullet 4"/>
    <w:basedOn w:val="List4"/>
    <w:rsid w:val="00FE2C4E"/>
    <w:pPr>
      <w:numPr>
        <w:numId w:val="3"/>
      </w:numPr>
      <w:tabs>
        <w:tab w:val="clear" w:pos="1361"/>
      </w:tabs>
    </w:pPr>
  </w:style>
  <w:style w:type="paragraph" w:styleId="ListBullet5">
    <w:name w:val="List Bullet 5"/>
    <w:basedOn w:val="List5"/>
    <w:rsid w:val="00FE2C4E"/>
    <w:pPr>
      <w:numPr>
        <w:numId w:val="4"/>
      </w:numPr>
    </w:pPr>
  </w:style>
  <w:style w:type="paragraph" w:styleId="ListContinue2">
    <w:name w:val="List Continue 2"/>
    <w:basedOn w:val="List2"/>
    <w:rsid w:val="00FE2C4E"/>
    <w:pPr>
      <w:ind w:firstLine="0"/>
    </w:pPr>
  </w:style>
  <w:style w:type="paragraph" w:styleId="ListContinue3">
    <w:name w:val="List Continue 3"/>
    <w:basedOn w:val="List3"/>
    <w:rsid w:val="00FE2C4E"/>
    <w:pPr>
      <w:ind w:left="1021" w:firstLine="0"/>
    </w:pPr>
  </w:style>
  <w:style w:type="paragraph" w:styleId="ListContinue4">
    <w:name w:val="List Continue 4"/>
    <w:basedOn w:val="List4"/>
    <w:rsid w:val="00FE2C4E"/>
    <w:pPr>
      <w:ind w:firstLine="0"/>
    </w:pPr>
  </w:style>
  <w:style w:type="paragraph" w:styleId="ListContinue5">
    <w:name w:val="List Continue 5"/>
    <w:basedOn w:val="List5"/>
    <w:rsid w:val="00FE2C4E"/>
    <w:pPr>
      <w:ind w:firstLine="0"/>
    </w:pPr>
  </w:style>
  <w:style w:type="paragraph" w:styleId="ListNumber3">
    <w:name w:val="List Number 3"/>
    <w:basedOn w:val="List3"/>
    <w:rsid w:val="00FE2C4E"/>
    <w:pPr>
      <w:numPr>
        <w:numId w:val="5"/>
      </w:numPr>
    </w:pPr>
  </w:style>
  <w:style w:type="paragraph" w:styleId="ListNumber4">
    <w:name w:val="List Number 4"/>
    <w:basedOn w:val="List4"/>
    <w:rsid w:val="00FE2C4E"/>
    <w:pPr>
      <w:numPr>
        <w:numId w:val="6"/>
      </w:numPr>
    </w:pPr>
  </w:style>
  <w:style w:type="paragraph" w:styleId="ListNumber5">
    <w:name w:val="List Number 5"/>
    <w:basedOn w:val="List5"/>
    <w:rsid w:val="00FE2C4E"/>
    <w:pPr>
      <w:numPr>
        <w:numId w:val="7"/>
      </w:numPr>
    </w:pPr>
  </w:style>
  <w:style w:type="paragraph" w:styleId="BlockText">
    <w:name w:val="Block Text"/>
    <w:basedOn w:val="Normal"/>
    <w:rsid w:val="00FE2C4E"/>
    <w:pPr>
      <w:spacing w:after="120"/>
      <w:ind w:left="1440" w:right="1440"/>
    </w:pPr>
  </w:style>
  <w:style w:type="character" w:customStyle="1" w:styleId="Subscript">
    <w:name w:val="Subscript"/>
    <w:basedOn w:val="DefaultParagraphFont"/>
    <w:rsid w:val="00FE2C4E"/>
    <w:rPr>
      <w:sz w:val="16"/>
      <w:vertAlign w:val="subscript"/>
    </w:rPr>
  </w:style>
  <w:style w:type="character" w:customStyle="1" w:styleId="Superscript">
    <w:name w:val="Superscript"/>
    <w:basedOn w:val="DefaultParagraphFont"/>
    <w:rsid w:val="00FE2C4E"/>
    <w:rPr>
      <w:sz w:val="16"/>
      <w:vertAlign w:val="superscript"/>
    </w:rPr>
  </w:style>
  <w:style w:type="character" w:customStyle="1" w:styleId="Symbols">
    <w:name w:val="Symbols"/>
    <w:basedOn w:val="DefaultParagraphFont"/>
    <w:rsid w:val="00FE2C4E"/>
    <w:rPr>
      <w:rFonts w:ascii="Symbol" w:hAnsi="Symbol"/>
    </w:rPr>
  </w:style>
  <w:style w:type="character" w:customStyle="1" w:styleId="MenuOptions">
    <w:name w:val="Menu Options"/>
    <w:basedOn w:val="DefaultParagraphFont"/>
    <w:rsid w:val="00FE2C4E"/>
    <w:rPr>
      <w:rFonts w:ascii="Arial Narrow" w:hAnsi="Arial Narrow"/>
      <w:smallCaps/>
    </w:rPr>
  </w:style>
  <w:style w:type="character" w:customStyle="1" w:styleId="Buttons">
    <w:name w:val="Buttons"/>
    <w:basedOn w:val="DefaultParagraphFont"/>
    <w:rsid w:val="00FE2C4E"/>
    <w:rPr>
      <w:b/>
    </w:rPr>
  </w:style>
  <w:style w:type="character" w:customStyle="1" w:styleId="Underlined">
    <w:name w:val="Underlined"/>
    <w:basedOn w:val="DefaultParagraphFont"/>
    <w:rsid w:val="00FE2C4E"/>
    <w:rPr>
      <w:u w:val="single"/>
    </w:rPr>
  </w:style>
  <w:style w:type="paragraph" w:customStyle="1" w:styleId="TableBodyTextRight">
    <w:name w:val="Table Body Text Right"/>
    <w:basedOn w:val="TableBodyText"/>
    <w:rsid w:val="00FE2C4E"/>
    <w:pPr>
      <w:widowControl w:val="0"/>
      <w:autoSpaceDE w:val="0"/>
      <w:autoSpaceDN w:val="0"/>
      <w:adjustRightInd w:val="0"/>
      <w:jc w:val="right"/>
    </w:pPr>
    <w:rPr>
      <w:rFonts w:cs="Arial"/>
      <w:szCs w:val="18"/>
    </w:rPr>
  </w:style>
  <w:style w:type="paragraph" w:customStyle="1" w:styleId="CopyrightText">
    <w:name w:val="Copyright Text"/>
    <w:basedOn w:val="BodyText"/>
    <w:rsid w:val="00FE2C4E"/>
    <w:rPr>
      <w:sz w:val="18"/>
    </w:rPr>
  </w:style>
  <w:style w:type="paragraph" w:customStyle="1" w:styleId="BodySmallRight">
    <w:name w:val="Body Small Right"/>
    <w:basedOn w:val="BodyTextRight"/>
    <w:rsid w:val="00FE2C4E"/>
    <w:rPr>
      <w:sz w:val="18"/>
      <w:szCs w:val="18"/>
    </w:rPr>
  </w:style>
  <w:style w:type="paragraph" w:customStyle="1" w:styleId="MarginEdition">
    <w:name w:val="Margin Edition"/>
    <w:basedOn w:val="MarginNote"/>
    <w:rsid w:val="00FE2C4E"/>
    <w:pPr>
      <w:spacing w:before="0" w:after="0"/>
    </w:pPr>
    <w:rPr>
      <w:rFonts w:ascii="Times New Roman" w:hAnsi="Times New Roman"/>
      <w:color w:val="999999"/>
    </w:rPr>
  </w:style>
  <w:style w:type="paragraph" w:customStyle="1" w:styleId="Spacer">
    <w:name w:val="Spacer"/>
    <w:basedOn w:val="Normal"/>
    <w:rsid w:val="00FE2C4E"/>
    <w:rPr>
      <w:sz w:val="2"/>
      <w:szCs w:val="2"/>
    </w:rPr>
  </w:style>
  <w:style w:type="character" w:customStyle="1" w:styleId="Small">
    <w:name w:val="Small"/>
    <w:basedOn w:val="DefaultParagraphFont"/>
    <w:rsid w:val="00FE2C4E"/>
    <w:rPr>
      <w:sz w:val="16"/>
    </w:rPr>
  </w:style>
  <w:style w:type="paragraph" w:customStyle="1" w:styleId="WideTable">
    <w:name w:val="Wide Table"/>
    <w:basedOn w:val="Normal"/>
    <w:rsid w:val="00FE2C4E"/>
    <w:pPr>
      <w:ind w:left="-1418"/>
    </w:pPr>
    <w:rPr>
      <w:sz w:val="2"/>
      <w:szCs w:val="2"/>
    </w:rPr>
  </w:style>
  <w:style w:type="character" w:styleId="PageNumber">
    <w:name w:val="page number"/>
    <w:basedOn w:val="DefaultParagraphFont"/>
    <w:rsid w:val="00FE2C4E"/>
  </w:style>
  <w:style w:type="paragraph" w:styleId="Quote">
    <w:name w:val="Quote"/>
    <w:basedOn w:val="Heading1"/>
    <w:link w:val="QuoteChar"/>
    <w:qFormat/>
    <w:rsid w:val="00FE2C4E"/>
    <w:rPr>
      <w:b w:val="0"/>
      <w:sz w:val="72"/>
      <w:szCs w:val="72"/>
      <w:lang w:val="en-NZ"/>
    </w:rPr>
  </w:style>
  <w:style w:type="character" w:customStyle="1" w:styleId="QuoteChar">
    <w:name w:val="Quote Char"/>
    <w:basedOn w:val="DefaultParagraphFont"/>
    <w:link w:val="Quote"/>
    <w:rsid w:val="00FE2C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2C4E"/>
    <w:pPr>
      <w:pageBreakBefore/>
    </w:pPr>
  </w:style>
  <w:style w:type="paragraph" w:customStyle="1" w:styleId="Border">
    <w:name w:val="Border"/>
    <w:basedOn w:val="Normal"/>
    <w:qFormat/>
    <w:rsid w:val="00FE2C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2C4E"/>
    <w:rPr>
      <w:b/>
      <w:bCs/>
      <w:i/>
      <w:iCs/>
      <w:color w:val="auto"/>
    </w:rPr>
  </w:style>
  <w:style w:type="paragraph" w:styleId="IntenseQuote">
    <w:name w:val="Intense Quote"/>
    <w:basedOn w:val="Normal"/>
    <w:next w:val="Normal"/>
    <w:link w:val="IntenseQuoteChar"/>
    <w:uiPriority w:val="30"/>
    <w:qFormat/>
    <w:rsid w:val="00FE2C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2C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2C4E"/>
    <w:rPr>
      <w:smallCaps/>
      <w:color w:val="auto"/>
      <w:u w:val="single"/>
    </w:rPr>
  </w:style>
  <w:style w:type="character" w:styleId="IntenseReference">
    <w:name w:val="Intense Reference"/>
    <w:basedOn w:val="DefaultParagraphFont"/>
    <w:uiPriority w:val="32"/>
    <w:qFormat/>
    <w:rsid w:val="00FE2C4E"/>
    <w:rPr>
      <w:b/>
      <w:bCs/>
      <w:smallCaps/>
      <w:color w:val="auto"/>
      <w:spacing w:val="5"/>
      <w:u w:val="single"/>
    </w:rPr>
  </w:style>
  <w:style w:type="paragraph" w:customStyle="1" w:styleId="2ColumnHeading">
    <w:name w:val="2Column Heading"/>
    <w:basedOn w:val="BodyText"/>
    <w:qFormat/>
    <w:rsid w:val="00FE2C4E"/>
    <w:pPr>
      <w:spacing w:after="60"/>
      <w:ind w:left="-2268"/>
    </w:pPr>
    <w:rPr>
      <w:b/>
    </w:rPr>
  </w:style>
  <w:style w:type="paragraph" w:customStyle="1" w:styleId="Heading1TOC">
    <w:name w:val="Heading1 TOC"/>
    <w:basedOn w:val="Normal"/>
    <w:qFormat/>
    <w:rsid w:val="00FE2C4E"/>
    <w:pPr>
      <w:spacing w:before="240" w:after="120"/>
    </w:pPr>
    <w:rPr>
      <w:rFonts w:ascii="Times New Roman" w:hAnsi="Times New Roman"/>
      <w:b/>
      <w:sz w:val="32"/>
    </w:rPr>
  </w:style>
  <w:style w:type="paragraph" w:customStyle="1" w:styleId="Heading2TOC">
    <w:name w:val="Heading2 TOC"/>
    <w:basedOn w:val="Normal"/>
    <w:qFormat/>
    <w:rsid w:val="00FE2C4E"/>
    <w:pPr>
      <w:spacing w:before="240" w:after="60"/>
    </w:pPr>
    <w:rPr>
      <w:rFonts w:ascii="Times New Roman" w:hAnsi="Times New Roman"/>
      <w:b/>
      <w:sz w:val="28"/>
    </w:rPr>
  </w:style>
  <w:style w:type="character" w:customStyle="1" w:styleId="Underline">
    <w:name w:val="Underline"/>
    <w:basedOn w:val="DefaultParagraphFont"/>
    <w:qFormat/>
    <w:rsid w:val="00FE2C4E"/>
    <w:rPr>
      <w:u w:val="single"/>
    </w:rPr>
  </w:style>
  <w:style w:type="character" w:customStyle="1" w:styleId="BoldandItalics">
    <w:name w:val="Bold and Italics"/>
    <w:qFormat/>
    <w:rsid w:val="00FE2C4E"/>
    <w:rPr>
      <w:b/>
      <w:i/>
      <w:u w:val="none"/>
    </w:rPr>
  </w:style>
  <w:style w:type="paragraph" w:styleId="BalloonText">
    <w:name w:val="Balloon Text"/>
    <w:basedOn w:val="Normal"/>
    <w:link w:val="BalloonTextChar"/>
    <w:rsid w:val="00FE2C4E"/>
    <w:rPr>
      <w:rFonts w:ascii="Tahoma" w:hAnsi="Tahoma" w:cs="Tahoma"/>
      <w:sz w:val="16"/>
      <w:szCs w:val="16"/>
    </w:rPr>
  </w:style>
  <w:style w:type="character" w:customStyle="1" w:styleId="BalloonTextChar">
    <w:name w:val="Balloon Text Char"/>
    <w:basedOn w:val="DefaultParagraphFont"/>
    <w:link w:val="BalloonText"/>
    <w:rsid w:val="00FE2C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2C4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E2C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2C4E"/>
    <w:rPr>
      <w:b/>
      <w:color w:val="660033"/>
      <w:spacing w:val="0"/>
    </w:rPr>
  </w:style>
  <w:style w:type="paragraph" w:customStyle="1" w:styleId="Nameditemlist">
    <w:name w:val="Named item list"/>
    <w:basedOn w:val="BodyText"/>
    <w:qFormat/>
    <w:rsid w:val="00FE2C4E"/>
    <w:pPr>
      <w:tabs>
        <w:tab w:val="left" w:pos="2835"/>
      </w:tabs>
      <w:ind w:left="2835" w:hanging="2835"/>
    </w:pPr>
  </w:style>
  <w:style w:type="paragraph" w:customStyle="1" w:styleId="BodyTextnopadding">
    <w:name w:val="Body Text no padding"/>
    <w:basedOn w:val="BodyText"/>
    <w:qFormat/>
    <w:rsid w:val="00FE2C4E"/>
    <w:pPr>
      <w:spacing w:before="0" w:after="0"/>
    </w:pPr>
  </w:style>
  <w:style w:type="paragraph" w:customStyle="1" w:styleId="BodyTextBold">
    <w:name w:val="Body Text Bold"/>
    <w:basedOn w:val="BodyText"/>
    <w:qFormat/>
    <w:rsid w:val="00FE2C4E"/>
    <w:rPr>
      <w:b/>
    </w:rPr>
  </w:style>
  <w:style w:type="character" w:styleId="Hyperlink">
    <w:name w:val="Hyperlink"/>
    <w:basedOn w:val="DefaultParagraphFont"/>
    <w:uiPriority w:val="99"/>
    <w:unhideWhenUsed/>
    <w:rsid w:val="00E641C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1708</Words>
  <Characters>11650</Characters>
  <Application>Microsoft Office Word</Application>
  <DocSecurity>0</DocSecurity>
  <Lines>375</Lines>
  <Paragraphs>226</Paragraphs>
  <ScaleCrop>false</ScaleCrop>
  <Company>Author-it Software Corporation Ltd.</Company>
  <LinksUpToDate>false</LinksUpToDate>
  <CharactersWithSpaces>13132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MEA718 Evaluate rotorcraft flight control systems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2025-03-01T17:52:00Z</dcterms:created>
  <dcterms:modified xsi:type="dcterms:W3CDTF">2025-03-01T17:52:00Z</dcterms:modified>
</cp:coreProperties>
</file>