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147" w:rsidP="00827147">
      <w:pPr>
        <w:pStyle w:val="Title"/>
      </w:pPr>
      <w:r>
        <w:fldChar w:fldCharType="begin"/>
      </w:r>
      <w:r>
        <w:instrText xml:space="preserve"> TITLE   \* MERGEFORMAT </w:instrText>
      </w:r>
      <w:r>
        <w:fldChar w:fldCharType="separate"/>
      </w:r>
      <w:r>
        <w:t>MEA712 Apply avionic digital design techniques</w:t>
      </w:r>
      <w:r>
        <w:fldChar w:fldCharType="end"/>
      </w:r>
    </w:p>
    <w:p w:rsidR="00827147" w:rsidP="00827147">
      <w:pPr>
        <w:pStyle w:val="Version"/>
        <w:sectPr w:rsidSect="005B29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9C8" w:rsidP="005B29C8">
      <w:pPr>
        <w:pStyle w:val="SuperHeading"/>
      </w:pPr>
      <w:r w:rsidRPr="005B29C8">
        <w:t>MEA712 Apply avionic digital design techniques</w:t>
      </w:r>
    </w:p>
    <w:p w:rsidR="00000000" w:rsidRPr="005B29C8" w:rsidP="005B29C8">
      <w:pPr>
        <w:pStyle w:val="Heading1"/>
      </w:pPr>
      <w:bookmarkStart w:id="1" w:name="O_724011"/>
      <w:bookmarkEnd w:id="1"/>
      <w:r w:rsidRPr="005B29C8">
        <w:t>Modification History</w:t>
      </w:r>
    </w:p>
    <w:p w:rsidR="00000000" w:rsidRPr="005B29C8" w:rsidP="00827147">
      <w:pPr>
        <w:pStyle w:val="BodyText"/>
      </w:pPr>
      <w:r w:rsidRPr="005B29C8">
        <w:t>Release 1 - New unit of competency</w:t>
      </w:r>
    </w:p>
    <w:p w:rsidR="00000000" w:rsidRPr="005B29C8" w:rsidP="005B29C8">
      <w:pPr>
        <w:pStyle w:val="Heading1"/>
      </w:pPr>
      <w:bookmarkStart w:id="2" w:name="O_724019"/>
      <w:bookmarkEnd w:id="2"/>
      <w:r w:rsidRPr="005B29C8">
        <w:t>Application</w:t>
      </w:r>
    </w:p>
    <w:p w:rsidR="00000000" w:rsidRPr="005B29C8" w:rsidP="00827147">
      <w:pPr>
        <w:pStyle w:val="BodyText"/>
      </w:pPr>
      <w:r w:rsidRPr="005B29C8">
        <w:t>This unit of competency applies to design of avionic digital systems and components for aircraft, including hardware and embedded system software, design of modifi</w:t>
      </w:r>
      <w:r w:rsidRPr="005B29C8">
        <w:t>cations, automatic test stations, and development and update of test procedures and of repair requirements. It includes electrical, electronic and software design techniques and performance of the design process within the requirements of airworthiness reg</w:t>
      </w:r>
      <w:r w:rsidRPr="005B29C8">
        <w:t>ulators and documentation of the design process within management systems, such as configuration management (CM) and integrated logistic support (ILS).</w:t>
      </w:r>
    </w:p>
    <w:p w:rsidR="00000000" w:rsidRPr="005B29C8" w:rsidP="00827147">
      <w:pPr>
        <w:pStyle w:val="BodyText"/>
      </w:pPr>
      <w:r w:rsidRPr="005B29C8">
        <w:t>It is suitable for people working as members of avionic system design teams and for those employed with</w:t>
      </w:r>
      <w:r w:rsidRPr="005B29C8">
        <w:t>in maintenance engineering support departments or pursuing careers and qualifications as paraprofessionals in avionic engineering.</w:t>
      </w:r>
    </w:p>
    <w:p w:rsidR="00000000" w:rsidRPr="005B29C8" w:rsidP="00827147">
      <w:pPr>
        <w:pStyle w:val="BodyText"/>
      </w:pPr>
      <w:r w:rsidRPr="005B29C8">
        <w:t>This unit is used in workplaces that operate under the airworthiness regulatory systems of the Australian Defence Force (ADF</w:t>
      </w:r>
      <w:r w:rsidRPr="005B29C8">
        <w:t>) and the Civil Aviation Safety Authority (CASA).</w:t>
      </w:r>
    </w:p>
    <w:p w:rsidR="00000000" w:rsidRPr="005B29C8" w:rsidP="005B29C8">
      <w:pPr>
        <w:pStyle w:val="Heading1"/>
      </w:pPr>
      <w:bookmarkStart w:id="3" w:name="O_724018"/>
      <w:bookmarkEnd w:id="3"/>
      <w:r w:rsidRPr="005B29C8">
        <w:t>Pre-requisite Unit</w:t>
      </w:r>
    </w:p>
    <w:tbl>
      <w:tblPr>
        <w:tblW w:w="0" w:type="auto"/>
        <w:tblLayout w:type="fixed"/>
        <w:tblCellMar>
          <w:left w:w="62" w:type="dxa"/>
          <w:right w:w="62" w:type="dxa"/>
        </w:tblCellMar>
        <w:tblLook w:val="0000"/>
      </w:tblPr>
      <w:tblGrid>
        <w:gridCol w:w="1742"/>
        <w:gridCol w:w="6951"/>
      </w:tblGrid>
      <w:tr w:rsidTr="005B29C8">
        <w:tblPrEx>
          <w:tblW w:w="0" w:type="auto"/>
          <w:tblLayout w:type="fixed"/>
          <w:tblCellMar>
            <w:left w:w="62" w:type="dxa"/>
            <w:right w:w="62" w:type="dxa"/>
          </w:tblCellMar>
          <w:tblLook w:val="0000"/>
        </w:tblPrEx>
        <w:tc>
          <w:tcPr>
            <w:tcW w:w="1742"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MEA702</w:t>
            </w:r>
          </w:p>
        </w:tc>
        <w:tc>
          <w:tcPr>
            <w:tcW w:w="6951"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Produce avionic engineering related graphics</w:t>
            </w:r>
          </w:p>
        </w:tc>
      </w:tr>
      <w:tr w:rsidTr="005B29C8">
        <w:tblPrEx>
          <w:tblW w:w="0" w:type="auto"/>
          <w:tblLayout w:type="fixed"/>
          <w:tblCellMar>
            <w:left w:w="62" w:type="dxa"/>
            <w:right w:w="62" w:type="dxa"/>
          </w:tblCellMar>
          <w:tblLook w:val="0000"/>
        </w:tblPrEx>
        <w:tc>
          <w:tcPr>
            <w:tcW w:w="1742"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MEA708</w:t>
            </w:r>
          </w:p>
        </w:tc>
        <w:tc>
          <w:tcPr>
            <w:tcW w:w="6951"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Select and test avionic engineering materials</w:t>
            </w:r>
          </w:p>
        </w:tc>
      </w:tr>
      <w:tr w:rsidTr="005B29C8">
        <w:tblPrEx>
          <w:tblW w:w="0" w:type="auto"/>
          <w:tblLayout w:type="fixed"/>
          <w:tblCellMar>
            <w:left w:w="62" w:type="dxa"/>
            <w:right w:w="62" w:type="dxa"/>
          </w:tblCellMar>
          <w:tblLook w:val="0000"/>
        </w:tblPrEx>
        <w:tc>
          <w:tcPr>
            <w:tcW w:w="1742"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MEA714</w:t>
            </w:r>
          </w:p>
        </w:tc>
        <w:tc>
          <w:tcPr>
            <w:tcW w:w="6951"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Integrate avionic fundamentals into an engineering task</w:t>
            </w:r>
          </w:p>
        </w:tc>
      </w:tr>
      <w:tr w:rsidTr="005B29C8">
        <w:tblPrEx>
          <w:tblW w:w="0" w:type="auto"/>
          <w:tblLayout w:type="fixed"/>
          <w:tblCellMar>
            <w:left w:w="62" w:type="dxa"/>
            <w:right w:w="62" w:type="dxa"/>
          </w:tblCellMar>
          <w:tblLook w:val="0000"/>
        </w:tblPrEx>
        <w:tc>
          <w:tcPr>
            <w:tcW w:w="1742"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MEA725</w:t>
            </w:r>
          </w:p>
        </w:tc>
        <w:tc>
          <w:tcPr>
            <w:tcW w:w="6951" w:type="dxa"/>
            <w:tcBorders>
              <w:top w:val="nil"/>
              <w:left w:val="nil"/>
              <w:bottom w:val="nil"/>
              <w:right w:val="nil"/>
            </w:tcBorders>
            <w:tcMar>
              <w:top w:w="0" w:type="dxa"/>
              <w:left w:w="62" w:type="dxa"/>
              <w:bottom w:w="0" w:type="dxa"/>
              <w:right w:w="62" w:type="dxa"/>
            </w:tcMar>
          </w:tcPr>
          <w:p w:rsidR="00000000" w:rsidRPr="005B29C8" w:rsidP="005B29C8">
            <w:pPr>
              <w:pStyle w:val="BodyText"/>
            </w:pPr>
            <w:r w:rsidRPr="005B29C8">
              <w:t>Apply advanced scientific principles and techniques in avionic engineering situations</w:t>
            </w:r>
          </w:p>
        </w:tc>
      </w:tr>
    </w:tbl>
    <w:p w:rsidR="00000000" w:rsidRPr="005B29C8" w:rsidP="005B29C8">
      <w:pPr>
        <w:pStyle w:val="BodyText"/>
      </w:pPr>
    </w:p>
    <w:p w:rsidR="00000000" w:rsidRPr="005B29C8" w:rsidP="005B29C8">
      <w:pPr>
        <w:pStyle w:val="AllowPageBreak"/>
      </w:pPr>
    </w:p>
    <w:p w:rsidR="00000000" w:rsidRPr="005B29C8" w:rsidP="005B29C8">
      <w:pPr>
        <w:pStyle w:val="Heading1"/>
      </w:pPr>
      <w:bookmarkStart w:id="4" w:name="O_724017"/>
      <w:bookmarkEnd w:id="4"/>
      <w:r w:rsidRPr="005B29C8">
        <w:t>Competency Field</w:t>
      </w:r>
    </w:p>
    <w:p w:rsidR="00000000" w:rsidRPr="005B29C8" w:rsidP="00827147">
      <w:pPr>
        <w:pStyle w:val="BodyText"/>
      </w:pPr>
      <w:r w:rsidRPr="005B29C8">
        <w:t>Avionic engineering</w:t>
      </w:r>
    </w:p>
    <w:p w:rsidR="00000000" w:rsidRPr="005B29C8" w:rsidP="005B29C8">
      <w:pPr>
        <w:pStyle w:val="Heading1"/>
      </w:pPr>
      <w:bookmarkStart w:id="5" w:name="O_724016"/>
      <w:bookmarkEnd w:id="5"/>
      <w:r w:rsidRPr="005B29C8">
        <w:t>Unit Sector</w:t>
      </w:r>
    </w:p>
    <w:p w:rsidR="00000000" w:rsidRPr="005B29C8" w:rsidP="005B29C8">
      <w:pPr>
        <w:pStyle w:val="Heading1"/>
      </w:pPr>
      <w:bookmarkStart w:id="6" w:name="O_724015"/>
      <w:bookmarkEnd w:id="6"/>
      <w:r w:rsidRPr="005B29C8">
        <w:t>Elements and Performance Criteria</w:t>
      </w:r>
    </w:p>
    <w:tbl>
      <w:tblPr>
        <w:tblW w:w="9286" w:type="dxa"/>
        <w:tblLayout w:type="fixed"/>
        <w:tblCellMar>
          <w:left w:w="62" w:type="dxa"/>
          <w:right w:w="62" w:type="dxa"/>
        </w:tblCellMar>
        <w:tblLook w:val="0000"/>
      </w:tblPr>
      <w:tblGrid>
        <w:gridCol w:w="717"/>
        <w:gridCol w:w="2438"/>
        <w:gridCol w:w="895"/>
        <w:gridCol w:w="5236"/>
      </w:tblGrid>
      <w:tr w:rsidTr="005B29C8">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Elements describe the essential outcomes.</w:t>
            </w:r>
          </w:p>
        </w:tc>
        <w:tc>
          <w:tcPr>
            <w:tcW w:w="6131" w:type="dxa"/>
            <w:gridSpan w:val="2"/>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 xml:space="preserve">Performance criteria describe the performance needed to demonstrate achievement of the element. </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1.</w:t>
            </w:r>
          </w:p>
        </w:tc>
        <w:tc>
          <w:tcPr>
            <w:tcW w:w="2438"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Investigate requirements of avionic digital design projects</w:t>
            </w: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1.1</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Review the context and negotiate parameters of the engineering design brief in consultation with stakeholders</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1.2</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Determine engineering scientific principles and design techniques required for design process</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1.3</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Investigate life-cycle design and sust</w:t>
            </w:r>
            <w:r w:rsidRPr="005B29C8">
              <w:t>ainability implications of avionic digital design</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1.4</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Determine specification, documentation and graphical techniques required to define designs</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1.5</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Confirm work health and safety (WHS), regulatory requirements, codes of practice, standards, risk management and registration requirements relevant to avionic digital design project</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1.6</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Investigate the need for technical and professional assistance</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2.</w:t>
            </w:r>
          </w:p>
        </w:tc>
        <w:tc>
          <w:tcPr>
            <w:tcW w:w="2438"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Apply avionic digital design techniques</w:t>
            </w: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2.1</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Plan, schedule and coordinate the design task</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2.2</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Apply the design process and avionic scientific principles to component selection and design proposals</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2.3</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Create adequate and accurate calculations, prelim</w:t>
            </w:r>
            <w:r w:rsidRPr="005B29C8">
              <w:t>inary graphics and maintain design process records</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2.4</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Evaluate multiple solutions against design criteria, risk, sustainability and cost</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2.5</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Integrate avionic techniques, hardware and embedded software, including mechanical, fluid, electrical, electronic, controller and networking</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2.6</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Apply systems thinking, problem solving and decision making in dealing with contingencies and constraints fo</w:t>
            </w:r>
            <w:r w:rsidRPr="005B29C8">
              <w:t xml:space="preserve">r continuous improvement and </w:t>
            </w:r>
            <w:r w:rsidRPr="005B29C8">
              <w:t>development of design options</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2.7</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Incorporate professional and technical assistance as required</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2.8</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Apply specification</w:t>
            </w:r>
            <w:r w:rsidRPr="005B29C8">
              <w:t>, documentation and graphical techniques modelling, mock-up or prototyping techniques to define designs</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3.</w:t>
            </w:r>
          </w:p>
        </w:tc>
        <w:tc>
          <w:tcPr>
            <w:tcW w:w="2438"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Report results</w:t>
            </w: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3.1</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Report results of investigations, application and development of avionic digital design</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3.2</w:t>
            </w:r>
          </w:p>
        </w:tc>
        <w:tc>
          <w:tcPr>
            <w:tcW w:w="5236"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Provide documentation, such as cal</w:t>
            </w:r>
            <w:r w:rsidRPr="005B29C8">
              <w:t>culations, specifications, diagrams, computer-aided design (CAD) files, control circuits and controller programs, mock-ups or prototypes</w:t>
            </w:r>
          </w:p>
        </w:tc>
      </w:tr>
      <w:tr w:rsidTr="005B29C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3.3</w:t>
            </w:r>
          </w:p>
        </w:tc>
        <w:tc>
          <w:tcPr>
            <w:tcW w:w="5236" w:type="dxa"/>
            <w:tcBorders>
              <w:top w:val="nil"/>
              <w:left w:val="nil"/>
              <w:bottom w:val="nil"/>
              <w:right w:val="nil"/>
            </w:tcBorders>
            <w:tcMar>
              <w:top w:w="0" w:type="dxa"/>
              <w:left w:w="62" w:type="dxa"/>
              <w:bottom w:w="0" w:type="dxa"/>
              <w:right w:w="62" w:type="dxa"/>
            </w:tcMar>
          </w:tcPr>
          <w:p w:rsidR="00000000" w:rsidRPr="005B29C8" w:rsidP="005B29C8">
            <w:pPr>
              <w:pStyle w:val="BodyText"/>
            </w:pPr>
            <w:r w:rsidRPr="005B29C8">
              <w:t>Provide draft documentation required by CM plan and/or ILS process, where applicable</w:t>
            </w:r>
          </w:p>
        </w:tc>
      </w:tr>
    </w:tbl>
    <w:p w:rsidR="00000000" w:rsidRPr="005B29C8" w:rsidP="005B29C8">
      <w:pPr>
        <w:pStyle w:val="BodyText"/>
      </w:pPr>
    </w:p>
    <w:p w:rsidR="00000000" w:rsidRPr="005B29C8" w:rsidP="005B29C8">
      <w:pPr>
        <w:pStyle w:val="AllowPageBreak"/>
      </w:pPr>
    </w:p>
    <w:p w:rsidR="00000000" w:rsidRPr="005B29C8" w:rsidP="005B29C8">
      <w:pPr>
        <w:pStyle w:val="Heading1"/>
      </w:pPr>
      <w:bookmarkStart w:id="7" w:name="O_724014"/>
      <w:bookmarkEnd w:id="7"/>
      <w:r w:rsidRPr="005B29C8">
        <w:t>Foundati</w:t>
      </w:r>
      <w:r w:rsidRPr="005B29C8">
        <w:t>on Skills</w:t>
      </w:r>
    </w:p>
    <w:p w:rsidR="00000000" w:rsidRPr="005B29C8" w:rsidP="00827147">
      <w:pPr>
        <w:pStyle w:val="BodyText"/>
      </w:pPr>
      <w:r w:rsidRPr="005B29C8">
        <w:t>Foundation skills essential to performance are explicit in the performance criteria of this unit of competency.</w:t>
      </w:r>
    </w:p>
    <w:p w:rsidR="00000000" w:rsidRPr="005B29C8" w:rsidP="005B29C8">
      <w:pPr>
        <w:pStyle w:val="Heading1"/>
      </w:pPr>
      <w:bookmarkStart w:id="8" w:name="O_724013"/>
      <w:bookmarkEnd w:id="8"/>
      <w:r w:rsidRPr="005B29C8">
        <w:t>Range of Conditions</w:t>
      </w:r>
    </w:p>
    <w:tbl>
      <w:tblPr>
        <w:tblW w:w="0" w:type="auto"/>
        <w:tblLayout w:type="fixed"/>
        <w:tblCellMar>
          <w:left w:w="62" w:type="dxa"/>
          <w:right w:w="62" w:type="dxa"/>
        </w:tblCellMar>
        <w:tblLook w:val="0000"/>
      </w:tblPr>
      <w:tblGrid>
        <w:gridCol w:w="3150"/>
        <w:gridCol w:w="5922"/>
      </w:tblGrid>
      <w:tr w:rsidTr="005B29C8">
        <w:tblPrEx>
          <w:tblW w:w="0" w:type="auto"/>
          <w:tblLayout w:type="fixed"/>
          <w:tblCellMar>
            <w:left w:w="62" w:type="dxa"/>
            <w:right w:w="62" w:type="dxa"/>
          </w:tblCellMar>
          <w:tblLook w:val="0000"/>
        </w:tblPrEx>
        <w:trPr>
          <w:trHeight w:val="978"/>
        </w:trPr>
        <w:tc>
          <w:tcPr>
            <w:tcW w:w="9072" w:type="dxa"/>
            <w:gridSpan w:val="2"/>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t>This field allows for different work environments and conditions that may affect performance. Essential operating conditions that may be present (depending on the work situation, needs of the candidate, accessibility of the item, and local industry and reg</w:t>
            </w:r>
            <w:r w:rsidRPr="005B29C8">
              <w:t>ional contexts) are included.</w:t>
            </w:r>
          </w:p>
        </w:tc>
      </w:tr>
      <w:tr w:rsidTr="005B29C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rPr>
                <w:rStyle w:val="SpecialBold"/>
              </w:rPr>
              <w:t>Avionic engineering refers to:</w:t>
            </w:r>
          </w:p>
        </w:tc>
        <w:tc>
          <w:tcPr>
            <w:tcW w:w="5922" w:type="dxa"/>
            <w:tcBorders>
              <w:top w:val="nil"/>
              <w:left w:val="nil"/>
              <w:bottom w:val="nil"/>
              <w:right w:val="nil"/>
            </w:tcBorders>
            <w:tcMar>
              <w:top w:w="0" w:type="dxa"/>
              <w:left w:w="62" w:type="dxa"/>
              <w:bottom w:w="0" w:type="dxa"/>
              <w:right w:w="62" w:type="dxa"/>
            </w:tcMar>
          </w:tcPr>
          <w:p w:rsidR="00000000" w:rsidP="005B29C8">
            <w:pPr>
              <w:pStyle w:val="ListBullet"/>
              <w:rPr>
                <w:lang w:val="en-NZ"/>
              </w:rPr>
            </w:pPr>
            <w:r w:rsidRPr="005B29C8">
              <w:t>The engineering discipline concerned with the conceptual development, research, design, manufacture, implementation, installation, commissioning and maintenance of aerospace electrical, instru</w:t>
            </w:r>
            <w:r w:rsidRPr="005B29C8">
              <w:t>ment, radio and electronic systems and components and related test equipment for civil and military applications</w:t>
            </w:r>
          </w:p>
        </w:tc>
      </w:tr>
      <w:tr w:rsidTr="005B29C8">
        <w:tblPrEx>
          <w:tblW w:w="0" w:type="auto"/>
          <w:tblLayout w:type="fixed"/>
          <w:tblCellMar>
            <w:left w:w="62" w:type="dxa"/>
            <w:right w:w="62" w:type="dxa"/>
          </w:tblCellMar>
          <w:tblLook w:val="0000"/>
        </w:tblPrEx>
        <w:trPr>
          <w:trHeight w:val="2177"/>
        </w:trPr>
        <w:tc>
          <w:tcPr>
            <w:tcW w:w="3150"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rPr>
                <w:rStyle w:val="SpecialBold"/>
              </w:rPr>
              <w:t>Avionic digital systems include:</w:t>
            </w:r>
          </w:p>
        </w:tc>
        <w:tc>
          <w:tcPr>
            <w:tcW w:w="5922" w:type="dxa"/>
            <w:tcBorders>
              <w:top w:val="nil"/>
              <w:left w:val="nil"/>
              <w:bottom w:val="nil"/>
              <w:right w:val="nil"/>
            </w:tcBorders>
            <w:tcMar>
              <w:top w:w="0" w:type="dxa"/>
              <w:left w:w="62" w:type="dxa"/>
              <w:bottom w:w="0" w:type="dxa"/>
              <w:right w:w="62" w:type="dxa"/>
            </w:tcMar>
          </w:tcPr>
          <w:p w:rsidR="00000000" w:rsidRPr="005B29C8" w:rsidP="005B29C8">
            <w:pPr>
              <w:pStyle w:val="ListBullet"/>
            </w:pPr>
            <w:r w:rsidRPr="005B29C8">
              <w:t>Instrument display systems</w:t>
            </w:r>
          </w:p>
          <w:p w:rsidR="00000000" w:rsidRPr="005B29C8" w:rsidP="005B29C8">
            <w:pPr>
              <w:pStyle w:val="ListBullet"/>
            </w:pPr>
            <w:r w:rsidRPr="005B29C8">
              <w:t>Automatic flight and engine control systems</w:t>
            </w:r>
          </w:p>
          <w:p w:rsidR="00000000" w:rsidRPr="005B29C8" w:rsidP="005B29C8">
            <w:pPr>
              <w:pStyle w:val="ListBullet"/>
            </w:pPr>
            <w:r w:rsidRPr="005B29C8">
              <w:t>Monitoring systems</w:t>
            </w:r>
          </w:p>
          <w:p w:rsidR="00000000" w:rsidRPr="005B29C8" w:rsidP="005B29C8">
            <w:pPr>
              <w:pStyle w:val="ListBullet"/>
            </w:pPr>
            <w:r w:rsidRPr="005B29C8">
              <w:t>Navigation and communication systems, including integration through flight management systems</w:t>
            </w:r>
          </w:p>
          <w:p w:rsidR="00000000" w:rsidRPr="005B29C8" w:rsidP="005B29C8">
            <w:pPr>
              <w:pStyle w:val="ListBullet"/>
            </w:pPr>
            <w:r w:rsidRPr="005B29C8">
              <w:t>In-flight entertainment systems</w:t>
            </w:r>
          </w:p>
          <w:p w:rsidR="00000000" w:rsidP="005B29C8">
            <w:pPr>
              <w:pStyle w:val="ListBullet"/>
              <w:rPr>
                <w:lang w:val="en-NZ"/>
              </w:rPr>
            </w:pPr>
            <w:r w:rsidRPr="005B29C8">
              <w:t>On-board maintenance systems</w:t>
            </w:r>
          </w:p>
        </w:tc>
      </w:tr>
      <w:tr w:rsidTr="005B29C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rPr>
                <w:rStyle w:val="SpecialBold"/>
              </w:rPr>
              <w:t>Context of engineering design activity includes:</w:t>
            </w:r>
          </w:p>
        </w:tc>
        <w:tc>
          <w:tcPr>
            <w:tcW w:w="5922" w:type="dxa"/>
            <w:tcBorders>
              <w:top w:val="nil"/>
              <w:left w:val="nil"/>
              <w:bottom w:val="nil"/>
              <w:right w:val="nil"/>
            </w:tcBorders>
            <w:tcMar>
              <w:top w:w="0" w:type="dxa"/>
              <w:left w:w="62" w:type="dxa"/>
              <w:bottom w:w="0" w:type="dxa"/>
              <w:right w:w="62" w:type="dxa"/>
            </w:tcMar>
          </w:tcPr>
          <w:p w:rsidR="00000000" w:rsidRPr="005B29C8" w:rsidP="005B29C8">
            <w:pPr>
              <w:pStyle w:val="ListBullet"/>
            </w:pPr>
            <w:r w:rsidRPr="005B29C8">
              <w:t>Competitive market</w:t>
            </w:r>
          </w:p>
          <w:p w:rsidR="00000000" w:rsidRPr="005B29C8" w:rsidP="005B29C8">
            <w:pPr>
              <w:pStyle w:val="ListBullet"/>
            </w:pPr>
            <w:r w:rsidRPr="005B29C8">
              <w:t>Geo political factors, such as access to materials and markets</w:t>
            </w:r>
          </w:p>
          <w:p w:rsidR="00000000" w:rsidRPr="005B29C8" w:rsidP="005B29C8">
            <w:pPr>
              <w:pStyle w:val="ListBullet"/>
            </w:pPr>
            <w:r w:rsidRPr="005B29C8">
              <w:t>Technological advantage/disadvantage</w:t>
            </w:r>
          </w:p>
          <w:p w:rsidR="00000000" w:rsidRPr="005B29C8" w:rsidP="005B29C8">
            <w:pPr>
              <w:pStyle w:val="ListBullet"/>
            </w:pPr>
            <w:r w:rsidRPr="005B29C8">
              <w:t>Resources supply: materials, labour and skills</w:t>
            </w:r>
          </w:p>
          <w:p w:rsidR="00000000" w:rsidRPr="005B29C8" w:rsidP="005B29C8">
            <w:pPr>
              <w:pStyle w:val="ListBullet"/>
            </w:pPr>
            <w:r w:rsidRPr="005B29C8">
              <w:t>Sustainability issues relevant to design task, including:</w:t>
            </w:r>
          </w:p>
          <w:p w:rsidR="00000000" w:rsidRPr="005B29C8" w:rsidP="005B29C8">
            <w:pPr>
              <w:pStyle w:val="ListBullet2"/>
            </w:pPr>
            <w:r w:rsidRPr="005B29C8">
              <w:t>social, economic and environmental considerations</w:t>
            </w:r>
          </w:p>
          <w:p w:rsidR="00000000" w:rsidRPr="005B29C8" w:rsidP="005B29C8">
            <w:pPr>
              <w:pStyle w:val="ListBullet2"/>
            </w:pPr>
            <w:r w:rsidRPr="005B29C8">
              <w:t>material and energy resources</w:t>
            </w:r>
          </w:p>
          <w:p w:rsidR="00000000" w:rsidP="005B29C8">
            <w:pPr>
              <w:pStyle w:val="ListBullet"/>
              <w:rPr>
                <w:lang w:val="en-NZ"/>
              </w:rPr>
            </w:pPr>
            <w:r w:rsidRPr="005B29C8">
              <w:t>WHS, risk, applicable standards and code requirements</w:t>
            </w:r>
          </w:p>
        </w:tc>
      </w:tr>
      <w:tr w:rsidTr="005B29C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rPr>
                <w:rStyle w:val="SpecialBold"/>
              </w:rPr>
              <w:t>Planning processes include:</w:t>
            </w:r>
          </w:p>
        </w:tc>
        <w:tc>
          <w:tcPr>
            <w:tcW w:w="5922" w:type="dxa"/>
            <w:tcBorders>
              <w:top w:val="nil"/>
              <w:left w:val="nil"/>
              <w:bottom w:val="nil"/>
              <w:right w:val="nil"/>
            </w:tcBorders>
            <w:tcMar>
              <w:top w:w="0" w:type="dxa"/>
              <w:left w:w="62" w:type="dxa"/>
              <w:bottom w:w="0" w:type="dxa"/>
              <w:right w:w="62" w:type="dxa"/>
            </w:tcMar>
          </w:tcPr>
          <w:p w:rsidR="00000000" w:rsidRPr="005B29C8" w:rsidP="005B29C8">
            <w:pPr>
              <w:pStyle w:val="ListBullet"/>
            </w:pPr>
            <w:r w:rsidRPr="005B29C8">
              <w:t>Establishing design parameters and design criteria</w:t>
            </w:r>
          </w:p>
          <w:p w:rsidR="00000000" w:rsidRPr="005B29C8" w:rsidP="005B29C8">
            <w:pPr>
              <w:pStyle w:val="ListBullet"/>
            </w:pPr>
            <w:r w:rsidRPr="005B29C8">
              <w:t>Contributing to the negotiation and advice process</w:t>
            </w:r>
          </w:p>
          <w:p w:rsidR="00000000" w:rsidRPr="005B29C8" w:rsidP="005B29C8">
            <w:pPr>
              <w:pStyle w:val="ListBullet"/>
            </w:pPr>
            <w:r w:rsidRPr="005B29C8">
              <w:t>Preliminary planning, design investigations and costing</w:t>
            </w:r>
          </w:p>
          <w:p w:rsidR="00000000" w:rsidRPr="005B29C8" w:rsidP="005B29C8">
            <w:pPr>
              <w:pStyle w:val="ListBullet"/>
            </w:pPr>
            <w:r w:rsidRPr="005B29C8">
              <w:t>Identifying design, development, prototyping activities and skills requirements</w:t>
            </w:r>
          </w:p>
          <w:p w:rsidR="00000000" w:rsidRPr="005B29C8" w:rsidP="005B29C8">
            <w:pPr>
              <w:pStyle w:val="ListBullet"/>
            </w:pPr>
            <w:r w:rsidRPr="005B29C8">
              <w:t>Planning and scheduling design activities</w:t>
            </w:r>
          </w:p>
          <w:p w:rsidR="00000000" w:rsidP="005B29C8">
            <w:pPr>
              <w:pStyle w:val="ListBullet"/>
              <w:rPr>
                <w:lang w:val="en-NZ"/>
              </w:rPr>
            </w:pPr>
            <w:r w:rsidRPr="005B29C8">
              <w:t xml:space="preserve">Improving, adjusting, rescheduling as required by emergency contingencies and </w:t>
            </w:r>
            <w:r w:rsidRPr="005B29C8">
              <w:t>constraints</w:t>
            </w:r>
          </w:p>
        </w:tc>
      </w:tr>
      <w:tr w:rsidTr="005B29C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rPr>
                <w:rStyle w:val="SpecialBold"/>
              </w:rPr>
              <w:t>Design process includes:</w:t>
            </w:r>
          </w:p>
        </w:tc>
        <w:tc>
          <w:tcPr>
            <w:tcW w:w="5922" w:type="dxa"/>
            <w:tcBorders>
              <w:top w:val="nil"/>
              <w:left w:val="nil"/>
              <w:bottom w:val="nil"/>
              <w:right w:val="nil"/>
            </w:tcBorders>
            <w:tcMar>
              <w:top w:w="0" w:type="dxa"/>
              <w:left w:w="62" w:type="dxa"/>
              <w:bottom w:w="0" w:type="dxa"/>
              <w:right w:w="62" w:type="dxa"/>
            </w:tcMar>
          </w:tcPr>
          <w:p w:rsidR="00000000" w:rsidRPr="005B29C8" w:rsidP="005B29C8">
            <w:pPr>
              <w:pStyle w:val="ListBullet"/>
            </w:pPr>
            <w:r w:rsidRPr="005B29C8">
              <w:t>Establishing design parameters and criteria</w:t>
            </w:r>
          </w:p>
          <w:p w:rsidR="00000000" w:rsidRPr="005B29C8" w:rsidP="005B29C8">
            <w:pPr>
              <w:pStyle w:val="ListBullet"/>
            </w:pPr>
            <w:r w:rsidRPr="005B29C8">
              <w:t>Researching, measuring, experimenting and investigating</w:t>
            </w:r>
          </w:p>
          <w:p w:rsidR="00000000" w:rsidRPr="005B29C8" w:rsidP="005B29C8">
            <w:pPr>
              <w:pStyle w:val="ListBullet"/>
            </w:pPr>
            <w:r w:rsidRPr="005B29C8">
              <w:t>Generating ideas</w:t>
            </w:r>
          </w:p>
          <w:p w:rsidR="00000000" w:rsidRPr="005B29C8" w:rsidP="005B29C8">
            <w:pPr>
              <w:pStyle w:val="ListBullet"/>
            </w:pPr>
            <w:r w:rsidRPr="005B29C8">
              <w:t>Synthesis, problem solving, decision making and addressing constraints</w:t>
            </w:r>
          </w:p>
          <w:p w:rsidR="00000000" w:rsidRPr="005B29C8" w:rsidP="005B29C8">
            <w:pPr>
              <w:pStyle w:val="ListBullet"/>
            </w:pPr>
            <w:r w:rsidRPr="005B29C8">
              <w:t>Applying scientific principle</w:t>
            </w:r>
            <w:r w:rsidRPr="005B29C8">
              <w:t>s, calculation and graphics, prototyping and mock-up techniques</w:t>
            </w:r>
          </w:p>
          <w:p w:rsidR="00000000" w:rsidRPr="005B29C8" w:rsidP="005B29C8">
            <w:pPr>
              <w:pStyle w:val="ListBullet"/>
            </w:pPr>
            <w:r w:rsidRPr="005B29C8">
              <w:t>Evaluating solutions against design criteria</w:t>
            </w:r>
          </w:p>
          <w:p w:rsidR="00000000" w:rsidRPr="005B29C8" w:rsidP="005B29C8">
            <w:pPr>
              <w:pStyle w:val="ListBullet"/>
            </w:pPr>
            <w:r w:rsidRPr="005B29C8">
              <w:t>Consultation, adjustments and agreement</w:t>
            </w:r>
          </w:p>
          <w:p w:rsidR="00000000" w:rsidP="005B29C8">
            <w:pPr>
              <w:pStyle w:val="ListBullet"/>
              <w:rPr>
                <w:lang w:val="en-NZ"/>
              </w:rPr>
            </w:pPr>
            <w:r w:rsidRPr="005B29C8">
              <w:t>Finalising design and sign-off</w:t>
            </w:r>
          </w:p>
        </w:tc>
      </w:tr>
      <w:tr w:rsidTr="005B29C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rPr>
                <w:rStyle w:val="SpecialBold"/>
              </w:rPr>
              <w:t>Design criteria includes:</w:t>
            </w:r>
          </w:p>
        </w:tc>
        <w:tc>
          <w:tcPr>
            <w:tcW w:w="5922" w:type="dxa"/>
            <w:tcBorders>
              <w:top w:val="nil"/>
              <w:left w:val="nil"/>
              <w:bottom w:val="nil"/>
              <w:right w:val="nil"/>
            </w:tcBorders>
            <w:tcMar>
              <w:top w:w="0" w:type="dxa"/>
              <w:left w:w="62" w:type="dxa"/>
              <w:bottom w:w="0" w:type="dxa"/>
              <w:right w:w="62" w:type="dxa"/>
            </w:tcMar>
          </w:tcPr>
          <w:p w:rsidR="00000000" w:rsidRPr="005B29C8" w:rsidP="005B29C8">
            <w:pPr>
              <w:pStyle w:val="ListBullet"/>
            </w:pPr>
            <w:r w:rsidRPr="005B29C8">
              <w:t>Performance specifications</w:t>
            </w:r>
          </w:p>
          <w:p w:rsidR="00000000" w:rsidRPr="005B29C8" w:rsidP="005B29C8">
            <w:pPr>
              <w:pStyle w:val="ListBullet"/>
            </w:pPr>
            <w:r w:rsidRPr="005B29C8">
              <w:t>Function</w:t>
            </w:r>
          </w:p>
          <w:p w:rsidR="00000000" w:rsidRPr="005B29C8" w:rsidP="005B29C8">
            <w:pPr>
              <w:pStyle w:val="ListBullet"/>
            </w:pPr>
            <w:r w:rsidRPr="005B29C8">
              <w:t>Aesthetics</w:t>
            </w:r>
          </w:p>
          <w:p w:rsidR="00000000" w:rsidRPr="005B29C8" w:rsidP="005B29C8">
            <w:pPr>
              <w:pStyle w:val="ListBullet"/>
            </w:pPr>
            <w:r w:rsidRPr="005B29C8">
              <w:t>Manufacturability and maintainability</w:t>
            </w:r>
          </w:p>
          <w:p w:rsidR="00000000" w:rsidRPr="005B29C8" w:rsidP="005B29C8">
            <w:pPr>
              <w:pStyle w:val="ListBullet"/>
            </w:pPr>
            <w:r w:rsidRPr="005B29C8">
              <w:t>Marketability</w:t>
            </w:r>
          </w:p>
          <w:p w:rsidR="00000000" w:rsidRPr="005B29C8" w:rsidP="005B29C8">
            <w:pPr>
              <w:pStyle w:val="ListBullet"/>
            </w:pPr>
            <w:r w:rsidRPr="005B29C8">
              <w:t>Sustainability:</w:t>
            </w:r>
          </w:p>
          <w:p w:rsidR="00000000" w:rsidRPr="005B29C8" w:rsidP="005B29C8">
            <w:pPr>
              <w:pStyle w:val="ListBullet2"/>
            </w:pPr>
            <w:r w:rsidRPr="005B29C8">
              <w:t>social, economic and environmental</w:t>
            </w:r>
          </w:p>
          <w:p w:rsidR="00000000" w:rsidRPr="005B29C8" w:rsidP="005B29C8">
            <w:pPr>
              <w:pStyle w:val="ListBullet2"/>
            </w:pPr>
            <w:r w:rsidRPr="005B29C8">
              <w:t>material and energy resources</w:t>
            </w:r>
          </w:p>
          <w:p w:rsidR="00000000" w:rsidRPr="005B29C8" w:rsidP="005B29C8">
            <w:pPr>
              <w:pStyle w:val="ListBullet"/>
            </w:pPr>
            <w:r w:rsidRPr="005B29C8">
              <w:t>Cost constraints</w:t>
            </w:r>
          </w:p>
          <w:p w:rsidR="00000000" w:rsidRPr="005B29C8" w:rsidP="005B29C8">
            <w:pPr>
              <w:pStyle w:val="ListBullet"/>
            </w:pPr>
            <w:r w:rsidRPr="005B29C8">
              <w:t>Ergonomics and anthropometrics and physiology</w:t>
            </w:r>
          </w:p>
          <w:p w:rsidR="00000000" w:rsidRPr="005B29C8" w:rsidP="005B29C8">
            <w:pPr>
              <w:pStyle w:val="ListBullet"/>
            </w:pPr>
            <w:r w:rsidRPr="005B29C8">
              <w:t>Facilities, plant and skills available</w:t>
            </w:r>
          </w:p>
          <w:p w:rsidR="00000000" w:rsidP="005B29C8">
            <w:pPr>
              <w:pStyle w:val="ListBullet"/>
              <w:rPr>
                <w:lang w:val="en-NZ"/>
              </w:rPr>
            </w:pPr>
            <w:r w:rsidRPr="005B29C8">
              <w:t>Safety and risk</w:t>
            </w:r>
          </w:p>
        </w:tc>
      </w:tr>
      <w:tr w:rsidTr="005B29C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rPr>
                <w:rStyle w:val="SpecialBold"/>
              </w:rPr>
              <w:t>Design analysis includes:</w:t>
            </w:r>
          </w:p>
        </w:tc>
        <w:tc>
          <w:tcPr>
            <w:tcW w:w="5922" w:type="dxa"/>
            <w:tcBorders>
              <w:top w:val="nil"/>
              <w:left w:val="nil"/>
              <w:bottom w:val="nil"/>
              <w:right w:val="nil"/>
            </w:tcBorders>
            <w:tcMar>
              <w:top w:w="0" w:type="dxa"/>
              <w:left w:w="62" w:type="dxa"/>
              <w:bottom w:w="0" w:type="dxa"/>
              <w:right w:w="62" w:type="dxa"/>
            </w:tcMar>
          </w:tcPr>
          <w:p w:rsidR="00000000" w:rsidP="005B29C8">
            <w:pPr>
              <w:pStyle w:val="ListBullet"/>
              <w:rPr>
                <w:lang w:val="en-NZ"/>
              </w:rPr>
            </w:pPr>
            <w:r w:rsidRPr="005B29C8">
              <w:t>Graphical and mathematical methods and software options associated with mechanical, electrical and electronic aspects of avionic digital systems</w:t>
            </w:r>
          </w:p>
        </w:tc>
      </w:tr>
      <w:tr w:rsidTr="005B29C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rPr>
                <w:rStyle w:val="SpecialBold"/>
              </w:rPr>
              <w:t>Sustainability considerations include:</w:t>
            </w:r>
          </w:p>
        </w:tc>
        <w:tc>
          <w:tcPr>
            <w:tcW w:w="5922" w:type="dxa"/>
            <w:tcBorders>
              <w:top w:val="nil"/>
              <w:left w:val="nil"/>
              <w:bottom w:val="nil"/>
              <w:right w:val="nil"/>
            </w:tcBorders>
            <w:tcMar>
              <w:top w:w="0" w:type="dxa"/>
              <w:left w:w="62" w:type="dxa"/>
              <w:bottom w:w="0" w:type="dxa"/>
              <w:right w:w="62" w:type="dxa"/>
            </w:tcMar>
          </w:tcPr>
          <w:p w:rsidR="00000000" w:rsidRPr="005B29C8" w:rsidP="005B29C8">
            <w:pPr>
              <w:pStyle w:val="ListBullet"/>
            </w:pPr>
            <w:r w:rsidRPr="005B29C8">
              <w:t>Resources and energy required for design:</w:t>
            </w:r>
          </w:p>
          <w:p w:rsidR="00000000" w:rsidRPr="005B29C8" w:rsidP="005B29C8">
            <w:pPr>
              <w:pStyle w:val="ListBullet"/>
            </w:pPr>
            <w:r w:rsidRPr="005B29C8">
              <w:t>Life-cycle design of product (manufacture to remanufacture or recycle)</w:t>
            </w:r>
          </w:p>
          <w:p w:rsidR="00000000" w:rsidRPr="005B29C8" w:rsidP="005B29C8">
            <w:pPr>
              <w:pStyle w:val="ListBullet"/>
            </w:pPr>
            <w:r w:rsidRPr="005B29C8">
              <w:t>Environmental considerations in manufacturing and operation of design:</w:t>
            </w:r>
          </w:p>
          <w:p w:rsidR="00000000" w:rsidRPr="005B29C8" w:rsidP="005B29C8">
            <w:pPr>
              <w:pStyle w:val="ListBullet2"/>
            </w:pPr>
            <w:r w:rsidRPr="005B29C8">
              <w:t>raw material, solids and hazardous waste, and production by-products</w:t>
            </w:r>
          </w:p>
          <w:p w:rsidR="00000000" w:rsidRPr="005B29C8" w:rsidP="005B29C8">
            <w:pPr>
              <w:pStyle w:val="ListBullet2"/>
            </w:pPr>
            <w:r w:rsidRPr="005B29C8">
              <w:t>potential contamination of land, air and sto</w:t>
            </w:r>
            <w:r w:rsidRPr="005B29C8">
              <w:t>rmwater pollutants, and discharge to sewerage</w:t>
            </w:r>
          </w:p>
          <w:p w:rsidR="00000000" w:rsidP="005B29C8">
            <w:pPr>
              <w:pStyle w:val="ListBullet2"/>
              <w:rPr>
                <w:lang w:val="en-NZ"/>
              </w:rPr>
            </w:pPr>
            <w:r w:rsidRPr="005B29C8">
              <w:t>carbon pollution and reduction effects</w:t>
            </w:r>
          </w:p>
        </w:tc>
      </w:tr>
      <w:tr w:rsidTr="005B29C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rPr>
                <w:rStyle w:val="SpecialBold"/>
              </w:rPr>
              <w:t>Configuration management (CM)</w:t>
            </w:r>
          </w:p>
        </w:tc>
        <w:tc>
          <w:tcPr>
            <w:tcW w:w="5922" w:type="dxa"/>
            <w:tcBorders>
              <w:top w:val="nil"/>
              <w:left w:val="nil"/>
              <w:bottom w:val="nil"/>
              <w:right w:val="nil"/>
            </w:tcBorders>
            <w:tcMar>
              <w:top w:w="0" w:type="dxa"/>
              <w:left w:w="62" w:type="dxa"/>
              <w:bottom w:w="0" w:type="dxa"/>
              <w:right w:w="62" w:type="dxa"/>
            </w:tcMar>
          </w:tcPr>
          <w:p w:rsidR="00000000" w:rsidP="005B29C8">
            <w:pPr>
              <w:pStyle w:val="ListBullet"/>
              <w:rPr>
                <w:lang w:val="en-NZ"/>
              </w:rPr>
            </w:pPr>
            <w:r w:rsidRPr="005B29C8">
              <w:t xml:space="preserve">CM is a process for control and documentation of the design and development process </w:t>
            </w:r>
            <w:r w:rsidRPr="005B29C8">
              <w:t>and for the management of system, component and software throughout the service life</w:t>
            </w:r>
          </w:p>
        </w:tc>
      </w:tr>
      <w:tr w:rsidTr="005B29C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rPr>
                <w:rStyle w:val="SpecialBold"/>
              </w:rPr>
              <w:t>Integrated logistic support (ILS)</w:t>
            </w:r>
          </w:p>
        </w:tc>
        <w:tc>
          <w:tcPr>
            <w:tcW w:w="5922" w:type="dxa"/>
            <w:tcBorders>
              <w:top w:val="nil"/>
              <w:left w:val="nil"/>
              <w:bottom w:val="nil"/>
              <w:right w:val="nil"/>
            </w:tcBorders>
            <w:tcMar>
              <w:top w:w="0" w:type="dxa"/>
              <w:left w:w="62" w:type="dxa"/>
              <w:bottom w:w="0" w:type="dxa"/>
              <w:right w:w="62" w:type="dxa"/>
            </w:tcMar>
          </w:tcPr>
          <w:p w:rsidR="00000000" w:rsidRPr="005B29C8" w:rsidP="005B29C8">
            <w:pPr>
              <w:pStyle w:val="ListBullet"/>
            </w:pPr>
            <w:r w:rsidRPr="005B29C8">
              <w:t>ILS is an integrated approach to the management of logistic disciplines originally developed for the management of military systems fro</w:t>
            </w:r>
            <w:r w:rsidRPr="005B29C8">
              <w:t>m design concept to final disposal at life-of-type. It covers:</w:t>
            </w:r>
          </w:p>
          <w:p w:rsidR="00000000" w:rsidRPr="005B29C8" w:rsidP="005B29C8">
            <w:pPr>
              <w:pStyle w:val="ListBullet2"/>
            </w:pPr>
            <w:r w:rsidRPr="005B29C8">
              <w:t>reliability engineering, maintainability engineering and maintenance planning</w:t>
            </w:r>
          </w:p>
          <w:p w:rsidR="00000000" w:rsidRPr="005B29C8" w:rsidP="005B29C8">
            <w:pPr>
              <w:pStyle w:val="ListBullet2"/>
            </w:pPr>
            <w:r w:rsidRPr="005B29C8">
              <w:t>supply and support</w:t>
            </w:r>
          </w:p>
          <w:p w:rsidR="00000000" w:rsidRPr="005B29C8" w:rsidP="005B29C8">
            <w:pPr>
              <w:pStyle w:val="ListBullet2"/>
            </w:pPr>
            <w:r w:rsidRPr="005B29C8">
              <w:t>support and test equipment</w:t>
            </w:r>
          </w:p>
          <w:p w:rsidR="00000000" w:rsidRPr="005B29C8" w:rsidP="005B29C8">
            <w:pPr>
              <w:pStyle w:val="ListBullet2"/>
            </w:pPr>
            <w:r w:rsidRPr="005B29C8">
              <w:t>manpower and personnel</w:t>
            </w:r>
          </w:p>
          <w:p w:rsidR="00000000" w:rsidRPr="005B29C8" w:rsidP="005B29C8">
            <w:pPr>
              <w:pStyle w:val="ListBullet2"/>
            </w:pPr>
            <w:r w:rsidRPr="005B29C8">
              <w:t>training and training support</w:t>
            </w:r>
          </w:p>
          <w:p w:rsidR="00000000" w:rsidRPr="005B29C8" w:rsidP="005B29C8">
            <w:pPr>
              <w:pStyle w:val="ListBullet2"/>
            </w:pPr>
            <w:r w:rsidRPr="005B29C8">
              <w:t>technical data and publications</w:t>
            </w:r>
          </w:p>
          <w:p w:rsidR="00000000" w:rsidRPr="005B29C8" w:rsidP="005B29C8">
            <w:pPr>
              <w:pStyle w:val="ListBullet2"/>
            </w:pPr>
            <w:r w:rsidRPr="005B29C8">
              <w:t>computer resources support</w:t>
            </w:r>
          </w:p>
          <w:p w:rsidR="00000000" w:rsidRPr="005B29C8" w:rsidP="005B29C8">
            <w:pPr>
              <w:pStyle w:val="ListBullet2"/>
            </w:pPr>
            <w:r w:rsidRPr="005B29C8">
              <w:t>facilities</w:t>
            </w:r>
          </w:p>
          <w:p w:rsidR="00000000" w:rsidRPr="005B29C8" w:rsidP="005B29C8">
            <w:pPr>
              <w:pStyle w:val="ListBullet2"/>
            </w:pPr>
            <w:r w:rsidRPr="005B29C8">
              <w:t>packaging, handling, storage and transportation</w:t>
            </w:r>
          </w:p>
          <w:p w:rsidR="00000000" w:rsidP="005B29C8">
            <w:pPr>
              <w:pStyle w:val="ListBullet2"/>
              <w:rPr>
                <w:lang w:val="en-NZ"/>
              </w:rPr>
            </w:pPr>
            <w:r w:rsidRPr="005B29C8">
              <w:t>design interface</w:t>
            </w:r>
          </w:p>
        </w:tc>
      </w:tr>
      <w:tr w:rsidTr="005B29C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rPr>
                <w:rStyle w:val="SpecialBold"/>
              </w:rPr>
              <w:t>Prototyping includes:</w:t>
            </w:r>
          </w:p>
        </w:tc>
        <w:tc>
          <w:tcPr>
            <w:tcW w:w="5922" w:type="dxa"/>
            <w:tcBorders>
              <w:top w:val="nil"/>
              <w:left w:val="nil"/>
              <w:bottom w:val="nil"/>
              <w:right w:val="nil"/>
            </w:tcBorders>
            <w:tcMar>
              <w:top w:w="0" w:type="dxa"/>
              <w:left w:w="62" w:type="dxa"/>
              <w:bottom w:w="0" w:type="dxa"/>
              <w:right w:w="62" w:type="dxa"/>
            </w:tcMar>
          </w:tcPr>
          <w:p w:rsidR="00000000" w:rsidRPr="005B29C8" w:rsidP="005B29C8">
            <w:pPr>
              <w:pStyle w:val="ListBullet"/>
            </w:pPr>
            <w:r w:rsidRPr="005B29C8">
              <w:t>Any combination of:</w:t>
            </w:r>
          </w:p>
          <w:p w:rsidR="00000000" w:rsidRPr="005B29C8" w:rsidP="005B29C8">
            <w:pPr>
              <w:pStyle w:val="ListBullet2"/>
            </w:pPr>
            <w:r w:rsidRPr="005B29C8">
              <w:t>mock-ups</w:t>
            </w:r>
          </w:p>
          <w:p w:rsidR="00000000" w:rsidP="005B29C8">
            <w:pPr>
              <w:pStyle w:val="ListBullet2"/>
              <w:rPr>
                <w:lang w:val="en-NZ"/>
              </w:rPr>
            </w:pPr>
            <w:r w:rsidRPr="005B29C8">
              <w:t>physical an</w:t>
            </w:r>
            <w:r w:rsidRPr="005B29C8">
              <w:t>d virtual modelling with post-processing for computer-numerically controlled (CNC) and rapid prototyping</w:t>
            </w:r>
          </w:p>
        </w:tc>
      </w:tr>
      <w:tr w:rsidTr="005B29C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rPr>
                <w:rStyle w:val="SpecialBold"/>
              </w:rPr>
              <w:t>Appropriate technical and professional assistance includes:</w:t>
            </w:r>
          </w:p>
        </w:tc>
        <w:tc>
          <w:tcPr>
            <w:tcW w:w="5922" w:type="dxa"/>
            <w:tcBorders>
              <w:top w:val="nil"/>
              <w:left w:val="nil"/>
              <w:bottom w:val="nil"/>
              <w:right w:val="nil"/>
            </w:tcBorders>
            <w:tcMar>
              <w:top w:w="0" w:type="dxa"/>
              <w:left w:w="62" w:type="dxa"/>
              <w:bottom w:w="0" w:type="dxa"/>
              <w:right w:w="62" w:type="dxa"/>
            </w:tcMar>
          </w:tcPr>
          <w:p w:rsidR="00000000" w:rsidRPr="005B29C8" w:rsidP="005B29C8">
            <w:pPr>
              <w:pStyle w:val="ListBullet"/>
            </w:pPr>
            <w:r w:rsidRPr="005B29C8">
              <w:t>Assistance from individuals with CASA maintenance certification licences or those with su</w:t>
            </w:r>
            <w:r w:rsidRPr="005B29C8">
              <w:t>pervisory authorisations in the ADF regulatory system</w:t>
            </w:r>
          </w:p>
          <w:p w:rsidR="00000000" w:rsidRPr="005B29C8" w:rsidP="005B29C8">
            <w:pPr>
              <w:pStyle w:val="ListBullet"/>
            </w:pPr>
            <w:r w:rsidRPr="005B29C8">
              <w:t>Professional support from engineers employed within:</w:t>
            </w:r>
          </w:p>
          <w:p w:rsidR="00000000" w:rsidRPr="005B29C8" w:rsidP="005B29C8">
            <w:pPr>
              <w:pStyle w:val="ListBullet2"/>
            </w:pPr>
            <w:r w:rsidRPr="005B29C8">
              <w:t>organisations with CASA continuing airworthiness management or maintenance approvals</w:t>
            </w:r>
          </w:p>
          <w:p w:rsidR="00000000" w:rsidRPr="005B29C8" w:rsidP="005B29C8">
            <w:pPr>
              <w:pStyle w:val="ListBullet2"/>
            </w:pPr>
            <w:r w:rsidRPr="005B29C8">
              <w:t>approved engineering organisations under the ADF regulatory sys</w:t>
            </w:r>
            <w:r w:rsidRPr="005B29C8">
              <w:t>tem</w:t>
            </w:r>
          </w:p>
          <w:p w:rsidR="00000000" w:rsidP="005B29C8">
            <w:pPr>
              <w:pStyle w:val="ListBullet"/>
              <w:rPr>
                <w:lang w:val="en-NZ"/>
              </w:rPr>
            </w:pPr>
            <w:r w:rsidRPr="005B29C8">
              <w:t>Engineers employed within organisations recognised by overseas airworthiness organisations</w:t>
            </w:r>
          </w:p>
        </w:tc>
      </w:tr>
      <w:tr w:rsidTr="005B29C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5B29C8" w:rsidP="005B29C8">
            <w:pPr>
              <w:pStyle w:val="BodyText"/>
            </w:pPr>
            <w:r w:rsidRPr="005B29C8">
              <w:rPr>
                <w:rStyle w:val="SpecialBold"/>
              </w:rPr>
              <w:t>WHS, regulatory requirements and enterprise procedures include:</w:t>
            </w:r>
          </w:p>
          <w:p w:rsidR="00000000" w:rsidP="005B29C8">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5B29C8" w:rsidP="005B29C8">
            <w:pPr>
              <w:pStyle w:val="ListBullet"/>
            </w:pPr>
            <w:r w:rsidRPr="005B29C8">
              <w:t>WHS Acts and regulations</w:t>
            </w:r>
          </w:p>
          <w:p w:rsidR="00000000" w:rsidRPr="005B29C8" w:rsidP="005B29C8">
            <w:pPr>
              <w:pStyle w:val="ListBullet"/>
            </w:pPr>
            <w:r w:rsidRPr="005B29C8">
              <w:t>Relevant standards</w:t>
            </w:r>
          </w:p>
          <w:p w:rsidR="00000000" w:rsidRPr="005B29C8" w:rsidP="005B29C8">
            <w:pPr>
              <w:pStyle w:val="ListBullet"/>
            </w:pPr>
            <w:r w:rsidRPr="005B29C8">
              <w:t>Industry codes of practice</w:t>
            </w:r>
          </w:p>
          <w:p w:rsidR="00000000" w:rsidRPr="005B29C8" w:rsidP="005B29C8">
            <w:pPr>
              <w:pStyle w:val="ListBullet"/>
            </w:pPr>
            <w:r w:rsidRPr="005B29C8">
              <w:t>Risk assessments</w:t>
            </w:r>
          </w:p>
          <w:p w:rsidR="00000000" w:rsidRPr="005B29C8" w:rsidP="005B29C8">
            <w:pPr>
              <w:pStyle w:val="ListBullet"/>
            </w:pPr>
            <w:r w:rsidRPr="005B29C8">
              <w:t xml:space="preserve">Registration requirements </w:t>
            </w:r>
          </w:p>
          <w:p w:rsidR="00000000" w:rsidRPr="005B29C8" w:rsidP="005B29C8">
            <w:pPr>
              <w:pStyle w:val="ListBullet"/>
            </w:pPr>
            <w:r w:rsidRPr="005B29C8">
              <w:t>Safe work practices</w:t>
            </w:r>
          </w:p>
          <w:p w:rsidR="00000000" w:rsidRPr="005B29C8" w:rsidP="005B29C8">
            <w:pPr>
              <w:pStyle w:val="ListBullet"/>
            </w:pPr>
            <w:r w:rsidRPr="005B29C8">
              <w:t>State and territory regulatory requirements applying to electrical work</w:t>
            </w:r>
          </w:p>
          <w:p w:rsidR="00000000" w:rsidRPr="005B29C8" w:rsidP="005B29C8">
            <w:pPr>
              <w:pStyle w:val="ListBullet"/>
            </w:pPr>
            <w:r w:rsidRPr="005B29C8">
              <w:t>Civil Aviation Safety Regulations (CASRs)</w:t>
            </w:r>
          </w:p>
          <w:p w:rsidR="00000000" w:rsidRPr="005B29C8" w:rsidP="005B29C8">
            <w:pPr>
              <w:pStyle w:val="ListBullet"/>
            </w:pPr>
            <w:r w:rsidRPr="005B29C8">
              <w:t>AAP7001.053 ADF Technical Airworthiness Management Manual</w:t>
            </w:r>
          </w:p>
          <w:p w:rsidR="00000000" w:rsidP="005B29C8">
            <w:pPr>
              <w:pStyle w:val="ListBullet"/>
              <w:rPr>
                <w:lang w:val="en-NZ"/>
              </w:rPr>
            </w:pPr>
            <w:r w:rsidRPr="005B29C8">
              <w:t>Overseas airworthiness authorities, w</w:t>
            </w:r>
            <w:r w:rsidRPr="005B29C8">
              <w:t>here applicable, e.g. Federal Aviation Administration, Transport Canada, European Aviation Safety Agency</w:t>
            </w:r>
          </w:p>
        </w:tc>
      </w:tr>
      <w:tr w:rsidTr="005B29C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5B29C8" w:rsidP="005B29C8">
            <w:pPr>
              <w:pStyle w:val="BodyText"/>
            </w:pPr>
            <w:r w:rsidRPr="005B29C8">
              <w:rPr>
                <w:rStyle w:val="SpecialBold"/>
              </w:rPr>
              <w:t>Relevant standards include:</w:t>
            </w:r>
          </w:p>
          <w:p w:rsidR="00000000" w:rsidP="005B29C8">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5B29C8" w:rsidP="005B29C8">
            <w:pPr>
              <w:pStyle w:val="ListBullet"/>
            </w:pPr>
            <w:r w:rsidRPr="005B29C8">
              <w:t>AS 1100.101-1992 Technical drawing – General principles</w:t>
            </w:r>
          </w:p>
          <w:p w:rsidR="00000000" w:rsidRPr="005B29C8" w:rsidP="005B29C8">
            <w:pPr>
              <w:pStyle w:val="ListBullet"/>
            </w:pPr>
            <w:r w:rsidRPr="005B29C8">
              <w:t>AS 1102.101-1989 Graphical symbols for electrotechnical document</w:t>
            </w:r>
            <w:r w:rsidRPr="005B29C8">
              <w:t>ation - General information and general index</w:t>
            </w:r>
          </w:p>
          <w:p w:rsidR="00000000" w:rsidRPr="005B29C8" w:rsidP="005B29C8">
            <w:pPr>
              <w:pStyle w:val="ListBullet"/>
            </w:pPr>
            <w:r w:rsidRPr="005B29C8">
              <w:t xml:space="preserve">AS/NZS ISO 31000 Set:2013 Risk Management Set </w:t>
            </w:r>
          </w:p>
          <w:p w:rsidR="00000000" w:rsidRPr="005B29C8" w:rsidP="005B29C8">
            <w:pPr>
              <w:pStyle w:val="ListBullet"/>
            </w:pPr>
            <w:r w:rsidRPr="005B29C8">
              <w:t>NOHSC:1014 National standard for the control of major hazard facilities</w:t>
            </w:r>
          </w:p>
          <w:p w:rsidR="00000000" w:rsidRPr="005B29C8" w:rsidP="005B29C8">
            <w:pPr>
              <w:pStyle w:val="ListBullet"/>
            </w:pPr>
            <w:r w:rsidRPr="005B29C8">
              <w:t>AS/NZS ISO 14000 Basic Set:2007 Environmental Management Basic Set</w:t>
            </w:r>
          </w:p>
          <w:p w:rsidR="00000000" w:rsidRPr="005B29C8" w:rsidP="005B29C8">
            <w:pPr>
              <w:pStyle w:val="ListBullet"/>
            </w:pPr>
            <w:r w:rsidRPr="005B29C8">
              <w:t>ISO 14040:2006 Environme</w:t>
            </w:r>
            <w:r w:rsidRPr="005B29C8">
              <w:t>ntal management – Life cycle assessment – Principles and framework.</w:t>
            </w:r>
          </w:p>
          <w:p w:rsidR="00000000" w:rsidRPr="005B29C8" w:rsidP="005B29C8">
            <w:pPr>
              <w:pStyle w:val="ListBullet"/>
            </w:pPr>
            <w:r w:rsidRPr="005B29C8">
              <w:t>AS 61508.1-2011 Functional safety of electrical/ electronic/ programmable electronic safety related systems – General requirements</w:t>
            </w:r>
          </w:p>
          <w:p w:rsidR="00000000" w:rsidRPr="005B29C8" w:rsidP="005B29C8">
            <w:pPr>
              <w:pStyle w:val="ListBullet"/>
            </w:pPr>
            <w:r w:rsidRPr="005B29C8">
              <w:t xml:space="preserve">AS 62061-2006 Safety of machinery - Functional safety of safety-related electrical, electronic and programmable electronic control systems </w:t>
            </w:r>
          </w:p>
          <w:p w:rsidR="00000000" w:rsidRPr="005B29C8" w:rsidP="005B29C8">
            <w:pPr>
              <w:pStyle w:val="ListBullet"/>
            </w:pPr>
            <w:r w:rsidRPr="005B29C8">
              <w:t xml:space="preserve">IEEE 802 Wireless PAN, LAN, MAN and WPAN standards </w:t>
            </w:r>
          </w:p>
          <w:p w:rsidR="00000000" w:rsidRPr="005B29C8" w:rsidP="005B29C8">
            <w:pPr>
              <w:pStyle w:val="ListBullet"/>
            </w:pPr>
            <w:r w:rsidRPr="005B29C8">
              <w:t>IEEE 1332, IEEE Standard reliability program for the development</w:t>
            </w:r>
            <w:r w:rsidRPr="005B29C8">
              <w:t xml:space="preserve"> of electronic systems and equipment</w:t>
            </w:r>
          </w:p>
          <w:p w:rsidR="00000000" w:rsidRPr="005B29C8" w:rsidP="005B29C8">
            <w:pPr>
              <w:pStyle w:val="ListBullet"/>
            </w:pPr>
            <w:r w:rsidRPr="005B29C8">
              <w:t>MIL-STD 785 Reliability program for systems and equipment development and production</w:t>
            </w:r>
          </w:p>
          <w:p w:rsidR="00000000" w:rsidRPr="005B29C8" w:rsidP="005B29C8">
            <w:pPr>
              <w:pStyle w:val="ListBullet"/>
            </w:pPr>
            <w:r w:rsidRPr="005B29C8">
              <w:t>MIL-STD 1388-1A Logistic Support Analysis (LSA)</w:t>
            </w:r>
          </w:p>
          <w:p w:rsidR="00000000" w:rsidRPr="005B29C8" w:rsidP="005B29C8">
            <w:pPr>
              <w:pStyle w:val="ListBullet"/>
            </w:pPr>
            <w:r w:rsidRPr="005B29C8">
              <w:t>MIL-STD 1388-2B Requirements for a LSA record</w:t>
            </w:r>
          </w:p>
          <w:p w:rsidR="00000000" w:rsidRPr="005B29C8" w:rsidP="005B29C8">
            <w:pPr>
              <w:pStyle w:val="ListBullet"/>
            </w:pPr>
            <w:r w:rsidRPr="005B29C8">
              <w:t xml:space="preserve">MIL-STD 1629A Procedures for performing </w:t>
            </w:r>
            <w:r w:rsidRPr="005B29C8">
              <w:t>a failure mode, effects and criticality analysis (FMECA)</w:t>
            </w:r>
          </w:p>
          <w:p w:rsidR="00000000" w:rsidRPr="005B29C8" w:rsidP="005B29C8">
            <w:pPr>
              <w:pStyle w:val="ListBullet"/>
            </w:pPr>
            <w:r w:rsidRPr="005B29C8">
              <w:t>MIL-STD 1629B FMECA</w:t>
            </w:r>
          </w:p>
          <w:p w:rsidR="00000000" w:rsidRPr="005B29C8" w:rsidP="005B29C8">
            <w:pPr>
              <w:pStyle w:val="ListBullet"/>
            </w:pPr>
            <w:r w:rsidRPr="005B29C8">
              <w:t>MIL-STD 2173 Reliability centred maintenance requirements (superseded by NAVAIR 00-25-403</w:t>
            </w:r>
          </w:p>
          <w:p w:rsidR="00000000" w:rsidP="005B29C8">
            <w:pPr>
              <w:pStyle w:val="ListBullet"/>
              <w:rPr>
                <w:lang w:val="en-NZ"/>
              </w:rPr>
            </w:pPr>
            <w:r w:rsidRPr="005B29C8">
              <w:t>OPNAVINST 4130.2A</w:t>
            </w:r>
          </w:p>
        </w:tc>
      </w:tr>
      <w:tr w:rsidTr="005B29C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B29C8">
            <w:pPr>
              <w:pStyle w:val="BodyText"/>
              <w:rPr>
                <w:lang w:val="en-NZ"/>
              </w:rPr>
            </w:pPr>
            <w:r w:rsidRPr="005B29C8">
              <w:rPr>
                <w:rStyle w:val="SpecialBold"/>
              </w:rPr>
              <w:t>Relevant handbooks include:</w:t>
            </w:r>
          </w:p>
        </w:tc>
        <w:tc>
          <w:tcPr>
            <w:tcW w:w="5922" w:type="dxa"/>
            <w:tcBorders>
              <w:top w:val="nil"/>
              <w:left w:val="nil"/>
              <w:bottom w:val="nil"/>
              <w:right w:val="nil"/>
            </w:tcBorders>
            <w:tcMar>
              <w:top w:w="0" w:type="dxa"/>
              <w:left w:w="62" w:type="dxa"/>
              <w:bottom w:w="0" w:type="dxa"/>
              <w:right w:w="62" w:type="dxa"/>
            </w:tcMar>
          </w:tcPr>
          <w:p w:rsidR="00000000" w:rsidRPr="005B29C8" w:rsidP="005B29C8">
            <w:pPr>
              <w:pStyle w:val="ListBullet"/>
            </w:pPr>
            <w:r w:rsidRPr="005B29C8">
              <w:t>Integrated Logistic Support Handbook, thi</w:t>
            </w:r>
            <w:r w:rsidRPr="005B29C8">
              <w:t>rd edition – James V Jones</w:t>
            </w:r>
          </w:p>
          <w:p w:rsidR="00000000" w:rsidRPr="005B29C8" w:rsidP="005B29C8">
            <w:pPr>
              <w:pStyle w:val="ListBullet"/>
            </w:pPr>
            <w:r w:rsidRPr="005B29C8">
              <w:t>MIL-HDBK-217 Reliability prediction of electronic equipment</w:t>
            </w:r>
          </w:p>
          <w:p w:rsidR="00000000" w:rsidRPr="005B29C8" w:rsidP="005B29C8">
            <w:pPr>
              <w:pStyle w:val="ListBullet"/>
            </w:pPr>
            <w:r w:rsidRPr="005B29C8">
              <w:t>MIL-HDBK-338B Electronic reliability design handbook</w:t>
            </w:r>
          </w:p>
          <w:p w:rsidR="00000000" w:rsidRPr="005B29C8" w:rsidP="005B29C8">
            <w:pPr>
              <w:pStyle w:val="ListBullet"/>
            </w:pPr>
            <w:r w:rsidRPr="005B29C8">
              <w:t>MIL-HDBK-781A Reliability test methods, plans and environments for engineering development, qualification and produc</w:t>
            </w:r>
            <w:r w:rsidRPr="005B29C8">
              <w:t>tion</w:t>
            </w:r>
          </w:p>
          <w:p w:rsidR="00000000" w:rsidRPr="005B29C8" w:rsidP="005B29C8">
            <w:pPr>
              <w:pStyle w:val="ListBullet"/>
            </w:pPr>
            <w:r w:rsidRPr="005B29C8">
              <w:t>NASA PRA Probabilistic risk assessment handbook</w:t>
            </w:r>
          </w:p>
          <w:p w:rsidR="00000000" w:rsidP="005B29C8">
            <w:pPr>
              <w:pStyle w:val="ListBullet"/>
              <w:rPr>
                <w:lang w:val="en-NZ"/>
              </w:rPr>
            </w:pPr>
            <w:r w:rsidRPr="005B29C8">
              <w:t>NASA Fault tree assessment handbook</w:t>
            </w:r>
          </w:p>
        </w:tc>
      </w:tr>
      <w:tr w:rsidTr="005B29C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5B29C8" w:rsidP="005B29C8">
            <w:pPr>
              <w:pStyle w:val="BodyText"/>
            </w:pPr>
            <w:r w:rsidRPr="005B29C8">
              <w:rPr>
                <w:rStyle w:val="SpecialBold"/>
              </w:rPr>
              <w:t>Systems thinking includes:</w:t>
            </w:r>
          </w:p>
          <w:p w:rsidR="00000000" w:rsidP="005B29C8">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5B29C8" w:rsidP="005B29C8">
            <w:pPr>
              <w:pStyle w:val="ListBullet"/>
            </w:pPr>
            <w:r w:rsidRPr="005B29C8">
              <w:t>The process of developing solutions within the context of an entire system</w:t>
            </w:r>
          </w:p>
          <w:p w:rsidR="00000000" w:rsidRPr="005B29C8" w:rsidP="005B29C8">
            <w:pPr>
              <w:pStyle w:val="ListBullet"/>
            </w:pPr>
            <w:r w:rsidRPr="005B29C8">
              <w:t>Recognising that an improvement in one subsystem can adversely affect another subsystem</w:t>
            </w:r>
          </w:p>
        </w:tc>
      </w:tr>
    </w:tbl>
    <w:p w:rsidR="00000000" w:rsidRPr="005B29C8" w:rsidP="005B29C8">
      <w:pPr>
        <w:pStyle w:val="BodyText"/>
      </w:pPr>
    </w:p>
    <w:p w:rsidR="00000000" w:rsidRPr="005B29C8" w:rsidP="005B29C8">
      <w:pPr>
        <w:pStyle w:val="AllowPageBreak"/>
      </w:pPr>
    </w:p>
    <w:p w:rsidR="00000000" w:rsidRPr="005B29C8" w:rsidP="005B29C8">
      <w:pPr>
        <w:pStyle w:val="Heading1"/>
      </w:pPr>
      <w:bookmarkStart w:id="9" w:name="O_724012"/>
      <w:bookmarkEnd w:id="9"/>
      <w:r w:rsidRPr="005B29C8">
        <w:t>Unit Mapping Information</w:t>
      </w:r>
    </w:p>
    <w:p w:rsidR="00000000" w:rsidRPr="005B29C8" w:rsidP="00827147">
      <w:pPr>
        <w:pStyle w:val="BodyText"/>
      </w:pPr>
      <w:r w:rsidRPr="005B29C8">
        <w:t>Release 1 – new unit based on MEM14066A Plan and design avionic engineering projects – units not equivalent</w:t>
      </w:r>
    </w:p>
    <w:p w:rsidR="00000000" w:rsidRPr="005B29C8" w:rsidP="005B29C8">
      <w:pPr>
        <w:pStyle w:val="Heading1"/>
      </w:pPr>
      <w:bookmarkStart w:id="10" w:name="O_724005"/>
      <w:bookmarkEnd w:id="10"/>
      <w:r w:rsidRPr="005B29C8">
        <w:t>Links</w:t>
      </w:r>
    </w:p>
    <w:p w:rsidR="00000000" w:rsidRPr="005B29C8" w:rsidP="00827147">
      <w:pPr>
        <w:pStyle w:val="BodyText"/>
      </w:pPr>
      <w:r w:rsidRPr="005B29C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B089F">
        <w:rPr>
          <w:rStyle w:val="Hyperlink"/>
        </w:rPr>
        <w:t>https://vetnet.gov.au/Pages/TrainingDocs.aspx?q=ce216c9c-04d5-4b3b-9bcf-4e81d0950371</w:t>
      </w:r>
      <w:r>
        <w:fldChar w:fldCharType="end"/>
      </w:r>
    </w:p>
    <w:p w:rsidR="00000000" w:rsidRPr="005B29C8" w:rsidP="005B29C8"/>
    <w:sectPr w:rsidSect="005B29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9C8" w:rsidRPr="00827147" w:rsidP="008271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47" w:rsidP="005B29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27147" w:rsidP="005B29C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7147" w:rsidP="005B29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29C8" w:rsidRPr="00827147" w:rsidP="008271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47" w:rsidRPr="002D2AF8" w:rsidP="005B29C8">
    <w:pPr>
      <w:pStyle w:val="Header"/>
      <w:framePr w:wrap="around"/>
    </w:pPr>
    <w:r>
      <w:fldChar w:fldCharType="begin"/>
    </w:r>
    <w:r>
      <w:instrText xml:space="preserve"> TITLE   \* MERGEFORMAT </w:instrText>
    </w:r>
    <w:r>
      <w:fldChar w:fldCharType="separate"/>
    </w:r>
    <w:r>
      <w:t>MEA712 Apply avionic digital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27147" w:rsidP="005B29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AEC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166F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88B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9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9C8"/>
    <w:pPr>
      <w:spacing w:before="360" w:after="60"/>
      <w:outlineLvl w:val="0"/>
    </w:pPr>
    <w:rPr>
      <w:sz w:val="32"/>
    </w:rPr>
  </w:style>
  <w:style w:type="paragraph" w:styleId="Heading2">
    <w:name w:val="heading 2"/>
    <w:basedOn w:val="HeadingBase"/>
    <w:next w:val="BodyText"/>
    <w:link w:val="Heading2Char"/>
    <w:qFormat/>
    <w:rsid w:val="005B29C8"/>
    <w:pPr>
      <w:keepLines/>
      <w:spacing w:before="240" w:after="120"/>
      <w:outlineLvl w:val="1"/>
    </w:pPr>
    <w:rPr>
      <w:sz w:val="28"/>
      <w:szCs w:val="40"/>
    </w:rPr>
  </w:style>
  <w:style w:type="paragraph" w:styleId="Heading3">
    <w:name w:val="heading 3"/>
    <w:basedOn w:val="HeadingBase"/>
    <w:next w:val="BodyText"/>
    <w:link w:val="Heading3Char"/>
    <w:qFormat/>
    <w:rsid w:val="005B29C8"/>
    <w:pPr>
      <w:spacing w:before="180" w:after="120"/>
      <w:outlineLvl w:val="2"/>
    </w:pPr>
    <w:rPr>
      <w:spacing w:val="-10"/>
      <w:kern w:val="32"/>
    </w:rPr>
  </w:style>
  <w:style w:type="paragraph" w:styleId="Heading4">
    <w:name w:val="heading 4"/>
    <w:basedOn w:val="HeadingBase"/>
    <w:next w:val="BodyText"/>
    <w:link w:val="Heading4Char"/>
    <w:qFormat/>
    <w:rsid w:val="005B29C8"/>
    <w:pPr>
      <w:spacing w:before="160" w:after="120"/>
      <w:outlineLvl w:val="3"/>
    </w:pPr>
    <w:rPr>
      <w:sz w:val="22"/>
    </w:rPr>
  </w:style>
  <w:style w:type="paragraph" w:styleId="Heading5">
    <w:name w:val="heading 5"/>
    <w:basedOn w:val="HeadingBase"/>
    <w:next w:val="Normal"/>
    <w:link w:val="Heading5Char"/>
    <w:qFormat/>
    <w:rsid w:val="005B29C8"/>
    <w:pPr>
      <w:spacing w:before="80"/>
      <w:outlineLvl w:val="4"/>
    </w:pPr>
    <w:rPr>
      <w:color w:val="918585"/>
      <w:sz w:val="20"/>
    </w:rPr>
  </w:style>
  <w:style w:type="paragraph" w:styleId="Heading6">
    <w:name w:val="heading 6"/>
    <w:basedOn w:val="HeadingBase"/>
    <w:next w:val="Normal"/>
    <w:link w:val="Heading6Char"/>
    <w:qFormat/>
    <w:rsid w:val="005B29C8"/>
    <w:pPr>
      <w:spacing w:before="60"/>
      <w:outlineLvl w:val="5"/>
    </w:pPr>
    <w:rPr>
      <w:color w:val="918585"/>
      <w:sz w:val="20"/>
    </w:rPr>
  </w:style>
  <w:style w:type="paragraph" w:styleId="Heading7">
    <w:name w:val="heading 7"/>
    <w:basedOn w:val="Normal"/>
    <w:next w:val="Normal"/>
    <w:link w:val="Heading7Char"/>
    <w:qFormat/>
    <w:rsid w:val="005B29C8"/>
    <w:pPr>
      <w:ind w:left="720"/>
      <w:outlineLvl w:val="6"/>
    </w:pPr>
    <w:rPr>
      <w:i/>
    </w:rPr>
  </w:style>
  <w:style w:type="paragraph" w:styleId="Heading8">
    <w:name w:val="heading 8"/>
    <w:basedOn w:val="Normal"/>
    <w:next w:val="Normal"/>
    <w:link w:val="Heading8Char"/>
    <w:qFormat/>
    <w:rsid w:val="005B29C8"/>
    <w:pPr>
      <w:ind w:left="720"/>
      <w:outlineLvl w:val="7"/>
    </w:pPr>
    <w:rPr>
      <w:i/>
    </w:rPr>
  </w:style>
  <w:style w:type="paragraph" w:styleId="Heading9">
    <w:name w:val="heading 9"/>
    <w:basedOn w:val="Normal"/>
    <w:next w:val="Normal"/>
    <w:link w:val="Heading9Char"/>
    <w:qFormat/>
    <w:rsid w:val="005B29C8"/>
    <w:pPr>
      <w:ind w:left="720"/>
      <w:outlineLvl w:val="8"/>
    </w:pPr>
    <w:rPr>
      <w:i/>
    </w:rPr>
  </w:style>
  <w:style w:type="character" w:default="1" w:styleId="DefaultParagraphFont">
    <w:name w:val="Default Paragraph Font"/>
    <w:uiPriority w:val="1"/>
    <w:unhideWhenUsed/>
    <w:rsid w:val="005B29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9C8"/>
  </w:style>
  <w:style w:type="character" w:customStyle="1" w:styleId="Heading1Char">
    <w:name w:val="Heading 1 Char"/>
    <w:basedOn w:val="DefaultParagraphFont"/>
    <w:link w:val="Heading1"/>
    <w:rsid w:val="005B29C8"/>
    <w:rPr>
      <w:rFonts w:ascii="Times New Roman" w:eastAsia="Times New Roman" w:hAnsi="Times New Roman" w:cs="Times New Roman"/>
      <w:b/>
      <w:sz w:val="32"/>
      <w:szCs w:val="20"/>
      <w:lang w:eastAsia="en-US"/>
    </w:rPr>
  </w:style>
  <w:style w:type="paragraph" w:styleId="BodyText">
    <w:name w:val="Body Text"/>
    <w:basedOn w:val="Normal"/>
    <w:link w:val="BodyTextChar"/>
    <w:rsid w:val="005B29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29C8"/>
    <w:rPr>
      <w:rFonts w:ascii="Times New Roman" w:eastAsia="Times New Roman" w:hAnsi="Times New Roman" w:cs="Times New Roman"/>
      <w:sz w:val="24"/>
      <w:lang w:eastAsia="en-US"/>
    </w:rPr>
  </w:style>
  <w:style w:type="paragraph" w:styleId="ListBullet">
    <w:name w:val="List Bullet"/>
    <w:basedOn w:val="List"/>
    <w:rsid w:val="005B29C8"/>
    <w:pPr>
      <w:numPr>
        <w:numId w:val="12"/>
      </w:numPr>
      <w:tabs>
        <w:tab w:val="clear" w:pos="340"/>
      </w:tabs>
      <w:spacing w:before="40" w:after="40"/>
    </w:pPr>
  </w:style>
  <w:style w:type="character" w:customStyle="1" w:styleId="SpecialBold">
    <w:name w:val="Special Bold"/>
    <w:basedOn w:val="DefaultParagraphFont"/>
    <w:rsid w:val="005B29C8"/>
    <w:rPr>
      <w:b/>
      <w:spacing w:val="0"/>
    </w:rPr>
  </w:style>
  <w:style w:type="paragraph" w:styleId="ListBullet2">
    <w:name w:val="List Bullet 2"/>
    <w:basedOn w:val="List2"/>
    <w:rsid w:val="005B29C8"/>
    <w:pPr>
      <w:numPr>
        <w:numId w:val="13"/>
      </w:numPr>
      <w:tabs>
        <w:tab w:val="clear" w:pos="680"/>
      </w:tabs>
    </w:pPr>
  </w:style>
  <w:style w:type="paragraph" w:customStyle="1" w:styleId="SuperHeading">
    <w:name w:val="SuperHeading"/>
    <w:basedOn w:val="Normal"/>
    <w:rsid w:val="005B29C8"/>
    <w:pPr>
      <w:spacing w:before="240" w:after="120"/>
      <w:outlineLvl w:val="0"/>
    </w:pPr>
    <w:rPr>
      <w:rFonts w:ascii="Times New Roman" w:hAnsi="Times New Roman"/>
      <w:b/>
      <w:sz w:val="32"/>
    </w:rPr>
  </w:style>
  <w:style w:type="paragraph" w:customStyle="1" w:styleId="AllowPageBreak">
    <w:name w:val="AllowPageBreak"/>
    <w:rsid w:val="005B29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29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9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9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9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9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9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9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9C8"/>
    <w:rPr>
      <w:rFonts w:ascii="Courier New" w:eastAsia="Times New Roman" w:hAnsi="Courier New" w:cs="Times New Roman"/>
      <w:i/>
      <w:szCs w:val="20"/>
      <w:lang w:eastAsia="en-US"/>
    </w:rPr>
  </w:style>
  <w:style w:type="paragraph" w:customStyle="1" w:styleId="HeadingBase">
    <w:name w:val="Heading Base"/>
    <w:rsid w:val="005B29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9C8"/>
    <w:pPr>
      <w:tabs>
        <w:tab w:val="right" w:leader="dot" w:pos="9072"/>
      </w:tabs>
      <w:ind w:left="567"/>
    </w:pPr>
    <w:rPr>
      <w:szCs w:val="22"/>
    </w:rPr>
  </w:style>
  <w:style w:type="paragraph" w:customStyle="1" w:styleId="TOCBase">
    <w:name w:val="TOC Base"/>
    <w:rsid w:val="005B29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9C8"/>
    <w:pPr>
      <w:tabs>
        <w:tab w:val="right" w:leader="dot" w:pos="9072"/>
      </w:tabs>
      <w:spacing w:before="40" w:after="40"/>
      <w:ind w:left="284"/>
    </w:pPr>
    <w:rPr>
      <w:rFonts w:ascii="Times New Roman" w:hAnsi="Times New Roman"/>
    </w:rPr>
  </w:style>
  <w:style w:type="paragraph" w:styleId="TOC1">
    <w:name w:val="toc 1"/>
    <w:basedOn w:val="TOCBase"/>
    <w:next w:val="Normal"/>
    <w:rsid w:val="005B29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9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9C8"/>
    <w:rPr>
      <w:rFonts w:ascii="Times New Roman" w:eastAsia="Times New Roman" w:hAnsi="Times New Roman" w:cs="Times New Roman"/>
      <w:sz w:val="16"/>
      <w:lang w:eastAsia="en-US"/>
    </w:rPr>
  </w:style>
  <w:style w:type="paragraph" w:styleId="Title">
    <w:name w:val="Title"/>
    <w:basedOn w:val="HeadingBase"/>
    <w:link w:val="TitleChar"/>
    <w:qFormat/>
    <w:rsid w:val="005B29C8"/>
    <w:pPr>
      <w:spacing w:before="5040"/>
      <w:jc w:val="center"/>
    </w:pPr>
    <w:rPr>
      <w:sz w:val="48"/>
      <w:szCs w:val="72"/>
      <w:lang w:val="en-US"/>
    </w:rPr>
  </w:style>
  <w:style w:type="character" w:customStyle="1" w:styleId="TitleChar">
    <w:name w:val="Title Char"/>
    <w:basedOn w:val="DefaultParagraphFont"/>
    <w:link w:val="Title"/>
    <w:rsid w:val="005B29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9C8"/>
    <w:pPr>
      <w:tabs>
        <w:tab w:val="left" w:pos="3600"/>
        <w:tab w:val="left" w:pos="3958"/>
      </w:tabs>
    </w:pPr>
  </w:style>
  <w:style w:type="paragraph" w:styleId="List">
    <w:name w:val="List"/>
    <w:basedOn w:val="BodyText"/>
    <w:next w:val="BodyText"/>
    <w:rsid w:val="005B29C8"/>
    <w:pPr>
      <w:tabs>
        <w:tab w:val="left" w:pos="340"/>
      </w:tabs>
      <w:spacing w:before="60" w:after="60"/>
      <w:ind w:left="340" w:hanging="340"/>
    </w:pPr>
  </w:style>
  <w:style w:type="paragraph" w:customStyle="1" w:styleId="Note">
    <w:name w:val="Note"/>
    <w:basedOn w:val="BodyText"/>
    <w:rsid w:val="005B29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9C8"/>
    <w:pPr>
      <w:framePr w:wrap="auto" w:hAnchor="text" w:y="6049"/>
    </w:pPr>
    <w:rPr>
      <w:color w:val="000000"/>
      <w:sz w:val="40"/>
    </w:rPr>
  </w:style>
  <w:style w:type="paragraph" w:customStyle="1" w:styleId="TOCTitle">
    <w:name w:val="TOCTitle"/>
    <w:basedOn w:val="Heading1"/>
    <w:rsid w:val="005B29C8"/>
    <w:pPr>
      <w:spacing w:after="240"/>
      <w:jc w:val="center"/>
      <w:outlineLvl w:val="9"/>
    </w:pPr>
    <w:rPr>
      <w:caps/>
    </w:rPr>
  </w:style>
  <w:style w:type="paragraph" w:customStyle="1" w:styleId="Version">
    <w:name w:val="Version"/>
    <w:rsid w:val="005B29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9C8"/>
    <w:pPr>
      <w:keepNext w:val="0"/>
      <w:tabs>
        <w:tab w:val="right" w:pos="4176"/>
      </w:tabs>
      <w:ind w:left="198" w:hanging="198"/>
    </w:pPr>
    <w:rPr>
      <w:rFonts w:ascii="Garamond" w:hAnsi="Garamond"/>
    </w:rPr>
  </w:style>
  <w:style w:type="paragraph" w:styleId="IndexHeading">
    <w:name w:val="index heading"/>
    <w:basedOn w:val="Normal"/>
    <w:next w:val="Index1"/>
    <w:semiHidden/>
    <w:rsid w:val="005B29C8"/>
    <w:pPr>
      <w:spacing w:before="120" w:after="120"/>
    </w:pPr>
    <w:rPr>
      <w:rFonts w:ascii="Arial" w:hAnsi="Arial"/>
      <w:b/>
      <w:color w:val="918585"/>
      <w:sz w:val="24"/>
    </w:rPr>
  </w:style>
  <w:style w:type="paragraph" w:styleId="Header">
    <w:name w:val="header"/>
    <w:basedOn w:val="Normal"/>
    <w:link w:val="HeaderChar"/>
    <w:rsid w:val="005B29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9C8"/>
    <w:rPr>
      <w:rFonts w:ascii="Times New Roman" w:eastAsia="Times New Roman" w:hAnsi="Times New Roman" w:cs="Times New Roman"/>
      <w:sz w:val="16"/>
      <w:szCs w:val="20"/>
      <w:lang w:val="en-GB" w:eastAsia="en-US"/>
    </w:rPr>
  </w:style>
  <w:style w:type="paragraph" w:customStyle="1" w:styleId="Chapter">
    <w:name w:val="Chapter"/>
    <w:basedOn w:val="Normal"/>
    <w:rsid w:val="005B29C8"/>
    <w:pPr>
      <w:spacing w:before="240"/>
    </w:pPr>
    <w:rPr>
      <w:rFonts w:ascii="Times New Roman" w:hAnsi="Times New Roman"/>
      <w:smallCaps/>
      <w:spacing w:val="80"/>
      <w:sz w:val="28"/>
    </w:rPr>
  </w:style>
  <w:style w:type="paragraph" w:customStyle="1" w:styleId="InChapter">
    <w:name w:val="InChapter"/>
    <w:basedOn w:val="Heading3"/>
    <w:rsid w:val="005B29C8"/>
    <w:pPr>
      <w:spacing w:after="240"/>
      <w:outlineLvl w:val="9"/>
    </w:pPr>
    <w:rPr>
      <w:noProof/>
    </w:rPr>
  </w:style>
  <w:style w:type="paragraph" w:styleId="Index2">
    <w:name w:val="index 2"/>
    <w:basedOn w:val="Normal"/>
    <w:next w:val="Normal"/>
    <w:semiHidden/>
    <w:rsid w:val="005B29C8"/>
    <w:pPr>
      <w:tabs>
        <w:tab w:val="right" w:pos="4176"/>
      </w:tabs>
      <w:ind w:left="568" w:hanging="284"/>
    </w:pPr>
    <w:rPr>
      <w:rFonts w:ascii="Garamond" w:hAnsi="Garamond"/>
    </w:rPr>
  </w:style>
  <w:style w:type="paragraph" w:customStyle="1" w:styleId="Byline">
    <w:name w:val="Byline"/>
    <w:rsid w:val="005B29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9C8"/>
    <w:pPr>
      <w:tabs>
        <w:tab w:val="clear" w:pos="3600"/>
        <w:tab w:val="clear" w:pos="3958"/>
      </w:tabs>
      <w:jc w:val="right"/>
    </w:pPr>
  </w:style>
  <w:style w:type="character" w:styleId="Emphasis">
    <w:name w:val="Emphasis"/>
    <w:basedOn w:val="DefaultParagraphFont"/>
    <w:qFormat/>
    <w:rsid w:val="005B29C8"/>
    <w:rPr>
      <w:i/>
    </w:rPr>
  </w:style>
  <w:style w:type="paragraph" w:styleId="Caption">
    <w:name w:val="caption"/>
    <w:basedOn w:val="BodyText"/>
    <w:next w:val="Normal"/>
    <w:qFormat/>
    <w:rsid w:val="005B29C8"/>
    <w:pPr>
      <w:framePr w:w="2268" w:hSpace="181" w:vSpace="181" w:wrap="around" w:vAnchor="text" w:hAnchor="page" w:x="1135" w:y="285" w:anchorLock="1"/>
    </w:pPr>
    <w:rPr>
      <w:i/>
    </w:rPr>
  </w:style>
  <w:style w:type="paragraph" w:customStyle="1" w:styleId="MiniTOCTitle">
    <w:name w:val="MiniTOCTitle"/>
    <w:basedOn w:val="Heading4"/>
    <w:rsid w:val="005B29C8"/>
    <w:pPr>
      <w:spacing w:before="240"/>
      <w:outlineLvl w:val="9"/>
    </w:pPr>
    <w:rPr>
      <w:noProof/>
      <w:sz w:val="24"/>
    </w:rPr>
  </w:style>
  <w:style w:type="paragraph" w:customStyle="1" w:styleId="MiniTOCItem">
    <w:name w:val="MiniTOCItem"/>
    <w:basedOn w:val="ListBullet"/>
    <w:rsid w:val="005B29C8"/>
    <w:pPr>
      <w:numPr>
        <w:numId w:val="0"/>
      </w:numPr>
      <w:tabs>
        <w:tab w:val="right" w:leader="dot" w:pos="6521"/>
      </w:tabs>
      <w:spacing w:before="0" w:after="0"/>
    </w:pPr>
  </w:style>
  <w:style w:type="paragraph" w:customStyle="1" w:styleId="TOFTitle">
    <w:name w:val="TOFTitle"/>
    <w:basedOn w:val="TOCTitle"/>
    <w:rsid w:val="005B29C8"/>
  </w:style>
  <w:style w:type="paragraph" w:styleId="TableofFigures">
    <w:name w:val="table of figures"/>
    <w:basedOn w:val="Normal"/>
    <w:next w:val="Normal"/>
    <w:semiHidden/>
    <w:rsid w:val="005B29C8"/>
    <w:pPr>
      <w:tabs>
        <w:tab w:val="right" w:leader="dot" w:pos="9072"/>
      </w:tabs>
      <w:ind w:left="970" w:hanging="403"/>
    </w:pPr>
    <w:rPr>
      <w:rFonts w:ascii="Times New Roman" w:hAnsi="Times New Roman"/>
      <w:b/>
    </w:rPr>
  </w:style>
  <w:style w:type="paragraph" w:styleId="ListNumber">
    <w:name w:val="List Number"/>
    <w:basedOn w:val="List"/>
    <w:rsid w:val="005B29C8"/>
    <w:pPr>
      <w:numPr>
        <w:numId w:val="15"/>
      </w:numPr>
      <w:tabs>
        <w:tab w:val="clear" w:pos="340"/>
      </w:tabs>
    </w:pPr>
  </w:style>
  <w:style w:type="character" w:customStyle="1" w:styleId="WingdingSymbols">
    <w:name w:val="Wingding Symbols"/>
    <w:rsid w:val="005B29C8"/>
    <w:rPr>
      <w:rFonts w:ascii="Wingdings" w:hAnsi="Wingdings"/>
    </w:rPr>
  </w:style>
  <w:style w:type="paragraph" w:customStyle="1" w:styleId="TableHeading">
    <w:name w:val="Table Heading"/>
    <w:basedOn w:val="HeadingBase"/>
    <w:rsid w:val="005B29C8"/>
    <w:pPr>
      <w:keepLines/>
      <w:pBdr>
        <w:bottom w:val="single" w:sz="6" w:space="1" w:color="918585"/>
      </w:pBdr>
      <w:spacing w:before="240"/>
    </w:pPr>
  </w:style>
  <w:style w:type="character" w:customStyle="1" w:styleId="HotSpot">
    <w:name w:val="HotSpot"/>
    <w:rsid w:val="005B29C8"/>
    <w:rPr>
      <w:color w:val="0033CC"/>
      <w:u w:val="none"/>
    </w:rPr>
  </w:style>
  <w:style w:type="paragraph" w:customStyle="1" w:styleId="BodyTextRight">
    <w:name w:val="Body Text Right"/>
    <w:basedOn w:val="BodyText"/>
    <w:rsid w:val="005B29C8"/>
    <w:pPr>
      <w:spacing w:before="0" w:after="0"/>
      <w:jc w:val="right"/>
    </w:pPr>
  </w:style>
  <w:style w:type="paragraph" w:styleId="Index3">
    <w:name w:val="index 3"/>
    <w:basedOn w:val="ListNumber2"/>
    <w:next w:val="Normal"/>
    <w:semiHidden/>
    <w:rsid w:val="005B29C8"/>
    <w:pPr>
      <w:numPr>
        <w:numId w:val="0"/>
      </w:numPr>
      <w:tabs>
        <w:tab w:val="right" w:leader="dot" w:pos="4176"/>
      </w:tabs>
    </w:pPr>
  </w:style>
  <w:style w:type="paragraph" w:styleId="ListNumber2">
    <w:name w:val="List Number 2"/>
    <w:basedOn w:val="List2"/>
    <w:rsid w:val="005B29C8"/>
    <w:pPr>
      <w:numPr>
        <w:numId w:val="10"/>
      </w:numPr>
      <w:tabs>
        <w:tab w:val="clear" w:pos="1060"/>
      </w:tabs>
    </w:pPr>
  </w:style>
  <w:style w:type="paragraph" w:customStyle="1" w:styleId="MarginNote">
    <w:name w:val="Margin Note"/>
    <w:basedOn w:val="BodyText"/>
    <w:rsid w:val="005B29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9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9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9C8"/>
    <w:rPr>
      <w:sz w:val="32"/>
    </w:rPr>
  </w:style>
  <w:style w:type="paragraph" w:customStyle="1" w:styleId="HeadingProcedure">
    <w:name w:val="Heading Procedure"/>
    <w:basedOn w:val="HeadingBase"/>
    <w:next w:val="Normal"/>
    <w:rsid w:val="005B29C8"/>
    <w:pPr>
      <w:tabs>
        <w:tab w:val="left" w:pos="0"/>
      </w:tabs>
      <w:spacing w:before="120" w:after="60"/>
    </w:pPr>
    <w:rPr>
      <w:i/>
      <w:color w:val="918585"/>
      <w:sz w:val="22"/>
    </w:rPr>
  </w:style>
  <w:style w:type="paragraph" w:customStyle="1" w:styleId="TableBodyText">
    <w:name w:val="Table Body Text"/>
    <w:basedOn w:val="BodyText"/>
    <w:rsid w:val="005B29C8"/>
    <w:pPr>
      <w:spacing w:before="60" w:after="60"/>
    </w:pPr>
  </w:style>
  <w:style w:type="paragraph" w:styleId="ListContinue">
    <w:name w:val="List Continue"/>
    <w:basedOn w:val="List"/>
    <w:rsid w:val="005B29C8"/>
    <w:pPr>
      <w:ind w:firstLine="0"/>
    </w:pPr>
  </w:style>
  <w:style w:type="paragraph" w:customStyle="1" w:styleId="ListNote">
    <w:name w:val="List Note"/>
    <w:basedOn w:val="List"/>
    <w:rsid w:val="005B29C8"/>
    <w:pPr>
      <w:pBdr>
        <w:top w:val="single" w:sz="6" w:space="2" w:color="918585"/>
        <w:bottom w:val="single" w:sz="6" w:space="2" w:color="918585"/>
      </w:pBdr>
      <w:tabs>
        <w:tab w:val="left" w:pos="1021"/>
      </w:tabs>
      <w:ind w:firstLine="0"/>
    </w:pPr>
  </w:style>
  <w:style w:type="paragraph" w:customStyle="1" w:styleId="Warning">
    <w:name w:val="Warning"/>
    <w:basedOn w:val="BodyText"/>
    <w:rsid w:val="005B29C8"/>
    <w:pPr>
      <w:shd w:val="clear" w:color="auto" w:fill="D9D9D9"/>
      <w:tabs>
        <w:tab w:val="left" w:pos="992"/>
      </w:tabs>
      <w:ind w:left="119" w:right="119"/>
    </w:pPr>
    <w:rPr>
      <w:sz w:val="20"/>
    </w:rPr>
  </w:style>
  <w:style w:type="paragraph" w:customStyle="1" w:styleId="MarginIcons">
    <w:name w:val="Margin Icons"/>
    <w:basedOn w:val="BodyText"/>
    <w:rsid w:val="005B29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9C8"/>
    <w:rPr>
      <w:rFonts w:ascii="Courier New" w:hAnsi="Courier New"/>
    </w:rPr>
  </w:style>
  <w:style w:type="paragraph" w:customStyle="1" w:styleId="NoteBullet">
    <w:name w:val="Note Bullet"/>
    <w:basedOn w:val="Note"/>
    <w:rsid w:val="005B29C8"/>
    <w:pPr>
      <w:tabs>
        <w:tab w:val="clear" w:pos="680"/>
      </w:tabs>
      <w:spacing w:before="60" w:after="60"/>
    </w:pPr>
  </w:style>
  <w:style w:type="paragraph" w:customStyle="1" w:styleId="SubHeading2">
    <w:name w:val="SubHeading2"/>
    <w:basedOn w:val="HeadingBase"/>
    <w:rsid w:val="005B29C8"/>
    <w:pPr>
      <w:spacing w:before="240" w:after="60"/>
    </w:pPr>
    <w:rPr>
      <w:sz w:val="20"/>
    </w:rPr>
  </w:style>
  <w:style w:type="paragraph" w:customStyle="1" w:styleId="SubHeading1">
    <w:name w:val="SubHeading1"/>
    <w:basedOn w:val="HeadingBase"/>
    <w:rsid w:val="005B29C8"/>
    <w:pPr>
      <w:spacing w:before="240" w:after="60"/>
    </w:pPr>
    <w:rPr>
      <w:color w:val="918585"/>
      <w:sz w:val="22"/>
    </w:rPr>
  </w:style>
  <w:style w:type="paragraph" w:customStyle="1" w:styleId="SideHeading">
    <w:name w:val="Side Heading"/>
    <w:basedOn w:val="HeadingBase"/>
    <w:rsid w:val="005B29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9C8"/>
    <w:pPr>
      <w:tabs>
        <w:tab w:val="num" w:pos="360"/>
      </w:tabs>
    </w:pPr>
  </w:style>
  <w:style w:type="paragraph" w:styleId="PlainText">
    <w:name w:val="Plain Text"/>
    <w:basedOn w:val="Normal"/>
    <w:link w:val="PlainTextChar"/>
    <w:rsid w:val="005B29C8"/>
    <w:rPr>
      <w:sz w:val="20"/>
    </w:rPr>
  </w:style>
  <w:style w:type="character" w:customStyle="1" w:styleId="PlainTextChar">
    <w:name w:val="Plain Text Char"/>
    <w:basedOn w:val="DefaultParagraphFont"/>
    <w:link w:val="PlainText"/>
    <w:rsid w:val="005B29C8"/>
    <w:rPr>
      <w:rFonts w:ascii="Courier New" w:eastAsia="Times New Roman" w:hAnsi="Courier New" w:cs="Times New Roman"/>
      <w:sz w:val="20"/>
      <w:szCs w:val="20"/>
      <w:lang w:eastAsia="en-US"/>
    </w:rPr>
  </w:style>
  <w:style w:type="character" w:customStyle="1" w:styleId="MenuOption">
    <w:name w:val="Menu Option"/>
    <w:basedOn w:val="DefaultParagraphFont"/>
    <w:rsid w:val="005B29C8"/>
    <w:rPr>
      <w:b/>
      <w:smallCaps/>
    </w:rPr>
  </w:style>
  <w:style w:type="paragraph" w:customStyle="1" w:styleId="TableListNumber">
    <w:name w:val="Table List Number"/>
    <w:basedOn w:val="ListNumber"/>
    <w:rsid w:val="005B29C8"/>
    <w:pPr>
      <w:numPr>
        <w:numId w:val="0"/>
      </w:numPr>
    </w:pPr>
  </w:style>
  <w:style w:type="paragraph" w:styleId="TOC4">
    <w:name w:val="toc 4"/>
    <w:basedOn w:val="TOCBase"/>
    <w:next w:val="Normal"/>
    <w:semiHidden/>
    <w:rsid w:val="005B29C8"/>
    <w:pPr>
      <w:tabs>
        <w:tab w:val="right" w:leader="dot" w:pos="9071"/>
      </w:tabs>
      <w:ind w:left="1701"/>
    </w:pPr>
  </w:style>
  <w:style w:type="paragraph" w:customStyle="1" w:styleId="ListAlpha">
    <w:name w:val="List Alpha"/>
    <w:basedOn w:val="List"/>
    <w:rsid w:val="005B29C8"/>
    <w:pPr>
      <w:numPr>
        <w:numId w:val="9"/>
      </w:numPr>
    </w:pPr>
  </w:style>
  <w:style w:type="paragraph" w:customStyle="1" w:styleId="ListAlpha2">
    <w:name w:val="List Alpha 2"/>
    <w:basedOn w:val="List2"/>
    <w:rsid w:val="005B29C8"/>
    <w:pPr>
      <w:numPr>
        <w:numId w:val="8"/>
      </w:numPr>
    </w:pPr>
  </w:style>
  <w:style w:type="paragraph" w:styleId="List2">
    <w:name w:val="List 2"/>
    <w:basedOn w:val="BodyText"/>
    <w:rsid w:val="005B29C8"/>
    <w:pPr>
      <w:tabs>
        <w:tab w:val="left" w:pos="680"/>
      </w:tabs>
      <w:spacing w:before="60" w:after="60"/>
      <w:ind w:left="680" w:hanging="340"/>
    </w:pPr>
  </w:style>
  <w:style w:type="paragraph" w:styleId="List3">
    <w:name w:val="List 3"/>
    <w:basedOn w:val="BodyText"/>
    <w:rsid w:val="005B29C8"/>
    <w:pPr>
      <w:tabs>
        <w:tab w:val="left" w:pos="1021"/>
      </w:tabs>
      <w:spacing w:before="60" w:after="60"/>
      <w:ind w:left="1020" w:hanging="340"/>
    </w:pPr>
  </w:style>
  <w:style w:type="paragraph" w:styleId="List4">
    <w:name w:val="List 4"/>
    <w:basedOn w:val="BodyText"/>
    <w:rsid w:val="005B29C8"/>
    <w:pPr>
      <w:tabs>
        <w:tab w:val="left" w:pos="1361"/>
      </w:tabs>
      <w:spacing w:before="60" w:after="60"/>
      <w:ind w:left="1361" w:hanging="340"/>
    </w:pPr>
  </w:style>
  <w:style w:type="paragraph" w:styleId="List5">
    <w:name w:val="List 5"/>
    <w:basedOn w:val="BodyText"/>
    <w:rsid w:val="005B29C8"/>
    <w:pPr>
      <w:tabs>
        <w:tab w:val="left" w:pos="1701"/>
      </w:tabs>
      <w:spacing w:before="60" w:after="60"/>
      <w:ind w:left="1701" w:hanging="340"/>
    </w:pPr>
  </w:style>
  <w:style w:type="paragraph" w:styleId="ListBullet3">
    <w:name w:val="List Bullet 3"/>
    <w:basedOn w:val="List3"/>
    <w:rsid w:val="005B29C8"/>
    <w:pPr>
      <w:numPr>
        <w:numId w:val="14"/>
      </w:numPr>
      <w:tabs>
        <w:tab w:val="clear" w:pos="1021"/>
      </w:tabs>
      <w:ind w:left="1037" w:hanging="357"/>
    </w:pPr>
  </w:style>
  <w:style w:type="paragraph" w:styleId="ListBullet4">
    <w:name w:val="List Bullet 4"/>
    <w:basedOn w:val="List4"/>
    <w:rsid w:val="005B29C8"/>
    <w:pPr>
      <w:numPr>
        <w:numId w:val="3"/>
      </w:numPr>
      <w:tabs>
        <w:tab w:val="clear" w:pos="1361"/>
      </w:tabs>
    </w:pPr>
  </w:style>
  <w:style w:type="paragraph" w:styleId="ListBullet5">
    <w:name w:val="List Bullet 5"/>
    <w:basedOn w:val="List5"/>
    <w:rsid w:val="005B29C8"/>
    <w:pPr>
      <w:numPr>
        <w:numId w:val="4"/>
      </w:numPr>
    </w:pPr>
  </w:style>
  <w:style w:type="paragraph" w:styleId="ListContinue2">
    <w:name w:val="List Continue 2"/>
    <w:basedOn w:val="List2"/>
    <w:rsid w:val="005B29C8"/>
    <w:pPr>
      <w:ind w:firstLine="0"/>
    </w:pPr>
  </w:style>
  <w:style w:type="paragraph" w:styleId="ListContinue3">
    <w:name w:val="List Continue 3"/>
    <w:basedOn w:val="List3"/>
    <w:rsid w:val="005B29C8"/>
    <w:pPr>
      <w:ind w:left="1021" w:firstLine="0"/>
    </w:pPr>
  </w:style>
  <w:style w:type="paragraph" w:styleId="ListContinue4">
    <w:name w:val="List Continue 4"/>
    <w:basedOn w:val="List4"/>
    <w:rsid w:val="005B29C8"/>
    <w:pPr>
      <w:ind w:firstLine="0"/>
    </w:pPr>
  </w:style>
  <w:style w:type="paragraph" w:styleId="ListContinue5">
    <w:name w:val="List Continue 5"/>
    <w:basedOn w:val="List5"/>
    <w:rsid w:val="005B29C8"/>
    <w:pPr>
      <w:ind w:firstLine="0"/>
    </w:pPr>
  </w:style>
  <w:style w:type="paragraph" w:styleId="ListNumber3">
    <w:name w:val="List Number 3"/>
    <w:basedOn w:val="List3"/>
    <w:rsid w:val="005B29C8"/>
    <w:pPr>
      <w:numPr>
        <w:numId w:val="5"/>
      </w:numPr>
    </w:pPr>
  </w:style>
  <w:style w:type="paragraph" w:styleId="ListNumber4">
    <w:name w:val="List Number 4"/>
    <w:basedOn w:val="List4"/>
    <w:rsid w:val="005B29C8"/>
    <w:pPr>
      <w:numPr>
        <w:numId w:val="6"/>
      </w:numPr>
    </w:pPr>
  </w:style>
  <w:style w:type="paragraph" w:styleId="ListNumber5">
    <w:name w:val="List Number 5"/>
    <w:basedOn w:val="List5"/>
    <w:rsid w:val="005B29C8"/>
    <w:pPr>
      <w:numPr>
        <w:numId w:val="7"/>
      </w:numPr>
    </w:pPr>
  </w:style>
  <w:style w:type="paragraph" w:styleId="BlockText">
    <w:name w:val="Block Text"/>
    <w:basedOn w:val="Normal"/>
    <w:rsid w:val="005B29C8"/>
    <w:pPr>
      <w:spacing w:after="120"/>
      <w:ind w:left="1440" w:right="1440"/>
    </w:pPr>
  </w:style>
  <w:style w:type="character" w:customStyle="1" w:styleId="Subscript">
    <w:name w:val="Subscript"/>
    <w:basedOn w:val="DefaultParagraphFont"/>
    <w:rsid w:val="005B29C8"/>
    <w:rPr>
      <w:sz w:val="16"/>
      <w:vertAlign w:val="subscript"/>
    </w:rPr>
  </w:style>
  <w:style w:type="character" w:customStyle="1" w:styleId="Superscript">
    <w:name w:val="Superscript"/>
    <w:basedOn w:val="DefaultParagraphFont"/>
    <w:rsid w:val="005B29C8"/>
    <w:rPr>
      <w:sz w:val="16"/>
      <w:vertAlign w:val="superscript"/>
    </w:rPr>
  </w:style>
  <w:style w:type="character" w:customStyle="1" w:styleId="Symbols">
    <w:name w:val="Symbols"/>
    <w:basedOn w:val="DefaultParagraphFont"/>
    <w:rsid w:val="005B29C8"/>
    <w:rPr>
      <w:rFonts w:ascii="Symbol" w:hAnsi="Symbol"/>
    </w:rPr>
  </w:style>
  <w:style w:type="character" w:customStyle="1" w:styleId="MenuOptions">
    <w:name w:val="Menu Options"/>
    <w:basedOn w:val="DefaultParagraphFont"/>
    <w:rsid w:val="005B29C8"/>
    <w:rPr>
      <w:rFonts w:ascii="Arial Narrow" w:hAnsi="Arial Narrow"/>
      <w:smallCaps/>
    </w:rPr>
  </w:style>
  <w:style w:type="character" w:customStyle="1" w:styleId="Buttons">
    <w:name w:val="Buttons"/>
    <w:basedOn w:val="DefaultParagraphFont"/>
    <w:rsid w:val="005B29C8"/>
    <w:rPr>
      <w:b/>
    </w:rPr>
  </w:style>
  <w:style w:type="character" w:customStyle="1" w:styleId="Underlined">
    <w:name w:val="Underlined"/>
    <w:basedOn w:val="DefaultParagraphFont"/>
    <w:rsid w:val="005B29C8"/>
    <w:rPr>
      <w:u w:val="single"/>
    </w:rPr>
  </w:style>
  <w:style w:type="paragraph" w:customStyle="1" w:styleId="TableBodyTextRight">
    <w:name w:val="Table Body Text Right"/>
    <w:basedOn w:val="TableBodyText"/>
    <w:rsid w:val="005B29C8"/>
    <w:pPr>
      <w:widowControl w:val="0"/>
      <w:autoSpaceDE w:val="0"/>
      <w:autoSpaceDN w:val="0"/>
      <w:adjustRightInd w:val="0"/>
      <w:jc w:val="right"/>
    </w:pPr>
    <w:rPr>
      <w:rFonts w:cs="Arial"/>
      <w:szCs w:val="18"/>
    </w:rPr>
  </w:style>
  <w:style w:type="paragraph" w:customStyle="1" w:styleId="CopyrightText">
    <w:name w:val="Copyright Text"/>
    <w:basedOn w:val="BodyText"/>
    <w:rsid w:val="005B29C8"/>
    <w:rPr>
      <w:sz w:val="18"/>
    </w:rPr>
  </w:style>
  <w:style w:type="paragraph" w:customStyle="1" w:styleId="BodySmallRight">
    <w:name w:val="Body Small Right"/>
    <w:basedOn w:val="BodyTextRight"/>
    <w:rsid w:val="005B29C8"/>
    <w:rPr>
      <w:sz w:val="18"/>
      <w:szCs w:val="18"/>
    </w:rPr>
  </w:style>
  <w:style w:type="paragraph" w:customStyle="1" w:styleId="MarginEdition">
    <w:name w:val="Margin Edition"/>
    <w:basedOn w:val="MarginNote"/>
    <w:rsid w:val="005B29C8"/>
    <w:pPr>
      <w:spacing w:before="0" w:after="0"/>
    </w:pPr>
    <w:rPr>
      <w:rFonts w:ascii="Times New Roman" w:hAnsi="Times New Roman"/>
      <w:color w:val="999999"/>
    </w:rPr>
  </w:style>
  <w:style w:type="paragraph" w:customStyle="1" w:styleId="Spacer">
    <w:name w:val="Spacer"/>
    <w:basedOn w:val="Normal"/>
    <w:rsid w:val="005B29C8"/>
    <w:rPr>
      <w:sz w:val="2"/>
      <w:szCs w:val="2"/>
    </w:rPr>
  </w:style>
  <w:style w:type="character" w:customStyle="1" w:styleId="Small">
    <w:name w:val="Small"/>
    <w:basedOn w:val="DefaultParagraphFont"/>
    <w:rsid w:val="005B29C8"/>
    <w:rPr>
      <w:sz w:val="16"/>
    </w:rPr>
  </w:style>
  <w:style w:type="paragraph" w:customStyle="1" w:styleId="WideTable">
    <w:name w:val="Wide Table"/>
    <w:basedOn w:val="Normal"/>
    <w:rsid w:val="005B29C8"/>
    <w:pPr>
      <w:ind w:left="-1418"/>
    </w:pPr>
    <w:rPr>
      <w:sz w:val="2"/>
      <w:szCs w:val="2"/>
    </w:rPr>
  </w:style>
  <w:style w:type="character" w:styleId="PageNumber">
    <w:name w:val="page number"/>
    <w:basedOn w:val="DefaultParagraphFont"/>
    <w:rsid w:val="005B29C8"/>
  </w:style>
  <w:style w:type="paragraph" w:styleId="Quote">
    <w:name w:val="Quote"/>
    <w:basedOn w:val="Heading1"/>
    <w:link w:val="QuoteChar"/>
    <w:qFormat/>
    <w:rsid w:val="005B29C8"/>
    <w:rPr>
      <w:b w:val="0"/>
      <w:sz w:val="72"/>
      <w:szCs w:val="72"/>
      <w:lang w:val="en-NZ"/>
    </w:rPr>
  </w:style>
  <w:style w:type="character" w:customStyle="1" w:styleId="QuoteChar">
    <w:name w:val="Quote Char"/>
    <w:basedOn w:val="DefaultParagraphFont"/>
    <w:link w:val="Quote"/>
    <w:rsid w:val="005B29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9C8"/>
    <w:pPr>
      <w:pageBreakBefore/>
    </w:pPr>
  </w:style>
  <w:style w:type="paragraph" w:customStyle="1" w:styleId="Border">
    <w:name w:val="Border"/>
    <w:basedOn w:val="Normal"/>
    <w:qFormat/>
    <w:rsid w:val="005B29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9C8"/>
    <w:rPr>
      <w:b/>
      <w:bCs/>
      <w:i/>
      <w:iCs/>
      <w:color w:val="auto"/>
    </w:rPr>
  </w:style>
  <w:style w:type="paragraph" w:styleId="IntenseQuote">
    <w:name w:val="Intense Quote"/>
    <w:basedOn w:val="Normal"/>
    <w:next w:val="Normal"/>
    <w:link w:val="IntenseQuoteChar"/>
    <w:uiPriority w:val="30"/>
    <w:qFormat/>
    <w:rsid w:val="005B29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9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9C8"/>
    <w:rPr>
      <w:smallCaps/>
      <w:color w:val="auto"/>
      <w:u w:val="single"/>
    </w:rPr>
  </w:style>
  <w:style w:type="character" w:styleId="IntenseReference">
    <w:name w:val="Intense Reference"/>
    <w:basedOn w:val="DefaultParagraphFont"/>
    <w:uiPriority w:val="32"/>
    <w:qFormat/>
    <w:rsid w:val="005B29C8"/>
    <w:rPr>
      <w:b/>
      <w:bCs/>
      <w:smallCaps/>
      <w:color w:val="auto"/>
      <w:spacing w:val="5"/>
      <w:u w:val="single"/>
    </w:rPr>
  </w:style>
  <w:style w:type="paragraph" w:customStyle="1" w:styleId="2ColumnHeading">
    <w:name w:val="2Column Heading"/>
    <w:basedOn w:val="BodyText"/>
    <w:qFormat/>
    <w:rsid w:val="005B29C8"/>
    <w:pPr>
      <w:spacing w:after="60"/>
      <w:ind w:left="-2268"/>
    </w:pPr>
    <w:rPr>
      <w:b/>
    </w:rPr>
  </w:style>
  <w:style w:type="paragraph" w:customStyle="1" w:styleId="Heading1TOC">
    <w:name w:val="Heading1 TOC"/>
    <w:basedOn w:val="Normal"/>
    <w:qFormat/>
    <w:rsid w:val="005B29C8"/>
    <w:pPr>
      <w:spacing w:before="240" w:after="120"/>
    </w:pPr>
    <w:rPr>
      <w:rFonts w:ascii="Times New Roman" w:hAnsi="Times New Roman"/>
      <w:b/>
      <w:sz w:val="32"/>
    </w:rPr>
  </w:style>
  <w:style w:type="paragraph" w:customStyle="1" w:styleId="Heading2TOC">
    <w:name w:val="Heading2 TOC"/>
    <w:basedOn w:val="Normal"/>
    <w:qFormat/>
    <w:rsid w:val="005B29C8"/>
    <w:pPr>
      <w:spacing w:before="240" w:after="60"/>
    </w:pPr>
    <w:rPr>
      <w:rFonts w:ascii="Times New Roman" w:hAnsi="Times New Roman"/>
      <w:b/>
      <w:sz w:val="28"/>
    </w:rPr>
  </w:style>
  <w:style w:type="character" w:customStyle="1" w:styleId="Underline">
    <w:name w:val="Underline"/>
    <w:basedOn w:val="DefaultParagraphFont"/>
    <w:qFormat/>
    <w:rsid w:val="005B29C8"/>
    <w:rPr>
      <w:u w:val="single"/>
    </w:rPr>
  </w:style>
  <w:style w:type="character" w:customStyle="1" w:styleId="BoldandItalics">
    <w:name w:val="Bold and Italics"/>
    <w:qFormat/>
    <w:rsid w:val="005B29C8"/>
    <w:rPr>
      <w:b/>
      <w:i/>
      <w:u w:val="none"/>
    </w:rPr>
  </w:style>
  <w:style w:type="paragraph" w:styleId="BalloonText">
    <w:name w:val="Balloon Text"/>
    <w:basedOn w:val="Normal"/>
    <w:link w:val="BalloonTextChar"/>
    <w:rsid w:val="005B29C8"/>
    <w:rPr>
      <w:rFonts w:ascii="Tahoma" w:hAnsi="Tahoma" w:cs="Tahoma"/>
      <w:sz w:val="16"/>
      <w:szCs w:val="16"/>
    </w:rPr>
  </w:style>
  <w:style w:type="character" w:customStyle="1" w:styleId="BalloonTextChar">
    <w:name w:val="Balloon Text Char"/>
    <w:basedOn w:val="DefaultParagraphFont"/>
    <w:link w:val="BalloonText"/>
    <w:rsid w:val="005B29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9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29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9C8"/>
    <w:rPr>
      <w:b/>
      <w:color w:val="660033"/>
      <w:spacing w:val="0"/>
    </w:rPr>
  </w:style>
  <w:style w:type="paragraph" w:customStyle="1" w:styleId="Nameditemlist">
    <w:name w:val="Named item list"/>
    <w:basedOn w:val="BodyText"/>
    <w:qFormat/>
    <w:rsid w:val="005B29C8"/>
    <w:pPr>
      <w:tabs>
        <w:tab w:val="left" w:pos="2835"/>
      </w:tabs>
      <w:ind w:left="2835" w:hanging="2835"/>
    </w:pPr>
  </w:style>
  <w:style w:type="paragraph" w:customStyle="1" w:styleId="BodyTextnopadding">
    <w:name w:val="Body Text no padding"/>
    <w:basedOn w:val="BodyText"/>
    <w:qFormat/>
    <w:rsid w:val="005B29C8"/>
    <w:pPr>
      <w:spacing w:before="0" w:after="0"/>
    </w:pPr>
  </w:style>
  <w:style w:type="paragraph" w:customStyle="1" w:styleId="BodyTextBold">
    <w:name w:val="Body Text Bold"/>
    <w:basedOn w:val="BodyText"/>
    <w:qFormat/>
    <w:rsid w:val="005B29C8"/>
    <w:rPr>
      <w:b/>
    </w:rPr>
  </w:style>
  <w:style w:type="character" w:styleId="Hyperlink">
    <w:name w:val="Hyperlink"/>
    <w:basedOn w:val="DefaultParagraphFont"/>
    <w:uiPriority w:val="99"/>
    <w:unhideWhenUsed/>
    <w:rsid w:val="008271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1375</Words>
  <Characters>9819</Characters>
  <Application>Microsoft Office Word</Application>
  <DocSecurity>0</DocSecurity>
  <Lines>363</Lines>
  <Paragraphs>219</Paragraphs>
  <ScaleCrop>false</ScaleCrop>
  <Company>Author-it Software Corporation Ltd.</Company>
  <LinksUpToDate>false</LinksUpToDate>
  <CharactersWithSpaces>10975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MEA712 Apply avionic digital design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2023-02-03T06:50:00Z</dcterms:created>
  <dcterms:modified xsi:type="dcterms:W3CDTF">2023-02-03T06:50:00Z</dcterms:modified>
</cp:coreProperties>
</file>