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6CC" w:rsidP="00D736CC">
      <w:pPr>
        <w:pStyle w:val="Title"/>
      </w:pPr>
      <w:r>
        <w:fldChar w:fldCharType="begin"/>
      </w:r>
      <w:r>
        <w:instrText xml:space="preserve"> TITLE   \* MERGEFORMAT </w:instrText>
      </w:r>
      <w:r>
        <w:fldChar w:fldCharType="separate"/>
      </w:r>
      <w:r>
        <w:t>MEA710 Apply aeronautical system design techniques</w:t>
      </w:r>
      <w:r>
        <w:fldChar w:fldCharType="end"/>
      </w:r>
    </w:p>
    <w:p w:rsidR="00D736CC" w:rsidP="00D736CC">
      <w:pPr>
        <w:pStyle w:val="Version"/>
        <w:sectPr w:rsidSect="00A378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842" w:rsidP="00A37842">
      <w:pPr>
        <w:pStyle w:val="SuperHeading"/>
      </w:pPr>
      <w:r w:rsidRPr="00A37842">
        <w:t>MEA710 Apply aeronautical system design techniques</w:t>
      </w:r>
    </w:p>
    <w:p w:rsidR="00000000" w:rsidRPr="00A37842" w:rsidP="00A37842">
      <w:pPr>
        <w:pStyle w:val="Heading1"/>
      </w:pPr>
      <w:bookmarkStart w:id="1" w:name="O_723973"/>
      <w:bookmarkEnd w:id="1"/>
      <w:r w:rsidRPr="00A37842">
        <w:t>Modification History</w:t>
      </w:r>
    </w:p>
    <w:p w:rsidR="00000000" w:rsidRPr="00A37842" w:rsidP="00D736CC">
      <w:pPr>
        <w:pStyle w:val="BodyText"/>
      </w:pPr>
      <w:r w:rsidRPr="00A37842">
        <w:t>Release 1 - New unit of competency</w:t>
      </w:r>
    </w:p>
    <w:p w:rsidR="00000000" w:rsidRPr="00A37842" w:rsidP="00A37842">
      <w:pPr>
        <w:pStyle w:val="Heading1"/>
      </w:pPr>
      <w:bookmarkStart w:id="2" w:name="O_723981"/>
      <w:bookmarkEnd w:id="2"/>
      <w:r w:rsidRPr="00A37842">
        <w:t>Application</w:t>
      </w:r>
    </w:p>
    <w:p w:rsidR="00000000" w:rsidRPr="00A37842" w:rsidP="00D736CC">
      <w:pPr>
        <w:pStyle w:val="BodyText"/>
      </w:pPr>
      <w:r w:rsidRPr="00A37842">
        <w:t>This unit of competency covers the skills needed to contribute to the design of aircraft systems (mechanical, hydraulic, pneumatic and fuel distribution and supply</w:t>
      </w:r>
      <w:r w:rsidRPr="00A37842">
        <w:t xml:space="preserve"> systems), including modifications. It includes performance of the design process within the requirements of airworthiness regulators and documentation of the design process within management systems, such as configuration management (CM) and integrated lo</w:t>
      </w:r>
      <w:r w:rsidRPr="00A37842">
        <w:t>gistic support (ILS).</w:t>
      </w:r>
    </w:p>
    <w:p w:rsidR="00000000" w:rsidRPr="00A37842" w:rsidP="00D736CC">
      <w:pPr>
        <w:pStyle w:val="BodyText"/>
      </w:pPr>
      <w:r w:rsidRPr="00A37842">
        <w:t>It is suitable for people working within aircraft design teams or in maintenance support engineering organisations and those pursuing careers and qualifications in aeronautical engineering at the paraprofessional level.</w:t>
      </w:r>
    </w:p>
    <w:p w:rsidR="00000000" w:rsidRPr="00A37842" w:rsidP="00D736CC">
      <w:pPr>
        <w:pStyle w:val="BodyText"/>
      </w:pPr>
      <w:r w:rsidRPr="00A37842">
        <w:t>This unit is</w:t>
      </w:r>
      <w:r w:rsidRPr="00A37842">
        <w:t xml:space="preserve"> used in workplaces that operate under the airworthiness regulatory systems of the Australian Defence Force (ADF) and the Civil Aviation Safety Authority (CASA).</w:t>
      </w:r>
    </w:p>
    <w:p w:rsidR="00000000" w:rsidRPr="00A37842" w:rsidP="00A37842">
      <w:pPr>
        <w:pStyle w:val="Heading1"/>
      </w:pPr>
      <w:bookmarkStart w:id="3" w:name="O_723980"/>
      <w:bookmarkEnd w:id="3"/>
      <w:r w:rsidRPr="00A37842">
        <w:t>Pre-requisite Unit</w:t>
      </w:r>
    </w:p>
    <w:tbl>
      <w:tblPr>
        <w:tblW w:w="0" w:type="auto"/>
        <w:tblLayout w:type="fixed"/>
        <w:tblCellMar>
          <w:left w:w="62" w:type="dxa"/>
          <w:right w:w="62" w:type="dxa"/>
        </w:tblCellMar>
        <w:tblLook w:val="0000"/>
      </w:tblPr>
      <w:tblGrid>
        <w:gridCol w:w="2418"/>
        <w:gridCol w:w="6148"/>
      </w:tblGrid>
      <w:tr w:rsidTr="00A37842">
        <w:tblPrEx>
          <w:tblW w:w="0" w:type="auto"/>
          <w:tblLayout w:type="fixed"/>
          <w:tblCellMar>
            <w:left w:w="62" w:type="dxa"/>
            <w:right w:w="62" w:type="dxa"/>
          </w:tblCellMar>
          <w:tblLook w:val="0000"/>
        </w:tblPrEx>
        <w:tc>
          <w:tcPr>
            <w:tcW w:w="2418"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MEA701</w:t>
            </w:r>
          </w:p>
        </w:tc>
        <w:tc>
          <w:tcPr>
            <w:tcW w:w="6148"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Produce aeronautical engineering related graphics</w:t>
            </w:r>
          </w:p>
        </w:tc>
      </w:tr>
      <w:tr w:rsidTr="00A37842">
        <w:tblPrEx>
          <w:tblW w:w="0" w:type="auto"/>
          <w:tblLayout w:type="fixed"/>
          <w:tblCellMar>
            <w:left w:w="62" w:type="dxa"/>
            <w:right w:w="62" w:type="dxa"/>
          </w:tblCellMar>
          <w:tblLook w:val="0000"/>
        </w:tblPrEx>
        <w:tc>
          <w:tcPr>
            <w:tcW w:w="2418"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MEA703</w:t>
            </w:r>
          </w:p>
        </w:tc>
        <w:tc>
          <w:tcPr>
            <w:tcW w:w="6148"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Apply aeronautical modelling for computer-aided engineering</w:t>
            </w:r>
          </w:p>
        </w:tc>
      </w:tr>
      <w:tr w:rsidTr="00A37842">
        <w:tblPrEx>
          <w:tblW w:w="0" w:type="auto"/>
          <w:tblLayout w:type="fixed"/>
          <w:tblCellMar>
            <w:left w:w="62" w:type="dxa"/>
            <w:right w:w="62" w:type="dxa"/>
          </w:tblCellMar>
          <w:tblLook w:val="0000"/>
        </w:tblPrEx>
        <w:tc>
          <w:tcPr>
            <w:tcW w:w="2418"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MEA705</w:t>
            </w:r>
          </w:p>
        </w:tc>
        <w:tc>
          <w:tcPr>
            <w:tcW w:w="6148"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Apply basic scientific principles and techniques in aeronautical engineering situations</w:t>
            </w:r>
          </w:p>
        </w:tc>
      </w:tr>
      <w:tr w:rsidTr="00A37842">
        <w:tblPrEx>
          <w:tblW w:w="0" w:type="auto"/>
          <w:tblLayout w:type="fixed"/>
          <w:tblCellMar>
            <w:left w:w="62" w:type="dxa"/>
            <w:right w:w="62" w:type="dxa"/>
          </w:tblCellMar>
          <w:tblLook w:val="0000"/>
        </w:tblPrEx>
        <w:tc>
          <w:tcPr>
            <w:tcW w:w="2418"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MEM23004A</w:t>
            </w:r>
          </w:p>
        </w:tc>
        <w:tc>
          <w:tcPr>
            <w:tcW w:w="6148" w:type="dxa"/>
            <w:tcBorders>
              <w:top w:val="nil"/>
              <w:left w:val="nil"/>
              <w:bottom w:val="nil"/>
              <w:right w:val="nil"/>
            </w:tcBorders>
            <w:tcMar>
              <w:top w:w="0" w:type="dxa"/>
              <w:left w:w="62" w:type="dxa"/>
              <w:bottom w:w="0" w:type="dxa"/>
              <w:right w:w="62" w:type="dxa"/>
            </w:tcMar>
          </w:tcPr>
          <w:p w:rsidR="00000000" w:rsidRPr="00A37842" w:rsidP="00A37842">
            <w:pPr>
              <w:pStyle w:val="BodyText"/>
            </w:pPr>
            <w:r w:rsidRPr="00A37842">
              <w:t>Apply technical mathematics</w:t>
            </w:r>
          </w:p>
        </w:tc>
      </w:tr>
    </w:tbl>
    <w:p w:rsidR="00000000" w:rsidRPr="00A37842" w:rsidP="00A37842">
      <w:pPr>
        <w:pStyle w:val="BodyText"/>
      </w:pPr>
    </w:p>
    <w:p w:rsidR="00000000" w:rsidRPr="00A37842" w:rsidP="00A37842">
      <w:pPr>
        <w:pStyle w:val="AllowPageBreak"/>
      </w:pPr>
    </w:p>
    <w:p w:rsidR="00000000" w:rsidRPr="00A37842" w:rsidP="00A37842">
      <w:pPr>
        <w:pStyle w:val="Heading1"/>
      </w:pPr>
      <w:bookmarkStart w:id="4" w:name="O_723979"/>
      <w:bookmarkEnd w:id="4"/>
      <w:r w:rsidRPr="00A37842">
        <w:t>Competency Field</w:t>
      </w:r>
    </w:p>
    <w:p w:rsidR="00000000" w:rsidRPr="00A37842" w:rsidP="00D736CC">
      <w:pPr>
        <w:pStyle w:val="BodyText"/>
      </w:pPr>
      <w:r w:rsidRPr="00A37842">
        <w:t>Aeronautical engineering</w:t>
      </w:r>
    </w:p>
    <w:p w:rsidR="00000000" w:rsidRPr="00A37842" w:rsidP="00A37842">
      <w:pPr>
        <w:pStyle w:val="Heading1"/>
      </w:pPr>
      <w:bookmarkStart w:id="5" w:name="O_723978"/>
      <w:bookmarkEnd w:id="5"/>
      <w:r w:rsidRPr="00A37842">
        <w:t>Unit Sector</w:t>
      </w:r>
    </w:p>
    <w:p w:rsidR="00000000" w:rsidRPr="00A37842" w:rsidP="00A37842">
      <w:pPr>
        <w:pStyle w:val="Heading1"/>
      </w:pPr>
      <w:bookmarkStart w:id="6" w:name="O_723977"/>
      <w:bookmarkEnd w:id="6"/>
      <w:r w:rsidRPr="00A37842">
        <w:t>Elements and Performance Criteria</w:t>
      </w:r>
    </w:p>
    <w:tbl>
      <w:tblPr>
        <w:tblW w:w="9286" w:type="dxa"/>
        <w:tblLayout w:type="fixed"/>
        <w:tblCellMar>
          <w:left w:w="62" w:type="dxa"/>
          <w:right w:w="62" w:type="dxa"/>
        </w:tblCellMar>
        <w:tblLook w:val="0000"/>
      </w:tblPr>
      <w:tblGrid>
        <w:gridCol w:w="717"/>
        <w:gridCol w:w="2295"/>
        <w:gridCol w:w="1004"/>
        <w:gridCol w:w="5270"/>
      </w:tblGrid>
      <w:tr w:rsidTr="00A37842">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 xml:space="preserve">Performance criteria describe the performance needed to demonstrate achievement of the element. </w:t>
            </w:r>
          </w:p>
        </w:tc>
      </w:tr>
      <w:tr w:rsidTr="00A3784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1.</w:t>
            </w:r>
          </w:p>
        </w:tc>
        <w:tc>
          <w:tcPr>
            <w:tcW w:w="2295" w:type="dxa"/>
            <w:vMerge w:val="restart"/>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Investigate requirements of aeronautical system design projects</w:t>
            </w:r>
          </w:p>
        </w:tc>
        <w:tc>
          <w:tcPr>
            <w:tcW w:w="1004"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1.1</w:t>
            </w:r>
          </w:p>
        </w:tc>
        <w:tc>
          <w:tcPr>
            <w:tcW w:w="527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Review the context and negotiate parameters of the engineering design brief in consultation with stakeholders</w:t>
            </w:r>
          </w:p>
        </w:tc>
      </w:tr>
      <w:tr w:rsidTr="00A3784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1.2</w:t>
            </w:r>
          </w:p>
        </w:tc>
        <w:tc>
          <w:tcPr>
            <w:tcW w:w="527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Determine engineering scientific principles and design techniques requi</w:t>
            </w:r>
            <w:r w:rsidRPr="00A37842">
              <w:t>red for design process</w:t>
            </w:r>
          </w:p>
        </w:tc>
      </w:tr>
      <w:tr w:rsidTr="00A3784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1.3</w:t>
            </w:r>
          </w:p>
        </w:tc>
        <w:tc>
          <w:tcPr>
            <w:tcW w:w="527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Investigate life-cycle design and sustainability implications of aeronautical system design</w:t>
            </w:r>
          </w:p>
        </w:tc>
      </w:tr>
      <w:tr w:rsidTr="00A3784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1.4</w:t>
            </w:r>
          </w:p>
        </w:tc>
        <w:tc>
          <w:tcPr>
            <w:tcW w:w="527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Determine specification, documentation and graphical techniques required to define designs</w:t>
            </w:r>
          </w:p>
        </w:tc>
      </w:tr>
      <w:tr w:rsidTr="00A3784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1.5</w:t>
            </w:r>
          </w:p>
        </w:tc>
        <w:tc>
          <w:tcPr>
            <w:tcW w:w="527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Confirm work health and safety (WHS), regulatory requirements, codes of practice, standards, risk management and registration requirements relevant to aircraft system design project</w:t>
            </w:r>
          </w:p>
        </w:tc>
      </w:tr>
      <w:tr w:rsidTr="00A3784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1.6</w:t>
            </w:r>
          </w:p>
        </w:tc>
        <w:tc>
          <w:tcPr>
            <w:tcW w:w="527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Investigate the need for technical and professional assistance</w:t>
            </w:r>
          </w:p>
        </w:tc>
      </w:tr>
      <w:tr w:rsidTr="00A3784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2.</w:t>
            </w:r>
          </w:p>
        </w:tc>
        <w:tc>
          <w:tcPr>
            <w:tcW w:w="2295" w:type="dxa"/>
            <w:vMerge w:val="restart"/>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Apply aeronautical system design techniques</w:t>
            </w:r>
          </w:p>
        </w:tc>
        <w:tc>
          <w:tcPr>
            <w:tcW w:w="1004"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2.1</w:t>
            </w:r>
          </w:p>
        </w:tc>
        <w:tc>
          <w:tcPr>
            <w:tcW w:w="527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Plan, schedule and coordinate the design task</w:t>
            </w:r>
          </w:p>
        </w:tc>
      </w:tr>
      <w:tr w:rsidTr="00A3784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2.2</w:t>
            </w:r>
          </w:p>
        </w:tc>
        <w:tc>
          <w:tcPr>
            <w:tcW w:w="527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Apply the design process and aeronautical scientific principles to component selection and design proposals</w:t>
            </w:r>
          </w:p>
        </w:tc>
      </w:tr>
      <w:tr w:rsidTr="00A3784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2.3</w:t>
            </w:r>
          </w:p>
        </w:tc>
        <w:tc>
          <w:tcPr>
            <w:tcW w:w="527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Create adequate and accurate calculations, preliminary graphics and maintain design process records</w:t>
            </w:r>
          </w:p>
        </w:tc>
      </w:tr>
      <w:tr w:rsidTr="00A3784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2.4</w:t>
            </w:r>
          </w:p>
        </w:tc>
        <w:tc>
          <w:tcPr>
            <w:tcW w:w="527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Evaluate multiple solutions against design criteria, risk, sustainability and cost</w:t>
            </w:r>
          </w:p>
        </w:tc>
      </w:tr>
      <w:tr w:rsidTr="00A3784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2.5</w:t>
            </w:r>
          </w:p>
        </w:tc>
        <w:tc>
          <w:tcPr>
            <w:tcW w:w="527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Select system components and hardware</w:t>
            </w:r>
          </w:p>
        </w:tc>
      </w:tr>
      <w:tr w:rsidTr="00A3784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2.6</w:t>
            </w:r>
          </w:p>
        </w:tc>
        <w:tc>
          <w:tcPr>
            <w:tcW w:w="527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Apply systems thinking to problem solving and decision making in dealing with contingencies and constraints for continuous improvement and development of design options</w:t>
            </w:r>
          </w:p>
        </w:tc>
      </w:tr>
      <w:tr w:rsidTr="00A3784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2.7</w:t>
            </w:r>
          </w:p>
        </w:tc>
        <w:tc>
          <w:tcPr>
            <w:tcW w:w="527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 xml:space="preserve">Incorporate professional and technical assistance as </w:t>
            </w:r>
            <w:r w:rsidRPr="00A37842">
              <w:t>required</w:t>
            </w:r>
          </w:p>
        </w:tc>
      </w:tr>
      <w:tr w:rsidTr="00A3784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2.8</w:t>
            </w:r>
          </w:p>
        </w:tc>
        <w:tc>
          <w:tcPr>
            <w:tcW w:w="527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Apply specification, documentation and graphical techniques modelling, mock-up or prototyping techniques to define designs</w:t>
            </w:r>
          </w:p>
        </w:tc>
      </w:tr>
      <w:tr w:rsidTr="00A3784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3.</w:t>
            </w:r>
          </w:p>
        </w:tc>
        <w:tc>
          <w:tcPr>
            <w:tcW w:w="2295"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Report results</w:t>
            </w:r>
          </w:p>
        </w:tc>
        <w:tc>
          <w:tcPr>
            <w:tcW w:w="1004"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3.1</w:t>
            </w:r>
          </w:p>
        </w:tc>
        <w:tc>
          <w:tcPr>
            <w:tcW w:w="527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Report results of investigations, application and development of design</w:t>
            </w:r>
          </w:p>
        </w:tc>
      </w:tr>
      <w:tr w:rsidTr="00A3784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3.2</w:t>
            </w:r>
          </w:p>
        </w:tc>
        <w:tc>
          <w:tcPr>
            <w:tcW w:w="527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Provide documentation and recor</w:t>
            </w:r>
            <w:r w:rsidRPr="00A37842">
              <w:t>ds generated in the design process</w:t>
            </w:r>
          </w:p>
        </w:tc>
      </w:tr>
      <w:tr w:rsidTr="00A3784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3.3</w:t>
            </w:r>
          </w:p>
        </w:tc>
        <w:tc>
          <w:tcPr>
            <w:tcW w:w="5270" w:type="dxa"/>
            <w:tcBorders>
              <w:top w:val="nil"/>
              <w:left w:val="nil"/>
              <w:bottom w:val="nil"/>
              <w:right w:val="nil"/>
            </w:tcBorders>
            <w:tcMar>
              <w:top w:w="0" w:type="dxa"/>
              <w:left w:w="62" w:type="dxa"/>
              <w:bottom w:w="0" w:type="dxa"/>
              <w:right w:w="62" w:type="dxa"/>
            </w:tcMar>
          </w:tcPr>
          <w:p w:rsidR="00000000" w:rsidRPr="00A37842" w:rsidP="00A37842">
            <w:pPr>
              <w:pStyle w:val="BodyText"/>
            </w:pPr>
            <w:r w:rsidRPr="00A37842">
              <w:t>Provide draft documentation required by CM plan and/or ILS process, where applicable</w:t>
            </w:r>
          </w:p>
        </w:tc>
      </w:tr>
    </w:tbl>
    <w:p w:rsidR="00000000" w:rsidRPr="00A37842" w:rsidP="00A37842">
      <w:pPr>
        <w:pStyle w:val="BodyText"/>
      </w:pPr>
    </w:p>
    <w:p w:rsidR="00000000" w:rsidRPr="00A37842" w:rsidP="00A37842">
      <w:pPr>
        <w:pStyle w:val="AllowPageBreak"/>
      </w:pPr>
    </w:p>
    <w:p w:rsidR="00000000" w:rsidRPr="00A37842" w:rsidP="00A37842">
      <w:pPr>
        <w:pStyle w:val="Heading1"/>
      </w:pPr>
      <w:bookmarkStart w:id="7" w:name="O_723976"/>
      <w:bookmarkEnd w:id="7"/>
      <w:r w:rsidRPr="00A37842">
        <w:t>Foundation Skills</w:t>
      </w:r>
    </w:p>
    <w:p w:rsidR="00000000" w:rsidRPr="00A37842" w:rsidP="00D736CC">
      <w:pPr>
        <w:pStyle w:val="BodyText"/>
      </w:pPr>
      <w:r w:rsidRPr="00A37842">
        <w:t>Foundation skills essential to performance are explicit in the performance criteria of this unit of competency.</w:t>
      </w:r>
    </w:p>
    <w:p w:rsidR="00000000" w:rsidRPr="00A37842" w:rsidP="00A37842">
      <w:pPr>
        <w:pStyle w:val="Heading1"/>
      </w:pPr>
      <w:bookmarkStart w:id="8" w:name="O_723975"/>
      <w:bookmarkEnd w:id="8"/>
      <w:r w:rsidRPr="00A37842">
        <w:t>Range of Conditions</w:t>
      </w:r>
    </w:p>
    <w:tbl>
      <w:tblPr>
        <w:tblW w:w="0" w:type="auto"/>
        <w:tblLayout w:type="fixed"/>
        <w:tblCellMar>
          <w:left w:w="62" w:type="dxa"/>
          <w:right w:w="62" w:type="dxa"/>
        </w:tblCellMar>
        <w:tblLook w:val="0000"/>
      </w:tblPr>
      <w:tblGrid>
        <w:gridCol w:w="3060"/>
        <w:gridCol w:w="6012"/>
      </w:tblGrid>
      <w:tr w:rsidTr="00A378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t>This field allows for different work environments and conditions that may affect performance. Essential ope</w:t>
            </w:r>
            <w:r w:rsidRPr="00A37842">
              <w:t>rating conditions that may be present (depending on the work situation, needs of the candidate, accessibility of the item, and local industry and regional contexts) are included.</w:t>
            </w:r>
          </w:p>
        </w:tc>
      </w:tr>
      <w:tr w:rsidTr="00A3784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rPr>
                <w:rStyle w:val="SpecialBold"/>
              </w:rPr>
              <w:t>Aeronautical engineering refers to:</w:t>
            </w:r>
          </w:p>
        </w:tc>
        <w:tc>
          <w:tcPr>
            <w:tcW w:w="6012" w:type="dxa"/>
            <w:tcBorders>
              <w:top w:val="nil"/>
              <w:left w:val="nil"/>
              <w:bottom w:val="nil"/>
              <w:right w:val="nil"/>
            </w:tcBorders>
            <w:tcMar>
              <w:top w:w="0" w:type="dxa"/>
              <w:left w:w="62" w:type="dxa"/>
              <w:bottom w:w="0" w:type="dxa"/>
              <w:right w:w="62" w:type="dxa"/>
            </w:tcMar>
          </w:tcPr>
          <w:p w:rsidR="00000000" w:rsidP="00A37842">
            <w:pPr>
              <w:pStyle w:val="ListBullet"/>
              <w:rPr>
                <w:lang w:val="en-NZ"/>
              </w:rPr>
            </w:pPr>
            <w:r w:rsidRPr="00A37842">
              <w:t>The engineering discipline concerned w</w:t>
            </w:r>
            <w:r w:rsidRPr="00A37842">
              <w:t>ith the conceptual development, research, design, manufacture, implementation, installation, commissioning and maintenance of aerospace structure, mechanical, hydraulic, pneumatic, fuel and fire products, processes, systems or services for civil and milita</w:t>
            </w:r>
            <w:r w:rsidRPr="00A37842">
              <w:t>ry applications.</w:t>
            </w:r>
          </w:p>
        </w:tc>
      </w:tr>
      <w:tr w:rsidTr="00A3784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rPr>
                <w:rStyle w:val="SpecialBold"/>
              </w:rPr>
              <w:t>Aircraft systems include:</w:t>
            </w:r>
          </w:p>
        </w:tc>
        <w:tc>
          <w:tcPr>
            <w:tcW w:w="6012" w:type="dxa"/>
            <w:tcBorders>
              <w:top w:val="nil"/>
              <w:left w:val="nil"/>
              <w:bottom w:val="nil"/>
              <w:right w:val="nil"/>
            </w:tcBorders>
            <w:tcMar>
              <w:top w:w="0" w:type="dxa"/>
              <w:left w:w="62" w:type="dxa"/>
              <w:bottom w:w="0" w:type="dxa"/>
              <w:right w:w="62" w:type="dxa"/>
            </w:tcMar>
          </w:tcPr>
          <w:p w:rsidR="00000000" w:rsidRPr="00A37842" w:rsidP="00A37842">
            <w:pPr>
              <w:pStyle w:val="ListBullet"/>
            </w:pPr>
            <w:r w:rsidRPr="00A37842">
              <w:t>Mechanical systems</w:t>
            </w:r>
          </w:p>
          <w:p w:rsidR="00000000" w:rsidRPr="00A37842" w:rsidP="00A37842">
            <w:pPr>
              <w:pStyle w:val="ListBullet"/>
            </w:pPr>
            <w:r w:rsidRPr="00A37842">
              <w:t>Hydraulic systems</w:t>
            </w:r>
          </w:p>
          <w:p w:rsidR="00000000" w:rsidRPr="00A37842" w:rsidP="00A37842">
            <w:pPr>
              <w:pStyle w:val="ListBullet"/>
            </w:pPr>
            <w:r w:rsidRPr="00A37842">
              <w:t>Pneumatic systems</w:t>
            </w:r>
          </w:p>
          <w:p w:rsidR="00000000" w:rsidRPr="00A37842" w:rsidP="00A37842">
            <w:pPr>
              <w:pStyle w:val="ListBullet"/>
            </w:pPr>
            <w:r w:rsidRPr="00A37842">
              <w:t>Fuel distribution and supply systems</w:t>
            </w:r>
          </w:p>
          <w:p w:rsidR="00000000" w:rsidP="00A37842">
            <w:pPr>
              <w:pStyle w:val="ListBullet"/>
              <w:rPr>
                <w:lang w:val="en-NZ"/>
              </w:rPr>
            </w:pPr>
            <w:r w:rsidRPr="00A37842">
              <w:t>Electrical and electronic system control interfaces</w:t>
            </w:r>
          </w:p>
        </w:tc>
      </w:tr>
      <w:tr w:rsidTr="00A3784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rPr>
                <w:rStyle w:val="SpecialBold"/>
              </w:rPr>
              <w:t>Context of engineering design activity includes:</w:t>
            </w:r>
          </w:p>
        </w:tc>
        <w:tc>
          <w:tcPr>
            <w:tcW w:w="6012" w:type="dxa"/>
            <w:tcBorders>
              <w:top w:val="nil"/>
              <w:left w:val="nil"/>
              <w:bottom w:val="nil"/>
              <w:right w:val="nil"/>
            </w:tcBorders>
            <w:tcMar>
              <w:top w:w="0" w:type="dxa"/>
              <w:left w:w="62" w:type="dxa"/>
              <w:bottom w:w="0" w:type="dxa"/>
              <w:right w:w="62" w:type="dxa"/>
            </w:tcMar>
          </w:tcPr>
          <w:p w:rsidR="00000000" w:rsidRPr="00A37842" w:rsidP="00A37842">
            <w:pPr>
              <w:pStyle w:val="ListBullet"/>
            </w:pPr>
            <w:r w:rsidRPr="00A37842">
              <w:t>Competitive market</w:t>
            </w:r>
          </w:p>
          <w:p w:rsidR="00000000" w:rsidRPr="00A37842" w:rsidP="00A37842">
            <w:pPr>
              <w:pStyle w:val="ListBullet"/>
            </w:pPr>
            <w:r w:rsidRPr="00A37842">
              <w:t>Geo political factors, such as access to materials and markets</w:t>
            </w:r>
          </w:p>
          <w:p w:rsidR="00000000" w:rsidRPr="00A37842" w:rsidP="00A37842">
            <w:pPr>
              <w:pStyle w:val="ListBullet"/>
            </w:pPr>
            <w:r w:rsidRPr="00A37842">
              <w:t>Technological advantage/disadvantage</w:t>
            </w:r>
          </w:p>
          <w:p w:rsidR="00000000" w:rsidRPr="00A37842" w:rsidP="00A37842">
            <w:pPr>
              <w:pStyle w:val="ListBullet"/>
            </w:pPr>
            <w:r w:rsidRPr="00A37842">
              <w:t>Resources supply: materials, labour and skills</w:t>
            </w:r>
          </w:p>
          <w:p w:rsidR="00000000" w:rsidRPr="00A37842" w:rsidP="00A37842">
            <w:pPr>
              <w:pStyle w:val="ListBullet"/>
            </w:pPr>
            <w:r w:rsidRPr="00A37842">
              <w:t xml:space="preserve">Sustainability issues relevant to design task, including </w:t>
            </w:r>
          </w:p>
          <w:p w:rsidR="00000000" w:rsidRPr="00A37842" w:rsidP="00A37842">
            <w:pPr>
              <w:pStyle w:val="ListBullet2"/>
            </w:pPr>
            <w:r w:rsidRPr="00A37842">
              <w:t>social, economic and environmen</w:t>
            </w:r>
            <w:r w:rsidRPr="00A37842">
              <w:t xml:space="preserve">tal considerations </w:t>
            </w:r>
          </w:p>
          <w:p w:rsidR="00000000" w:rsidRPr="00A37842" w:rsidP="00A37842">
            <w:pPr>
              <w:pStyle w:val="ListBullet2"/>
            </w:pPr>
            <w:r w:rsidRPr="00A37842">
              <w:t>material and energy resources</w:t>
            </w:r>
          </w:p>
          <w:p w:rsidR="00000000" w:rsidRPr="00A37842" w:rsidP="00A37842">
            <w:pPr>
              <w:pStyle w:val="ListBullet"/>
            </w:pPr>
            <w:r w:rsidRPr="00A37842">
              <w:t>WHS, risk, and applicable standards and code requirements</w:t>
            </w:r>
          </w:p>
          <w:p w:rsidR="00000000" w:rsidP="00A37842">
            <w:pPr>
              <w:pStyle w:val="ListBullet"/>
              <w:rPr>
                <w:lang w:val="en-NZ"/>
              </w:rPr>
            </w:pPr>
            <w:r w:rsidRPr="00A37842">
              <w:t>Regulatory requirements and procedures associated with design and modification of aircraft systems</w:t>
            </w:r>
          </w:p>
        </w:tc>
      </w:tr>
      <w:tr w:rsidTr="00A3784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rPr>
                <w:rStyle w:val="SpecialBold"/>
              </w:rPr>
              <w:t>Planning processes include:</w:t>
            </w:r>
          </w:p>
        </w:tc>
        <w:tc>
          <w:tcPr>
            <w:tcW w:w="6012" w:type="dxa"/>
            <w:tcBorders>
              <w:top w:val="nil"/>
              <w:left w:val="nil"/>
              <w:bottom w:val="nil"/>
              <w:right w:val="nil"/>
            </w:tcBorders>
            <w:tcMar>
              <w:top w:w="0" w:type="dxa"/>
              <w:left w:w="62" w:type="dxa"/>
              <w:bottom w:w="0" w:type="dxa"/>
              <w:right w:w="62" w:type="dxa"/>
            </w:tcMar>
          </w:tcPr>
          <w:p w:rsidR="00000000" w:rsidRPr="00A37842" w:rsidP="00A37842">
            <w:pPr>
              <w:pStyle w:val="ListBullet"/>
            </w:pPr>
            <w:r w:rsidRPr="00A37842">
              <w:t>Establishing design parameters and design criteria</w:t>
            </w:r>
          </w:p>
          <w:p w:rsidR="00000000" w:rsidRPr="00A37842" w:rsidP="00A37842">
            <w:pPr>
              <w:pStyle w:val="ListBullet"/>
            </w:pPr>
            <w:r w:rsidRPr="00A37842">
              <w:t>Contributing to the negotiation and advice process</w:t>
            </w:r>
          </w:p>
          <w:p w:rsidR="00000000" w:rsidRPr="00A37842" w:rsidP="00A37842">
            <w:pPr>
              <w:pStyle w:val="ListBullet"/>
            </w:pPr>
            <w:r w:rsidRPr="00A37842">
              <w:t>Preliminary planning, design investigations and costing</w:t>
            </w:r>
          </w:p>
          <w:p w:rsidR="00000000" w:rsidRPr="00A37842" w:rsidP="00A37842">
            <w:pPr>
              <w:pStyle w:val="ListBullet"/>
            </w:pPr>
            <w:r w:rsidRPr="00A37842">
              <w:t>Identifying design, development, prototyping activities and skills requirements</w:t>
            </w:r>
          </w:p>
          <w:p w:rsidR="00000000" w:rsidRPr="00A37842" w:rsidP="00A37842">
            <w:pPr>
              <w:pStyle w:val="ListBullet"/>
            </w:pPr>
            <w:r w:rsidRPr="00A37842">
              <w:t>Planning and scheduling design activities</w:t>
            </w:r>
          </w:p>
          <w:p w:rsidR="00000000" w:rsidP="00A37842">
            <w:pPr>
              <w:pStyle w:val="ListBullet"/>
              <w:rPr>
                <w:lang w:val="en-NZ"/>
              </w:rPr>
            </w:pPr>
            <w:r w:rsidRPr="00A37842">
              <w:t>Improving, adjusting, rescheduling as required by emergency contingencies and constraints</w:t>
            </w:r>
          </w:p>
        </w:tc>
      </w:tr>
      <w:tr w:rsidTr="00A3784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rPr>
                <w:rStyle w:val="SpecialBold"/>
              </w:rPr>
              <w:t>Design process includes:</w:t>
            </w:r>
          </w:p>
        </w:tc>
        <w:tc>
          <w:tcPr>
            <w:tcW w:w="6012" w:type="dxa"/>
            <w:tcBorders>
              <w:top w:val="nil"/>
              <w:left w:val="nil"/>
              <w:bottom w:val="nil"/>
              <w:right w:val="nil"/>
            </w:tcBorders>
            <w:tcMar>
              <w:top w:w="0" w:type="dxa"/>
              <w:left w:w="62" w:type="dxa"/>
              <w:bottom w:w="0" w:type="dxa"/>
              <w:right w:w="62" w:type="dxa"/>
            </w:tcMar>
          </w:tcPr>
          <w:p w:rsidR="00000000" w:rsidRPr="00A37842" w:rsidP="00A37842">
            <w:pPr>
              <w:pStyle w:val="ListBullet"/>
            </w:pPr>
            <w:r w:rsidRPr="00A37842">
              <w:t>Establishing design parameters and criteria</w:t>
            </w:r>
          </w:p>
          <w:p w:rsidR="00000000" w:rsidRPr="00A37842" w:rsidP="00A37842">
            <w:pPr>
              <w:pStyle w:val="ListBullet"/>
            </w:pPr>
            <w:r w:rsidRPr="00A37842">
              <w:t>Researching, measuring, experimenting and investigati</w:t>
            </w:r>
            <w:r w:rsidRPr="00A37842">
              <w:t>ng</w:t>
            </w:r>
          </w:p>
          <w:p w:rsidR="00000000" w:rsidRPr="00A37842" w:rsidP="00A37842">
            <w:pPr>
              <w:pStyle w:val="ListBullet"/>
            </w:pPr>
            <w:r w:rsidRPr="00A37842">
              <w:t>Generating ideas</w:t>
            </w:r>
          </w:p>
          <w:p w:rsidR="00000000" w:rsidRPr="00A37842" w:rsidP="00A37842">
            <w:pPr>
              <w:pStyle w:val="ListBullet"/>
            </w:pPr>
            <w:r w:rsidRPr="00A37842">
              <w:t>Synthesis, problem solving and decision making, addressing constraints</w:t>
            </w:r>
          </w:p>
          <w:p w:rsidR="00000000" w:rsidRPr="00A37842" w:rsidP="00A37842">
            <w:pPr>
              <w:pStyle w:val="ListBullet"/>
            </w:pPr>
            <w:r w:rsidRPr="00A37842">
              <w:t>Applying scientific principles, calculation and graphics, prototyping and mock-up techniques</w:t>
            </w:r>
          </w:p>
          <w:p w:rsidR="00000000" w:rsidRPr="00A37842" w:rsidP="00A37842">
            <w:pPr>
              <w:pStyle w:val="ListBullet"/>
            </w:pPr>
            <w:r w:rsidRPr="00A37842">
              <w:t>Evaluating solutions against design criteria</w:t>
            </w:r>
          </w:p>
          <w:p w:rsidR="00000000" w:rsidRPr="00A37842" w:rsidP="00A37842">
            <w:pPr>
              <w:pStyle w:val="ListBullet"/>
            </w:pPr>
            <w:r w:rsidRPr="00A37842">
              <w:t>Consultation, adjustments a</w:t>
            </w:r>
            <w:r w:rsidRPr="00A37842">
              <w:t>nd agreement</w:t>
            </w:r>
          </w:p>
          <w:p w:rsidR="00000000" w:rsidP="00A37842">
            <w:pPr>
              <w:pStyle w:val="ListBullet"/>
              <w:rPr>
                <w:lang w:val="en-NZ"/>
              </w:rPr>
            </w:pPr>
            <w:r w:rsidRPr="00A37842">
              <w:t>Finalise design and sign-off</w:t>
            </w:r>
          </w:p>
        </w:tc>
      </w:tr>
      <w:tr w:rsidTr="00A3784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rPr>
                <w:rStyle w:val="SpecialBold"/>
              </w:rPr>
              <w:t>Design criteria includes:</w:t>
            </w:r>
          </w:p>
        </w:tc>
        <w:tc>
          <w:tcPr>
            <w:tcW w:w="6012" w:type="dxa"/>
            <w:tcBorders>
              <w:top w:val="nil"/>
              <w:left w:val="nil"/>
              <w:bottom w:val="nil"/>
              <w:right w:val="nil"/>
            </w:tcBorders>
            <w:tcMar>
              <w:top w:w="0" w:type="dxa"/>
              <w:left w:w="62" w:type="dxa"/>
              <w:bottom w:w="0" w:type="dxa"/>
              <w:right w:w="62" w:type="dxa"/>
            </w:tcMar>
          </w:tcPr>
          <w:p w:rsidR="00000000" w:rsidRPr="00A37842" w:rsidP="00A37842">
            <w:pPr>
              <w:pStyle w:val="ListBullet"/>
            </w:pPr>
            <w:r w:rsidRPr="00A37842">
              <w:t>Regulatory requirements and associated standards</w:t>
            </w:r>
          </w:p>
          <w:p w:rsidR="00000000" w:rsidRPr="00A37842" w:rsidP="00A37842">
            <w:pPr>
              <w:pStyle w:val="ListBullet"/>
            </w:pPr>
            <w:r w:rsidRPr="00A37842">
              <w:t>Function</w:t>
            </w:r>
          </w:p>
          <w:p w:rsidR="00000000" w:rsidRPr="00A37842" w:rsidP="00A37842">
            <w:pPr>
              <w:pStyle w:val="ListBullet"/>
            </w:pPr>
            <w:r w:rsidRPr="00A37842">
              <w:t>Aesthetics</w:t>
            </w:r>
          </w:p>
          <w:p w:rsidR="00000000" w:rsidRPr="00A37842" w:rsidP="00A37842">
            <w:pPr>
              <w:pStyle w:val="ListBullet"/>
            </w:pPr>
            <w:r w:rsidRPr="00A37842">
              <w:t>Selection of system components</w:t>
            </w:r>
          </w:p>
          <w:p w:rsidR="00000000" w:rsidRPr="00A37842" w:rsidP="00A37842">
            <w:pPr>
              <w:pStyle w:val="ListBullet"/>
            </w:pPr>
            <w:r w:rsidRPr="00A37842">
              <w:t>Manufacturability, maintainability</w:t>
            </w:r>
          </w:p>
          <w:p w:rsidR="00000000" w:rsidRPr="00A37842" w:rsidP="00A37842">
            <w:pPr>
              <w:pStyle w:val="ListBullet"/>
            </w:pPr>
            <w:r w:rsidRPr="00A37842">
              <w:t>Marketability</w:t>
            </w:r>
          </w:p>
          <w:p w:rsidR="00000000" w:rsidRPr="00A37842" w:rsidP="00A37842">
            <w:pPr>
              <w:pStyle w:val="ListBullet"/>
            </w:pPr>
            <w:r w:rsidRPr="00A37842">
              <w:t>Sustainability:</w:t>
            </w:r>
          </w:p>
          <w:p w:rsidR="00000000" w:rsidRPr="00A37842" w:rsidP="00A37842">
            <w:pPr>
              <w:pStyle w:val="ListBullet2"/>
            </w:pPr>
            <w:r w:rsidRPr="00A37842">
              <w:t>social, economic and environmental</w:t>
            </w:r>
          </w:p>
          <w:p w:rsidR="00000000" w:rsidRPr="00A37842" w:rsidP="00A37842">
            <w:pPr>
              <w:pStyle w:val="ListBullet2"/>
            </w:pPr>
            <w:r w:rsidRPr="00A37842">
              <w:t>material and energy resources</w:t>
            </w:r>
          </w:p>
          <w:p w:rsidR="00000000" w:rsidRPr="00A37842" w:rsidP="00A37842">
            <w:pPr>
              <w:pStyle w:val="ListBullet2"/>
            </w:pPr>
            <w:r w:rsidRPr="00A37842">
              <w:t>cost constraints</w:t>
            </w:r>
          </w:p>
          <w:p w:rsidR="00000000" w:rsidRPr="00A37842" w:rsidP="00A37842">
            <w:pPr>
              <w:pStyle w:val="ListBullet"/>
            </w:pPr>
            <w:r w:rsidRPr="00A37842">
              <w:t>Ergonomics and anthropometrics and physiology</w:t>
            </w:r>
          </w:p>
          <w:p w:rsidR="00000000" w:rsidRPr="00A37842" w:rsidP="00A37842">
            <w:pPr>
              <w:pStyle w:val="ListBullet"/>
            </w:pPr>
            <w:r w:rsidRPr="00A37842">
              <w:t>Facilities, plant and skills available</w:t>
            </w:r>
          </w:p>
          <w:p w:rsidR="00000000" w:rsidP="00A37842">
            <w:pPr>
              <w:pStyle w:val="ListBullet"/>
              <w:rPr>
                <w:lang w:val="en-NZ"/>
              </w:rPr>
            </w:pPr>
            <w:r w:rsidRPr="00A37842">
              <w:t>Safety and risk</w:t>
            </w:r>
          </w:p>
        </w:tc>
      </w:tr>
      <w:tr w:rsidTr="00A3784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rPr>
                <w:rStyle w:val="SpecialBold"/>
              </w:rPr>
              <w:t>Design analysis includes:</w:t>
            </w:r>
          </w:p>
        </w:tc>
        <w:tc>
          <w:tcPr>
            <w:tcW w:w="6012" w:type="dxa"/>
            <w:tcBorders>
              <w:top w:val="nil"/>
              <w:left w:val="nil"/>
              <w:bottom w:val="nil"/>
              <w:right w:val="nil"/>
            </w:tcBorders>
            <w:tcMar>
              <w:top w:w="0" w:type="dxa"/>
              <w:left w:w="62" w:type="dxa"/>
              <w:bottom w:w="0" w:type="dxa"/>
              <w:right w:w="62" w:type="dxa"/>
            </w:tcMar>
          </w:tcPr>
          <w:p w:rsidR="00000000" w:rsidRPr="00A37842" w:rsidP="00A37842">
            <w:pPr>
              <w:pStyle w:val="ListBullet"/>
            </w:pPr>
            <w:r w:rsidRPr="00A37842">
              <w:t>System layout and selection of control media</w:t>
            </w:r>
          </w:p>
          <w:p w:rsidR="00000000" w:rsidRPr="00A37842" w:rsidP="00A37842">
            <w:pPr>
              <w:pStyle w:val="ListBullet"/>
            </w:pPr>
            <w:r w:rsidRPr="00A37842">
              <w:t>Integration of components into the system</w:t>
            </w:r>
          </w:p>
          <w:p w:rsidR="00000000" w:rsidRPr="00A37842" w:rsidP="00A37842">
            <w:pPr>
              <w:pStyle w:val="ListBullet"/>
            </w:pPr>
            <w:r w:rsidRPr="00A37842">
              <w:t>System and components performance against specified standards/specifications and regulatory requirements</w:t>
            </w:r>
          </w:p>
          <w:p w:rsidR="00000000" w:rsidRPr="00A37842" w:rsidP="00A37842">
            <w:pPr>
              <w:pStyle w:val="ListBullet"/>
            </w:pPr>
            <w:r w:rsidRPr="00A37842">
              <w:t>System/component reliability and maintainability against specified standards/specifications and regulatory r</w:t>
            </w:r>
            <w:r w:rsidRPr="00A37842">
              <w:t>equirements</w:t>
            </w:r>
          </w:p>
          <w:p w:rsidR="00000000" w:rsidP="00A37842">
            <w:pPr>
              <w:pStyle w:val="ListBullet"/>
              <w:rPr>
                <w:lang w:val="en-NZ"/>
              </w:rPr>
            </w:pPr>
            <w:r w:rsidRPr="00A37842">
              <w:t>Graphical and mathematical methods and software options</w:t>
            </w:r>
          </w:p>
        </w:tc>
      </w:tr>
      <w:tr w:rsidTr="00A3784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rPr>
                <w:rStyle w:val="SpecialBold"/>
              </w:rPr>
              <w:t>Configuration management (CM)</w:t>
            </w:r>
          </w:p>
        </w:tc>
        <w:tc>
          <w:tcPr>
            <w:tcW w:w="6012" w:type="dxa"/>
            <w:tcBorders>
              <w:top w:val="nil"/>
              <w:left w:val="nil"/>
              <w:bottom w:val="nil"/>
              <w:right w:val="nil"/>
            </w:tcBorders>
            <w:tcMar>
              <w:top w:w="0" w:type="dxa"/>
              <w:left w:w="62" w:type="dxa"/>
              <w:bottom w:w="0" w:type="dxa"/>
              <w:right w:w="62" w:type="dxa"/>
            </w:tcMar>
          </w:tcPr>
          <w:p w:rsidR="00000000" w:rsidP="00A37842">
            <w:pPr>
              <w:pStyle w:val="ListBullet"/>
              <w:rPr>
                <w:lang w:val="en-NZ"/>
              </w:rPr>
            </w:pPr>
            <w:r w:rsidRPr="00A37842">
              <w:t xml:space="preserve">CM is a process for control and documentation of the design and development process and for the management of system, component and software throughout the </w:t>
            </w:r>
            <w:r w:rsidRPr="00A37842">
              <w:t>service life.</w:t>
            </w:r>
          </w:p>
        </w:tc>
      </w:tr>
      <w:tr w:rsidTr="00A3784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rPr>
                <w:rStyle w:val="SpecialBold"/>
              </w:rPr>
              <w:t>Integrated logistic support (ILS)</w:t>
            </w:r>
          </w:p>
        </w:tc>
        <w:tc>
          <w:tcPr>
            <w:tcW w:w="6012" w:type="dxa"/>
            <w:tcBorders>
              <w:top w:val="nil"/>
              <w:left w:val="nil"/>
              <w:bottom w:val="nil"/>
              <w:right w:val="nil"/>
            </w:tcBorders>
            <w:tcMar>
              <w:top w:w="0" w:type="dxa"/>
              <w:left w:w="62" w:type="dxa"/>
              <w:bottom w:w="0" w:type="dxa"/>
              <w:right w:w="62" w:type="dxa"/>
            </w:tcMar>
          </w:tcPr>
          <w:p w:rsidR="00000000" w:rsidRPr="00A37842" w:rsidP="00A37842">
            <w:pPr>
              <w:pStyle w:val="ListBullet"/>
            </w:pPr>
            <w:r w:rsidRPr="00A37842">
              <w:t>ILS is an integrated approach to the management of logistic disciplines originally developed for the management of military systems from design concept to final disposal at life-of-type. It covers:</w:t>
            </w:r>
          </w:p>
          <w:p w:rsidR="00000000" w:rsidRPr="00A37842" w:rsidP="00A37842">
            <w:pPr>
              <w:pStyle w:val="ListBullet2"/>
            </w:pPr>
            <w:r w:rsidRPr="00A37842">
              <w:t>reliabi</w:t>
            </w:r>
            <w:r w:rsidRPr="00A37842">
              <w:t>lity engineering, maintainability engineering and maintenance planning</w:t>
            </w:r>
          </w:p>
          <w:p w:rsidR="00000000" w:rsidRPr="00A37842" w:rsidP="00A37842">
            <w:pPr>
              <w:pStyle w:val="ListBullet2"/>
            </w:pPr>
            <w:r w:rsidRPr="00A37842">
              <w:t>supply and support</w:t>
            </w:r>
          </w:p>
          <w:p w:rsidR="00000000" w:rsidRPr="00A37842" w:rsidP="00A37842">
            <w:pPr>
              <w:pStyle w:val="ListBullet2"/>
            </w:pPr>
            <w:r w:rsidRPr="00A37842">
              <w:t>support and test equipment</w:t>
            </w:r>
          </w:p>
          <w:p w:rsidR="00000000" w:rsidRPr="00A37842" w:rsidP="00A37842">
            <w:pPr>
              <w:pStyle w:val="ListBullet2"/>
            </w:pPr>
            <w:r w:rsidRPr="00A37842">
              <w:t>manpower and personnel</w:t>
            </w:r>
          </w:p>
          <w:p w:rsidR="00000000" w:rsidRPr="00A37842" w:rsidP="00A37842">
            <w:pPr>
              <w:pStyle w:val="ListBullet2"/>
            </w:pPr>
            <w:r w:rsidRPr="00A37842">
              <w:t>training and training support</w:t>
            </w:r>
          </w:p>
          <w:p w:rsidR="00000000" w:rsidRPr="00A37842" w:rsidP="00A37842">
            <w:pPr>
              <w:pStyle w:val="ListBullet2"/>
            </w:pPr>
            <w:r w:rsidRPr="00A37842">
              <w:t>technical data and publications</w:t>
            </w:r>
          </w:p>
          <w:p w:rsidR="00000000" w:rsidRPr="00A37842" w:rsidP="00A37842">
            <w:pPr>
              <w:pStyle w:val="ListBullet2"/>
            </w:pPr>
            <w:r w:rsidRPr="00A37842">
              <w:t>computer resources support</w:t>
            </w:r>
          </w:p>
          <w:p w:rsidR="00000000" w:rsidRPr="00A37842" w:rsidP="00A37842">
            <w:pPr>
              <w:pStyle w:val="ListBullet2"/>
            </w:pPr>
            <w:r w:rsidRPr="00A37842">
              <w:t>facilities</w:t>
            </w:r>
          </w:p>
          <w:p w:rsidR="00000000" w:rsidRPr="00A37842" w:rsidP="00A37842">
            <w:pPr>
              <w:pStyle w:val="ListBullet2"/>
            </w:pPr>
            <w:r w:rsidRPr="00A37842">
              <w:t>packaging, handling, storage and transportation</w:t>
            </w:r>
          </w:p>
          <w:p w:rsidR="00000000" w:rsidP="00A37842">
            <w:pPr>
              <w:pStyle w:val="ListBullet2"/>
              <w:rPr>
                <w:lang w:val="en-NZ"/>
              </w:rPr>
            </w:pPr>
            <w:r w:rsidRPr="00A37842">
              <w:t>design interface</w:t>
            </w:r>
          </w:p>
        </w:tc>
      </w:tr>
      <w:tr w:rsidTr="00A3784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rPr>
                <w:rStyle w:val="SpecialBold"/>
              </w:rPr>
              <w:t>Sustainability considerations include:</w:t>
            </w:r>
          </w:p>
        </w:tc>
        <w:tc>
          <w:tcPr>
            <w:tcW w:w="6012" w:type="dxa"/>
            <w:tcBorders>
              <w:top w:val="nil"/>
              <w:left w:val="nil"/>
              <w:bottom w:val="nil"/>
              <w:right w:val="nil"/>
            </w:tcBorders>
            <w:tcMar>
              <w:top w:w="0" w:type="dxa"/>
              <w:left w:w="62" w:type="dxa"/>
              <w:bottom w:w="0" w:type="dxa"/>
              <w:right w:w="62" w:type="dxa"/>
            </w:tcMar>
          </w:tcPr>
          <w:p w:rsidR="00000000" w:rsidRPr="00A37842" w:rsidP="00A37842">
            <w:pPr>
              <w:pStyle w:val="ListBullet"/>
            </w:pPr>
            <w:r w:rsidRPr="00A37842">
              <w:t>Resources and energy required for design:</w:t>
            </w:r>
          </w:p>
          <w:p w:rsidR="00000000" w:rsidRPr="00A37842" w:rsidP="00A37842">
            <w:pPr>
              <w:pStyle w:val="ListBullet"/>
            </w:pPr>
            <w:r w:rsidRPr="00A37842">
              <w:t>Life-cycle design of product (manufacture to remanufacture or recycle)</w:t>
            </w:r>
          </w:p>
          <w:p w:rsidR="00000000" w:rsidRPr="00A37842" w:rsidP="00A37842">
            <w:pPr>
              <w:pStyle w:val="ListBullet"/>
            </w:pPr>
            <w:r w:rsidRPr="00A37842">
              <w:t>Environmental considerations in manufacturing and operation of design:</w:t>
            </w:r>
          </w:p>
          <w:p w:rsidR="00000000" w:rsidRPr="00A37842" w:rsidP="00A37842">
            <w:pPr>
              <w:pStyle w:val="ListBullet2"/>
            </w:pPr>
            <w:r w:rsidRPr="00A37842">
              <w:t>raw material, solids and hazardous waste, and production by-products</w:t>
            </w:r>
          </w:p>
          <w:p w:rsidR="00000000" w:rsidRPr="00A37842" w:rsidP="00A37842">
            <w:pPr>
              <w:pStyle w:val="ListBullet2"/>
            </w:pPr>
            <w:r w:rsidRPr="00A37842">
              <w:t>potential contamination of land, air and stormwater pollutants, and discharge to sewerage</w:t>
            </w:r>
          </w:p>
          <w:p w:rsidR="00000000" w:rsidP="00A37842">
            <w:pPr>
              <w:pStyle w:val="ListBullet2"/>
              <w:rPr>
                <w:lang w:val="en-NZ"/>
              </w:rPr>
            </w:pPr>
            <w:r w:rsidRPr="00A37842">
              <w:t>carbon pollution and redu</w:t>
            </w:r>
            <w:r w:rsidRPr="00A37842">
              <w:t>ction effects</w:t>
            </w:r>
          </w:p>
        </w:tc>
      </w:tr>
      <w:tr w:rsidTr="00A3784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rPr>
                <w:rStyle w:val="SpecialBold"/>
              </w:rPr>
              <w:t>Prototyping includes:</w:t>
            </w:r>
          </w:p>
        </w:tc>
        <w:tc>
          <w:tcPr>
            <w:tcW w:w="6012" w:type="dxa"/>
            <w:tcBorders>
              <w:top w:val="nil"/>
              <w:left w:val="nil"/>
              <w:bottom w:val="nil"/>
              <w:right w:val="nil"/>
            </w:tcBorders>
            <w:tcMar>
              <w:top w:w="0" w:type="dxa"/>
              <w:left w:w="62" w:type="dxa"/>
              <w:bottom w:w="0" w:type="dxa"/>
              <w:right w:w="62" w:type="dxa"/>
            </w:tcMar>
          </w:tcPr>
          <w:p w:rsidR="00000000" w:rsidRPr="00A37842" w:rsidP="00A37842">
            <w:pPr>
              <w:pStyle w:val="ListBullet"/>
            </w:pPr>
            <w:r w:rsidRPr="00A37842">
              <w:t>Any combination of:</w:t>
            </w:r>
          </w:p>
          <w:p w:rsidR="00000000" w:rsidRPr="00A37842" w:rsidP="00A37842">
            <w:pPr>
              <w:pStyle w:val="ListBullet2"/>
            </w:pPr>
            <w:r w:rsidRPr="00A37842">
              <w:t>mock-ups</w:t>
            </w:r>
          </w:p>
          <w:p w:rsidR="00000000" w:rsidP="00A37842">
            <w:pPr>
              <w:pStyle w:val="ListBullet2"/>
              <w:rPr>
                <w:lang w:val="en-NZ"/>
              </w:rPr>
            </w:pPr>
            <w:r w:rsidRPr="00A37842">
              <w:t>physical and virtual modelling with post-processing for computer-numerically controlled (CNC) and rapid prototyping</w:t>
            </w:r>
          </w:p>
        </w:tc>
      </w:tr>
      <w:tr w:rsidTr="00A3784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37842" w:rsidP="00A37842">
            <w:pPr>
              <w:pStyle w:val="BodyText"/>
            </w:pPr>
            <w:r w:rsidRPr="00A37842">
              <w:rPr>
                <w:rStyle w:val="SpecialBold"/>
              </w:rPr>
              <w:t>Systems thinking includes:</w:t>
            </w:r>
          </w:p>
          <w:p w:rsidR="00000000" w:rsidP="00A37842">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A37842" w:rsidP="00A37842">
            <w:pPr>
              <w:pStyle w:val="ListBullet"/>
            </w:pPr>
            <w:r w:rsidRPr="00A37842">
              <w:t>The process of developing solutions within the context of an entire system</w:t>
            </w:r>
          </w:p>
          <w:p w:rsidR="00000000" w:rsidP="00A37842">
            <w:pPr>
              <w:pStyle w:val="ListBullet"/>
              <w:rPr>
                <w:lang w:val="en-NZ"/>
              </w:rPr>
            </w:pPr>
            <w:r w:rsidRPr="00A37842">
              <w:t>Recognising that an improvement in one subsystem can adversely affect another subsystem</w:t>
            </w:r>
          </w:p>
        </w:tc>
      </w:tr>
      <w:tr w:rsidTr="00A3784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7842">
            <w:pPr>
              <w:pStyle w:val="BodyText"/>
              <w:rPr>
                <w:lang w:val="en-NZ"/>
              </w:rPr>
            </w:pPr>
            <w:r w:rsidRPr="00A37842">
              <w:rPr>
                <w:rStyle w:val="SpecialBold"/>
              </w:rPr>
              <w:t>Appropriate technical and professional assistance includes:</w:t>
            </w:r>
          </w:p>
        </w:tc>
        <w:tc>
          <w:tcPr>
            <w:tcW w:w="6012" w:type="dxa"/>
            <w:tcBorders>
              <w:top w:val="nil"/>
              <w:left w:val="nil"/>
              <w:bottom w:val="nil"/>
              <w:right w:val="nil"/>
            </w:tcBorders>
            <w:tcMar>
              <w:top w:w="0" w:type="dxa"/>
              <w:left w:w="62" w:type="dxa"/>
              <w:bottom w:w="0" w:type="dxa"/>
              <w:right w:w="62" w:type="dxa"/>
            </w:tcMar>
          </w:tcPr>
          <w:p w:rsidR="00000000" w:rsidRPr="00A37842" w:rsidP="00A37842">
            <w:pPr>
              <w:pStyle w:val="ListBullet"/>
            </w:pPr>
            <w:r w:rsidRPr="00A37842">
              <w:t>Assistance from individuals with CASA maintenance certification licences or those with supervisory authorisations in the ADF regulatory system</w:t>
            </w:r>
          </w:p>
          <w:p w:rsidR="00000000" w:rsidRPr="00A37842" w:rsidP="00A37842">
            <w:pPr>
              <w:pStyle w:val="ListBullet"/>
            </w:pPr>
            <w:r w:rsidRPr="00A37842">
              <w:t>Professional support from engineers employed within:</w:t>
            </w:r>
          </w:p>
          <w:p w:rsidR="00000000" w:rsidRPr="00A37842" w:rsidP="00A37842">
            <w:pPr>
              <w:pStyle w:val="ListBullet2"/>
            </w:pPr>
            <w:r w:rsidRPr="00A37842">
              <w:t xml:space="preserve">organisations with CASA design, continuing airworthiness </w:t>
            </w:r>
            <w:r w:rsidRPr="00A37842">
              <w:t>ma</w:t>
            </w:r>
            <w:r w:rsidRPr="00A37842">
              <w:t>nagement or maintenance approvals</w:t>
            </w:r>
          </w:p>
          <w:p w:rsidR="00000000" w:rsidRPr="00A37842" w:rsidP="00A37842">
            <w:pPr>
              <w:pStyle w:val="ListBullet2"/>
            </w:pPr>
            <w:r w:rsidRPr="00A37842">
              <w:t>approved engineering organisations under the ADF regulatory system</w:t>
            </w:r>
          </w:p>
          <w:p w:rsidR="00000000" w:rsidP="00A37842">
            <w:pPr>
              <w:pStyle w:val="ListBullet"/>
              <w:rPr>
                <w:lang w:val="en-NZ"/>
              </w:rPr>
            </w:pPr>
            <w:r w:rsidRPr="00A37842">
              <w:t>Engineers employed within organisations recognised by overseas airworthiness organisations</w:t>
            </w:r>
          </w:p>
        </w:tc>
      </w:tr>
      <w:tr w:rsidTr="00A3784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37842" w:rsidP="00A37842">
            <w:pPr>
              <w:pStyle w:val="BodyText"/>
            </w:pPr>
            <w:r w:rsidRPr="00A37842">
              <w:rPr>
                <w:rStyle w:val="SpecialBold"/>
              </w:rPr>
              <w:t>WHS, regulatory requirements and enterprise procedures include</w:t>
            </w:r>
            <w:r w:rsidRPr="00A37842">
              <w:rPr>
                <w:rStyle w:val="SpecialBold"/>
              </w:rPr>
              <w:t>:</w:t>
            </w:r>
          </w:p>
          <w:p w:rsidR="00000000" w:rsidP="00A37842">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A37842" w:rsidP="00A37842">
            <w:pPr>
              <w:pStyle w:val="ListBullet"/>
            </w:pPr>
            <w:r w:rsidRPr="00A37842">
              <w:t>WHS Acts and regulations</w:t>
            </w:r>
          </w:p>
          <w:p w:rsidR="00000000" w:rsidRPr="00A37842" w:rsidP="00A37842">
            <w:pPr>
              <w:pStyle w:val="ListBullet"/>
            </w:pPr>
            <w:r w:rsidRPr="00A37842">
              <w:t>Relevant standards</w:t>
            </w:r>
          </w:p>
          <w:p w:rsidR="00000000" w:rsidRPr="00A37842" w:rsidP="00A37842">
            <w:pPr>
              <w:pStyle w:val="ListBullet"/>
            </w:pPr>
            <w:r w:rsidRPr="00A37842">
              <w:t>Industry codes of practice</w:t>
            </w:r>
          </w:p>
          <w:p w:rsidR="00000000" w:rsidRPr="00A37842" w:rsidP="00A37842">
            <w:pPr>
              <w:pStyle w:val="ListBullet"/>
            </w:pPr>
            <w:r w:rsidRPr="00A37842">
              <w:t>Risk assessments</w:t>
            </w:r>
          </w:p>
          <w:p w:rsidR="00000000" w:rsidRPr="00A37842" w:rsidP="00A37842">
            <w:pPr>
              <w:pStyle w:val="ListBullet"/>
            </w:pPr>
            <w:r w:rsidRPr="00A37842">
              <w:t xml:space="preserve">Registration requirements </w:t>
            </w:r>
          </w:p>
          <w:p w:rsidR="00000000" w:rsidRPr="00A37842" w:rsidP="00A37842">
            <w:pPr>
              <w:pStyle w:val="ListBullet"/>
            </w:pPr>
            <w:r w:rsidRPr="00A37842">
              <w:t>Safe work practices</w:t>
            </w:r>
          </w:p>
          <w:p w:rsidR="00000000" w:rsidRPr="00A37842" w:rsidP="00A37842">
            <w:pPr>
              <w:pStyle w:val="ListBullet"/>
            </w:pPr>
            <w:r w:rsidRPr="00A37842">
              <w:t>State and territory regulatory requirements applying to electrical work</w:t>
            </w:r>
          </w:p>
          <w:p w:rsidR="00000000" w:rsidRPr="00A37842" w:rsidP="00A37842">
            <w:pPr>
              <w:pStyle w:val="ListBullet"/>
            </w:pPr>
            <w:r w:rsidRPr="00A37842">
              <w:t>Civil Aviation Safety Regulations (CASRs)</w:t>
            </w:r>
          </w:p>
          <w:p w:rsidR="00000000" w:rsidRPr="00A37842" w:rsidP="00A37842">
            <w:pPr>
              <w:pStyle w:val="ListBullet"/>
            </w:pPr>
            <w:r w:rsidRPr="00A37842">
              <w:t>AAP7001.053 ADF Technical Airworthiness Management Manual</w:t>
            </w:r>
          </w:p>
          <w:p w:rsidR="00000000" w:rsidP="00A37842">
            <w:pPr>
              <w:pStyle w:val="ListBullet"/>
              <w:rPr>
                <w:lang w:val="en-NZ"/>
              </w:rPr>
            </w:pPr>
            <w:r w:rsidRPr="00A37842">
              <w:t>Overseas airworthiness authorities, where applicable, e.g. Federal Aviation Administration, Transport Canada, European Aviation Safety Agency</w:t>
            </w:r>
          </w:p>
        </w:tc>
      </w:tr>
      <w:tr w:rsidTr="00A3784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37842" w:rsidP="00A37842">
            <w:pPr>
              <w:pStyle w:val="BodyText"/>
            </w:pPr>
            <w:r w:rsidRPr="00A37842">
              <w:rPr>
                <w:rStyle w:val="SpecialBold"/>
              </w:rPr>
              <w:t>Relevant standards include:</w:t>
            </w:r>
          </w:p>
          <w:p w:rsidR="00000000" w:rsidP="00A37842">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A37842" w:rsidP="00A37842">
            <w:pPr>
              <w:pStyle w:val="ListBullet"/>
            </w:pPr>
            <w:r w:rsidRPr="00A37842">
              <w:t>AS 1100.101-1992 Technica</w:t>
            </w:r>
            <w:r w:rsidRPr="00A37842">
              <w:t>l drawing – General principles</w:t>
            </w:r>
          </w:p>
          <w:p w:rsidR="00000000" w:rsidRPr="00A37842" w:rsidP="00A37842">
            <w:pPr>
              <w:pStyle w:val="ListBullet"/>
            </w:pPr>
            <w:r w:rsidRPr="00A37842">
              <w:t xml:space="preserve">AS 4024.1-2006 Series Safety of machinery </w:t>
            </w:r>
          </w:p>
          <w:p w:rsidR="00000000" w:rsidRPr="00A37842" w:rsidP="00A37842">
            <w:pPr>
              <w:pStyle w:val="ListBullet"/>
            </w:pPr>
            <w:r w:rsidRPr="00A37842">
              <w:t xml:space="preserve">AS/NZS ISO 31000 Set:2013 Risk Management Set </w:t>
            </w:r>
          </w:p>
          <w:p w:rsidR="00000000" w:rsidRPr="00A37842" w:rsidP="00A37842">
            <w:pPr>
              <w:pStyle w:val="ListBullet"/>
            </w:pPr>
            <w:r w:rsidRPr="00A37842">
              <w:t>British Defence Standard 00-970 Design and Airworthiness Requirements for Service Aircraft</w:t>
            </w:r>
          </w:p>
          <w:p w:rsidR="00000000" w:rsidRPr="00A37842" w:rsidP="00A37842">
            <w:pPr>
              <w:pStyle w:val="ListBullet"/>
            </w:pPr>
            <w:r w:rsidRPr="00A37842">
              <w:t>US Military Specifications and Standards relevant to aircraft design</w:t>
            </w:r>
          </w:p>
          <w:p w:rsidR="00000000" w:rsidRPr="00A37842" w:rsidP="00A37842">
            <w:pPr>
              <w:pStyle w:val="ListBullet"/>
            </w:pPr>
            <w:r w:rsidRPr="00A37842">
              <w:t>ADF AAP7001.054 Airworthiness Design Requirements Manual</w:t>
            </w:r>
          </w:p>
          <w:p w:rsidR="00000000" w:rsidRPr="00A37842" w:rsidP="00A37842">
            <w:pPr>
              <w:pStyle w:val="ListBullet"/>
            </w:pPr>
            <w:r w:rsidRPr="00A37842">
              <w:t xml:space="preserve">FAR Part 23 Airworthiness Standards for Airplanes in the Normal, Utility, Aerobatic or Commuter Categories </w:t>
            </w:r>
          </w:p>
          <w:p w:rsidR="00000000" w:rsidRPr="00A37842" w:rsidP="00A37842">
            <w:pPr>
              <w:pStyle w:val="ListBullet"/>
            </w:pPr>
            <w:r w:rsidRPr="00A37842">
              <w:t>FAR Part 25 Airworthin</w:t>
            </w:r>
            <w:r w:rsidRPr="00A37842">
              <w:t xml:space="preserve">ess Standards for Airplanes in the Transport Category </w:t>
            </w:r>
          </w:p>
          <w:p w:rsidR="00000000" w:rsidRPr="00A37842" w:rsidP="00A37842">
            <w:pPr>
              <w:pStyle w:val="ListBullet"/>
            </w:pPr>
            <w:r w:rsidRPr="00A37842">
              <w:t>EASA CS-23 Certification Specifications for Aeroplanes in the Normal, Utility, Aerobatic or Commuter Categories</w:t>
            </w:r>
          </w:p>
          <w:p w:rsidR="00000000" w:rsidRPr="00A37842" w:rsidP="00A37842">
            <w:pPr>
              <w:pStyle w:val="ListBullet"/>
            </w:pPr>
            <w:r w:rsidRPr="00A37842">
              <w:t>EASA CS-25 Certification Specifications for Airplanes in the Transport Category</w:t>
            </w:r>
          </w:p>
          <w:p w:rsidR="00000000" w:rsidRPr="00A37842" w:rsidP="00A37842">
            <w:pPr>
              <w:pStyle w:val="ListBullet"/>
            </w:pPr>
            <w:r w:rsidRPr="00A37842">
              <w:t>CASA AC 2</w:t>
            </w:r>
            <w:r w:rsidRPr="00A37842">
              <w:t>1-99 Aircraft Wiring and Bonding</w:t>
            </w:r>
          </w:p>
          <w:p w:rsidR="00000000" w:rsidRPr="00A37842" w:rsidP="00A37842">
            <w:pPr>
              <w:pStyle w:val="ListBullet"/>
            </w:pPr>
            <w:r w:rsidRPr="00A37842">
              <w:t>FAA AC 43-13-1B Acceptable Methods, Techniques and Practices – Aircraft Inspection and Repair</w:t>
            </w:r>
          </w:p>
          <w:p w:rsidR="00000000" w:rsidRPr="00A37842" w:rsidP="00A37842">
            <w:pPr>
              <w:pStyle w:val="ListBullet"/>
            </w:pPr>
            <w:r w:rsidRPr="00A37842">
              <w:t>AC21-15(1) Supplemental Type Certificates</w:t>
            </w:r>
          </w:p>
          <w:p w:rsidR="00000000" w:rsidRPr="00A37842" w:rsidP="00A37842">
            <w:pPr>
              <w:pStyle w:val="ListBullet"/>
            </w:pPr>
            <w:r w:rsidRPr="00A37842">
              <w:t>AC21.16(0) Approval of Materials, Parts, Processes and Appliances</w:t>
            </w:r>
          </w:p>
          <w:p w:rsidR="00000000" w:rsidRPr="00A37842" w:rsidP="00A37842">
            <w:pPr>
              <w:pStyle w:val="ListBullet"/>
            </w:pPr>
            <w:r w:rsidRPr="00A37842">
              <w:t>AC21.14 Production Ce</w:t>
            </w:r>
            <w:r w:rsidRPr="00A37842">
              <w:t>rtificates</w:t>
            </w:r>
          </w:p>
          <w:p w:rsidR="00000000" w:rsidRPr="00A37842" w:rsidP="00A37842">
            <w:pPr>
              <w:pStyle w:val="ListBullet"/>
            </w:pPr>
            <w:r w:rsidRPr="00A37842">
              <w:t>AC21.20 Production Under a Type Certificate Only</w:t>
            </w:r>
          </w:p>
          <w:p w:rsidR="00000000" w:rsidRPr="00A37842" w:rsidP="00A37842">
            <w:pPr>
              <w:pStyle w:val="ListBullet"/>
            </w:pPr>
            <w:r w:rsidRPr="00A37842">
              <w:t>AC21.27 Manufacturing Approval – Overview</w:t>
            </w:r>
          </w:p>
          <w:p w:rsidR="00000000" w:rsidRPr="00A37842" w:rsidP="00A37842">
            <w:pPr>
              <w:pStyle w:val="ListBullet"/>
            </w:pPr>
            <w:r w:rsidRPr="00A37842">
              <w:t>AC21.145(0) Manufacture of Parts During the Course of Maintenance</w:t>
            </w:r>
          </w:p>
          <w:p w:rsidR="00000000" w:rsidRPr="00A37842" w:rsidP="00A37842">
            <w:pPr>
              <w:pStyle w:val="ListBullet"/>
            </w:pPr>
            <w:r w:rsidRPr="00A37842">
              <w:t>AC21-601(0) Australian Technical Standard Order</w:t>
            </w:r>
          </w:p>
          <w:p w:rsidR="00000000" w:rsidRPr="00A37842" w:rsidP="00A37842">
            <w:pPr>
              <w:pStyle w:val="ListBullet"/>
            </w:pPr>
            <w:r w:rsidRPr="00A37842">
              <w:t>CAAP35-7(0) Design Approval of Modificat</w:t>
            </w:r>
            <w:r w:rsidRPr="00A37842">
              <w:t>ions and Repairs</w:t>
            </w:r>
          </w:p>
        </w:tc>
      </w:tr>
    </w:tbl>
    <w:p w:rsidR="00000000" w:rsidRPr="00A37842" w:rsidP="00A37842">
      <w:pPr>
        <w:pStyle w:val="BodyText"/>
      </w:pPr>
    </w:p>
    <w:p w:rsidR="00000000" w:rsidRPr="00A37842" w:rsidP="00A37842">
      <w:pPr>
        <w:pStyle w:val="AllowPageBreak"/>
      </w:pPr>
    </w:p>
    <w:p w:rsidR="00000000" w:rsidRPr="00A37842" w:rsidP="00A37842">
      <w:pPr>
        <w:pStyle w:val="Heading1"/>
      </w:pPr>
      <w:bookmarkStart w:id="9" w:name="O_723974"/>
      <w:bookmarkEnd w:id="9"/>
      <w:r w:rsidRPr="00A37842">
        <w:t>Unit Mapping Information</w:t>
      </w:r>
    </w:p>
    <w:p w:rsidR="00000000" w:rsidRPr="00A37842" w:rsidP="00D736CC">
      <w:pPr>
        <w:pStyle w:val="BodyText"/>
      </w:pPr>
      <w:r w:rsidRPr="00A37842">
        <w:t>Release 1 – new unit based on MEM14065A Plan and design aeronautical engineering projects – units not equivalent</w:t>
      </w:r>
    </w:p>
    <w:p w:rsidR="00000000" w:rsidRPr="00A37842" w:rsidP="00A37842">
      <w:pPr>
        <w:pStyle w:val="Heading1"/>
      </w:pPr>
      <w:bookmarkStart w:id="10" w:name="O_723967"/>
      <w:bookmarkEnd w:id="10"/>
      <w:r w:rsidRPr="00A37842">
        <w:t>Links</w:t>
      </w:r>
    </w:p>
    <w:p w:rsidR="00000000" w:rsidRPr="00A37842" w:rsidP="00D736CC">
      <w:pPr>
        <w:pStyle w:val="BodyText"/>
      </w:pPr>
      <w:r w:rsidRPr="00A3784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E232E">
        <w:rPr>
          <w:rStyle w:val="Hyperlink"/>
        </w:rPr>
        <w:t>https://vetnet.gov.au/Pages/TrainingDocs.aspx?q=ce216c9c-04d5-4b3b-9bcf-4e81d0950371</w:t>
      </w:r>
      <w:r>
        <w:fldChar w:fldCharType="end"/>
      </w:r>
    </w:p>
    <w:p w:rsidR="00000000" w:rsidRPr="00A37842" w:rsidP="00A37842"/>
    <w:sectPr w:rsidSect="00A378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8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842" w:rsidRPr="00D736CC" w:rsidP="00D736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8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CC" w:rsidP="00A378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736CC" w:rsidP="00A3784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36CC" w:rsidP="00A378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8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7842" w:rsidRPr="00D736CC" w:rsidP="00D736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8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CC" w:rsidRPr="002D2AF8" w:rsidP="00A37842">
    <w:pPr>
      <w:pStyle w:val="Header"/>
      <w:framePr w:wrap="around"/>
    </w:pPr>
    <w:r>
      <w:fldChar w:fldCharType="begin"/>
    </w:r>
    <w:r>
      <w:instrText xml:space="preserve"> TITLE   \* MERGEFORMAT </w:instrText>
    </w:r>
    <w:r>
      <w:fldChar w:fldCharType="separate"/>
    </w:r>
    <w:r>
      <w:t>MEA710 Apply aeronautical system design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736CC" w:rsidP="00A378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3619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0AEA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2E5A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8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7842"/>
    <w:pPr>
      <w:spacing w:before="360" w:after="60"/>
      <w:outlineLvl w:val="0"/>
    </w:pPr>
    <w:rPr>
      <w:sz w:val="32"/>
    </w:rPr>
  </w:style>
  <w:style w:type="paragraph" w:styleId="Heading2">
    <w:name w:val="heading 2"/>
    <w:basedOn w:val="HeadingBase"/>
    <w:next w:val="BodyText"/>
    <w:link w:val="Heading2Char"/>
    <w:qFormat/>
    <w:rsid w:val="00A37842"/>
    <w:pPr>
      <w:keepLines/>
      <w:spacing w:before="240" w:after="120"/>
      <w:outlineLvl w:val="1"/>
    </w:pPr>
    <w:rPr>
      <w:sz w:val="28"/>
      <w:szCs w:val="40"/>
    </w:rPr>
  </w:style>
  <w:style w:type="paragraph" w:styleId="Heading3">
    <w:name w:val="heading 3"/>
    <w:basedOn w:val="HeadingBase"/>
    <w:next w:val="BodyText"/>
    <w:link w:val="Heading3Char"/>
    <w:qFormat/>
    <w:rsid w:val="00A37842"/>
    <w:pPr>
      <w:spacing w:before="180" w:after="120"/>
      <w:outlineLvl w:val="2"/>
    </w:pPr>
    <w:rPr>
      <w:spacing w:val="-10"/>
      <w:kern w:val="32"/>
    </w:rPr>
  </w:style>
  <w:style w:type="paragraph" w:styleId="Heading4">
    <w:name w:val="heading 4"/>
    <w:basedOn w:val="HeadingBase"/>
    <w:next w:val="BodyText"/>
    <w:link w:val="Heading4Char"/>
    <w:qFormat/>
    <w:rsid w:val="00A37842"/>
    <w:pPr>
      <w:spacing w:before="160" w:after="120"/>
      <w:outlineLvl w:val="3"/>
    </w:pPr>
    <w:rPr>
      <w:sz w:val="22"/>
    </w:rPr>
  </w:style>
  <w:style w:type="paragraph" w:styleId="Heading5">
    <w:name w:val="heading 5"/>
    <w:basedOn w:val="HeadingBase"/>
    <w:next w:val="Normal"/>
    <w:link w:val="Heading5Char"/>
    <w:qFormat/>
    <w:rsid w:val="00A37842"/>
    <w:pPr>
      <w:spacing w:before="80"/>
      <w:outlineLvl w:val="4"/>
    </w:pPr>
    <w:rPr>
      <w:color w:val="918585"/>
      <w:sz w:val="20"/>
    </w:rPr>
  </w:style>
  <w:style w:type="paragraph" w:styleId="Heading6">
    <w:name w:val="heading 6"/>
    <w:basedOn w:val="HeadingBase"/>
    <w:next w:val="Normal"/>
    <w:link w:val="Heading6Char"/>
    <w:qFormat/>
    <w:rsid w:val="00A37842"/>
    <w:pPr>
      <w:spacing w:before="60"/>
      <w:outlineLvl w:val="5"/>
    </w:pPr>
    <w:rPr>
      <w:color w:val="918585"/>
      <w:sz w:val="20"/>
    </w:rPr>
  </w:style>
  <w:style w:type="paragraph" w:styleId="Heading7">
    <w:name w:val="heading 7"/>
    <w:basedOn w:val="Normal"/>
    <w:next w:val="Normal"/>
    <w:link w:val="Heading7Char"/>
    <w:qFormat/>
    <w:rsid w:val="00A37842"/>
    <w:pPr>
      <w:ind w:left="720"/>
      <w:outlineLvl w:val="6"/>
    </w:pPr>
    <w:rPr>
      <w:i/>
    </w:rPr>
  </w:style>
  <w:style w:type="paragraph" w:styleId="Heading8">
    <w:name w:val="heading 8"/>
    <w:basedOn w:val="Normal"/>
    <w:next w:val="Normal"/>
    <w:link w:val="Heading8Char"/>
    <w:qFormat/>
    <w:rsid w:val="00A37842"/>
    <w:pPr>
      <w:ind w:left="720"/>
      <w:outlineLvl w:val="7"/>
    </w:pPr>
    <w:rPr>
      <w:i/>
    </w:rPr>
  </w:style>
  <w:style w:type="paragraph" w:styleId="Heading9">
    <w:name w:val="heading 9"/>
    <w:basedOn w:val="Normal"/>
    <w:next w:val="Normal"/>
    <w:link w:val="Heading9Char"/>
    <w:qFormat/>
    <w:rsid w:val="00A37842"/>
    <w:pPr>
      <w:ind w:left="720"/>
      <w:outlineLvl w:val="8"/>
    </w:pPr>
    <w:rPr>
      <w:i/>
    </w:rPr>
  </w:style>
  <w:style w:type="character" w:default="1" w:styleId="DefaultParagraphFont">
    <w:name w:val="Default Paragraph Font"/>
    <w:uiPriority w:val="1"/>
    <w:unhideWhenUsed/>
    <w:rsid w:val="00A378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842"/>
  </w:style>
  <w:style w:type="character" w:customStyle="1" w:styleId="Heading1Char">
    <w:name w:val="Heading 1 Char"/>
    <w:basedOn w:val="DefaultParagraphFont"/>
    <w:link w:val="Heading1"/>
    <w:rsid w:val="00A37842"/>
    <w:rPr>
      <w:rFonts w:ascii="Times New Roman" w:eastAsia="Times New Roman" w:hAnsi="Times New Roman" w:cs="Times New Roman"/>
      <w:b/>
      <w:sz w:val="32"/>
      <w:szCs w:val="20"/>
      <w:lang w:eastAsia="en-US"/>
    </w:rPr>
  </w:style>
  <w:style w:type="paragraph" w:styleId="BodyText">
    <w:name w:val="Body Text"/>
    <w:basedOn w:val="Normal"/>
    <w:link w:val="BodyTextChar"/>
    <w:rsid w:val="00A378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7842"/>
    <w:rPr>
      <w:rFonts w:ascii="Times New Roman" w:eastAsia="Times New Roman" w:hAnsi="Times New Roman" w:cs="Times New Roman"/>
      <w:sz w:val="24"/>
      <w:lang w:eastAsia="en-US"/>
    </w:rPr>
  </w:style>
  <w:style w:type="paragraph" w:styleId="ListBullet">
    <w:name w:val="List Bullet"/>
    <w:basedOn w:val="List"/>
    <w:rsid w:val="00A37842"/>
    <w:pPr>
      <w:numPr>
        <w:numId w:val="12"/>
      </w:numPr>
      <w:tabs>
        <w:tab w:val="clear" w:pos="340"/>
      </w:tabs>
      <w:spacing w:before="40" w:after="40"/>
    </w:pPr>
  </w:style>
  <w:style w:type="character" w:customStyle="1" w:styleId="SpecialBold">
    <w:name w:val="Special Bold"/>
    <w:basedOn w:val="DefaultParagraphFont"/>
    <w:rsid w:val="00A37842"/>
    <w:rPr>
      <w:b/>
      <w:spacing w:val="0"/>
    </w:rPr>
  </w:style>
  <w:style w:type="paragraph" w:styleId="ListBullet2">
    <w:name w:val="List Bullet 2"/>
    <w:basedOn w:val="List2"/>
    <w:rsid w:val="00A37842"/>
    <w:pPr>
      <w:numPr>
        <w:numId w:val="13"/>
      </w:numPr>
      <w:tabs>
        <w:tab w:val="clear" w:pos="680"/>
      </w:tabs>
    </w:pPr>
  </w:style>
  <w:style w:type="paragraph" w:customStyle="1" w:styleId="SuperHeading">
    <w:name w:val="SuperHeading"/>
    <w:basedOn w:val="Normal"/>
    <w:rsid w:val="00A37842"/>
    <w:pPr>
      <w:spacing w:before="240" w:after="120"/>
      <w:outlineLvl w:val="0"/>
    </w:pPr>
    <w:rPr>
      <w:rFonts w:ascii="Times New Roman" w:hAnsi="Times New Roman"/>
      <w:b/>
      <w:sz w:val="32"/>
    </w:rPr>
  </w:style>
  <w:style w:type="paragraph" w:customStyle="1" w:styleId="AllowPageBreak">
    <w:name w:val="AllowPageBreak"/>
    <w:rsid w:val="00A378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78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8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8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8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8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8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78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7842"/>
    <w:rPr>
      <w:rFonts w:ascii="Courier New" w:eastAsia="Times New Roman" w:hAnsi="Courier New" w:cs="Times New Roman"/>
      <w:i/>
      <w:szCs w:val="20"/>
      <w:lang w:eastAsia="en-US"/>
    </w:rPr>
  </w:style>
  <w:style w:type="paragraph" w:customStyle="1" w:styleId="HeadingBase">
    <w:name w:val="Heading Base"/>
    <w:rsid w:val="00A378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842"/>
    <w:pPr>
      <w:tabs>
        <w:tab w:val="right" w:leader="dot" w:pos="9072"/>
      </w:tabs>
      <w:ind w:left="567"/>
    </w:pPr>
    <w:rPr>
      <w:szCs w:val="22"/>
    </w:rPr>
  </w:style>
  <w:style w:type="paragraph" w:customStyle="1" w:styleId="TOCBase">
    <w:name w:val="TOC Base"/>
    <w:rsid w:val="00A378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842"/>
    <w:pPr>
      <w:tabs>
        <w:tab w:val="right" w:leader="dot" w:pos="9072"/>
      </w:tabs>
      <w:spacing w:before="40" w:after="40"/>
      <w:ind w:left="284"/>
    </w:pPr>
    <w:rPr>
      <w:rFonts w:ascii="Times New Roman" w:hAnsi="Times New Roman"/>
    </w:rPr>
  </w:style>
  <w:style w:type="paragraph" w:styleId="TOC1">
    <w:name w:val="toc 1"/>
    <w:basedOn w:val="TOCBase"/>
    <w:next w:val="Normal"/>
    <w:rsid w:val="00A378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78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842"/>
    <w:rPr>
      <w:rFonts w:ascii="Times New Roman" w:eastAsia="Times New Roman" w:hAnsi="Times New Roman" w:cs="Times New Roman"/>
      <w:sz w:val="16"/>
      <w:lang w:eastAsia="en-US"/>
    </w:rPr>
  </w:style>
  <w:style w:type="paragraph" w:styleId="Title">
    <w:name w:val="Title"/>
    <w:basedOn w:val="HeadingBase"/>
    <w:link w:val="TitleChar"/>
    <w:qFormat/>
    <w:rsid w:val="00A37842"/>
    <w:pPr>
      <w:spacing w:before="5040"/>
      <w:jc w:val="center"/>
    </w:pPr>
    <w:rPr>
      <w:sz w:val="48"/>
      <w:szCs w:val="72"/>
      <w:lang w:val="en-US"/>
    </w:rPr>
  </w:style>
  <w:style w:type="character" w:customStyle="1" w:styleId="TitleChar">
    <w:name w:val="Title Char"/>
    <w:basedOn w:val="DefaultParagraphFont"/>
    <w:link w:val="Title"/>
    <w:rsid w:val="00A378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842"/>
    <w:pPr>
      <w:tabs>
        <w:tab w:val="left" w:pos="3600"/>
        <w:tab w:val="left" w:pos="3958"/>
      </w:tabs>
    </w:pPr>
  </w:style>
  <w:style w:type="paragraph" w:styleId="List">
    <w:name w:val="List"/>
    <w:basedOn w:val="BodyText"/>
    <w:next w:val="BodyText"/>
    <w:rsid w:val="00A37842"/>
    <w:pPr>
      <w:tabs>
        <w:tab w:val="left" w:pos="340"/>
      </w:tabs>
      <w:spacing w:before="60" w:after="60"/>
      <w:ind w:left="340" w:hanging="340"/>
    </w:pPr>
  </w:style>
  <w:style w:type="paragraph" w:customStyle="1" w:styleId="Note">
    <w:name w:val="Note"/>
    <w:basedOn w:val="BodyText"/>
    <w:rsid w:val="00A378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7842"/>
    <w:pPr>
      <w:framePr w:wrap="auto" w:hAnchor="text" w:y="6049"/>
    </w:pPr>
    <w:rPr>
      <w:color w:val="000000"/>
      <w:sz w:val="40"/>
    </w:rPr>
  </w:style>
  <w:style w:type="paragraph" w:customStyle="1" w:styleId="TOCTitle">
    <w:name w:val="TOCTitle"/>
    <w:basedOn w:val="Heading1"/>
    <w:rsid w:val="00A37842"/>
    <w:pPr>
      <w:spacing w:after="240"/>
      <w:jc w:val="center"/>
      <w:outlineLvl w:val="9"/>
    </w:pPr>
    <w:rPr>
      <w:caps/>
    </w:rPr>
  </w:style>
  <w:style w:type="paragraph" w:customStyle="1" w:styleId="Version">
    <w:name w:val="Version"/>
    <w:rsid w:val="00A378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7842"/>
    <w:pPr>
      <w:keepNext w:val="0"/>
      <w:tabs>
        <w:tab w:val="right" w:pos="4176"/>
      </w:tabs>
      <w:ind w:left="198" w:hanging="198"/>
    </w:pPr>
    <w:rPr>
      <w:rFonts w:ascii="Garamond" w:hAnsi="Garamond"/>
    </w:rPr>
  </w:style>
  <w:style w:type="paragraph" w:styleId="IndexHeading">
    <w:name w:val="index heading"/>
    <w:basedOn w:val="Normal"/>
    <w:next w:val="Index1"/>
    <w:semiHidden/>
    <w:rsid w:val="00A37842"/>
    <w:pPr>
      <w:spacing w:before="120" w:after="120"/>
    </w:pPr>
    <w:rPr>
      <w:rFonts w:ascii="Arial" w:hAnsi="Arial"/>
      <w:b/>
      <w:color w:val="918585"/>
      <w:sz w:val="24"/>
    </w:rPr>
  </w:style>
  <w:style w:type="paragraph" w:styleId="Header">
    <w:name w:val="header"/>
    <w:basedOn w:val="Normal"/>
    <w:link w:val="HeaderChar"/>
    <w:rsid w:val="00A378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842"/>
    <w:rPr>
      <w:rFonts w:ascii="Times New Roman" w:eastAsia="Times New Roman" w:hAnsi="Times New Roman" w:cs="Times New Roman"/>
      <w:sz w:val="16"/>
      <w:szCs w:val="20"/>
      <w:lang w:val="en-GB" w:eastAsia="en-US"/>
    </w:rPr>
  </w:style>
  <w:style w:type="paragraph" w:customStyle="1" w:styleId="Chapter">
    <w:name w:val="Chapter"/>
    <w:basedOn w:val="Normal"/>
    <w:rsid w:val="00A37842"/>
    <w:pPr>
      <w:spacing w:before="240"/>
    </w:pPr>
    <w:rPr>
      <w:rFonts w:ascii="Times New Roman" w:hAnsi="Times New Roman"/>
      <w:smallCaps/>
      <w:spacing w:val="80"/>
      <w:sz w:val="28"/>
    </w:rPr>
  </w:style>
  <w:style w:type="paragraph" w:customStyle="1" w:styleId="InChapter">
    <w:name w:val="InChapter"/>
    <w:basedOn w:val="Heading3"/>
    <w:rsid w:val="00A37842"/>
    <w:pPr>
      <w:spacing w:after="240"/>
      <w:outlineLvl w:val="9"/>
    </w:pPr>
    <w:rPr>
      <w:noProof/>
    </w:rPr>
  </w:style>
  <w:style w:type="paragraph" w:styleId="Index2">
    <w:name w:val="index 2"/>
    <w:basedOn w:val="Normal"/>
    <w:next w:val="Normal"/>
    <w:semiHidden/>
    <w:rsid w:val="00A37842"/>
    <w:pPr>
      <w:tabs>
        <w:tab w:val="right" w:pos="4176"/>
      </w:tabs>
      <w:ind w:left="568" w:hanging="284"/>
    </w:pPr>
    <w:rPr>
      <w:rFonts w:ascii="Garamond" w:hAnsi="Garamond"/>
    </w:rPr>
  </w:style>
  <w:style w:type="paragraph" w:customStyle="1" w:styleId="Byline">
    <w:name w:val="Byline"/>
    <w:rsid w:val="00A378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842"/>
    <w:pPr>
      <w:tabs>
        <w:tab w:val="clear" w:pos="3600"/>
        <w:tab w:val="clear" w:pos="3958"/>
      </w:tabs>
      <w:jc w:val="right"/>
    </w:pPr>
  </w:style>
  <w:style w:type="character" w:styleId="Emphasis">
    <w:name w:val="Emphasis"/>
    <w:basedOn w:val="DefaultParagraphFont"/>
    <w:qFormat/>
    <w:rsid w:val="00A37842"/>
    <w:rPr>
      <w:i/>
    </w:rPr>
  </w:style>
  <w:style w:type="paragraph" w:styleId="Caption">
    <w:name w:val="caption"/>
    <w:basedOn w:val="BodyText"/>
    <w:next w:val="Normal"/>
    <w:qFormat/>
    <w:rsid w:val="00A37842"/>
    <w:pPr>
      <w:framePr w:w="2268" w:hSpace="181" w:vSpace="181" w:wrap="around" w:vAnchor="text" w:hAnchor="page" w:x="1135" w:y="285" w:anchorLock="1"/>
    </w:pPr>
    <w:rPr>
      <w:i/>
    </w:rPr>
  </w:style>
  <w:style w:type="paragraph" w:customStyle="1" w:styleId="MiniTOCTitle">
    <w:name w:val="MiniTOCTitle"/>
    <w:basedOn w:val="Heading4"/>
    <w:rsid w:val="00A37842"/>
    <w:pPr>
      <w:spacing w:before="240"/>
      <w:outlineLvl w:val="9"/>
    </w:pPr>
    <w:rPr>
      <w:noProof/>
      <w:sz w:val="24"/>
    </w:rPr>
  </w:style>
  <w:style w:type="paragraph" w:customStyle="1" w:styleId="MiniTOCItem">
    <w:name w:val="MiniTOCItem"/>
    <w:basedOn w:val="ListBullet"/>
    <w:rsid w:val="00A37842"/>
    <w:pPr>
      <w:numPr>
        <w:numId w:val="0"/>
      </w:numPr>
      <w:tabs>
        <w:tab w:val="right" w:leader="dot" w:pos="6521"/>
      </w:tabs>
      <w:spacing w:before="0" w:after="0"/>
    </w:pPr>
  </w:style>
  <w:style w:type="paragraph" w:customStyle="1" w:styleId="TOFTitle">
    <w:name w:val="TOFTitle"/>
    <w:basedOn w:val="TOCTitle"/>
    <w:rsid w:val="00A37842"/>
  </w:style>
  <w:style w:type="paragraph" w:styleId="TableofFigures">
    <w:name w:val="table of figures"/>
    <w:basedOn w:val="Normal"/>
    <w:next w:val="Normal"/>
    <w:semiHidden/>
    <w:rsid w:val="00A37842"/>
    <w:pPr>
      <w:tabs>
        <w:tab w:val="right" w:leader="dot" w:pos="9072"/>
      </w:tabs>
      <w:ind w:left="970" w:hanging="403"/>
    </w:pPr>
    <w:rPr>
      <w:rFonts w:ascii="Times New Roman" w:hAnsi="Times New Roman"/>
      <w:b/>
    </w:rPr>
  </w:style>
  <w:style w:type="paragraph" w:styleId="ListNumber">
    <w:name w:val="List Number"/>
    <w:basedOn w:val="List"/>
    <w:rsid w:val="00A37842"/>
    <w:pPr>
      <w:numPr>
        <w:numId w:val="15"/>
      </w:numPr>
      <w:tabs>
        <w:tab w:val="clear" w:pos="340"/>
      </w:tabs>
    </w:pPr>
  </w:style>
  <w:style w:type="character" w:customStyle="1" w:styleId="WingdingSymbols">
    <w:name w:val="Wingding Symbols"/>
    <w:rsid w:val="00A37842"/>
    <w:rPr>
      <w:rFonts w:ascii="Wingdings" w:hAnsi="Wingdings"/>
    </w:rPr>
  </w:style>
  <w:style w:type="paragraph" w:customStyle="1" w:styleId="TableHeading">
    <w:name w:val="Table Heading"/>
    <w:basedOn w:val="HeadingBase"/>
    <w:rsid w:val="00A37842"/>
    <w:pPr>
      <w:keepLines/>
      <w:pBdr>
        <w:bottom w:val="single" w:sz="6" w:space="1" w:color="918585"/>
      </w:pBdr>
      <w:spacing w:before="240"/>
    </w:pPr>
  </w:style>
  <w:style w:type="character" w:customStyle="1" w:styleId="HotSpot">
    <w:name w:val="HotSpot"/>
    <w:rsid w:val="00A37842"/>
    <w:rPr>
      <w:color w:val="0033CC"/>
      <w:u w:val="none"/>
    </w:rPr>
  </w:style>
  <w:style w:type="paragraph" w:customStyle="1" w:styleId="BodyTextRight">
    <w:name w:val="Body Text Right"/>
    <w:basedOn w:val="BodyText"/>
    <w:rsid w:val="00A37842"/>
    <w:pPr>
      <w:spacing w:before="0" w:after="0"/>
      <w:jc w:val="right"/>
    </w:pPr>
  </w:style>
  <w:style w:type="paragraph" w:styleId="Index3">
    <w:name w:val="index 3"/>
    <w:basedOn w:val="ListNumber2"/>
    <w:next w:val="Normal"/>
    <w:semiHidden/>
    <w:rsid w:val="00A37842"/>
    <w:pPr>
      <w:numPr>
        <w:numId w:val="0"/>
      </w:numPr>
      <w:tabs>
        <w:tab w:val="right" w:leader="dot" w:pos="4176"/>
      </w:tabs>
    </w:pPr>
  </w:style>
  <w:style w:type="paragraph" w:styleId="ListNumber2">
    <w:name w:val="List Number 2"/>
    <w:basedOn w:val="List2"/>
    <w:rsid w:val="00A37842"/>
    <w:pPr>
      <w:numPr>
        <w:numId w:val="10"/>
      </w:numPr>
      <w:tabs>
        <w:tab w:val="clear" w:pos="1060"/>
      </w:tabs>
    </w:pPr>
  </w:style>
  <w:style w:type="paragraph" w:customStyle="1" w:styleId="MarginNote">
    <w:name w:val="Margin Note"/>
    <w:basedOn w:val="BodyText"/>
    <w:rsid w:val="00A378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8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8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7842"/>
    <w:rPr>
      <w:sz w:val="32"/>
    </w:rPr>
  </w:style>
  <w:style w:type="paragraph" w:customStyle="1" w:styleId="HeadingProcedure">
    <w:name w:val="Heading Procedure"/>
    <w:basedOn w:val="HeadingBase"/>
    <w:next w:val="Normal"/>
    <w:rsid w:val="00A37842"/>
    <w:pPr>
      <w:tabs>
        <w:tab w:val="left" w:pos="0"/>
      </w:tabs>
      <w:spacing w:before="120" w:after="60"/>
    </w:pPr>
    <w:rPr>
      <w:i/>
      <w:color w:val="918585"/>
      <w:sz w:val="22"/>
    </w:rPr>
  </w:style>
  <w:style w:type="paragraph" w:customStyle="1" w:styleId="TableBodyText">
    <w:name w:val="Table Body Text"/>
    <w:basedOn w:val="BodyText"/>
    <w:rsid w:val="00A37842"/>
    <w:pPr>
      <w:spacing w:before="60" w:after="60"/>
    </w:pPr>
  </w:style>
  <w:style w:type="paragraph" w:styleId="ListContinue">
    <w:name w:val="List Continue"/>
    <w:basedOn w:val="List"/>
    <w:rsid w:val="00A37842"/>
    <w:pPr>
      <w:ind w:firstLine="0"/>
    </w:pPr>
  </w:style>
  <w:style w:type="paragraph" w:customStyle="1" w:styleId="ListNote">
    <w:name w:val="List Note"/>
    <w:basedOn w:val="List"/>
    <w:rsid w:val="00A37842"/>
    <w:pPr>
      <w:pBdr>
        <w:top w:val="single" w:sz="6" w:space="2" w:color="918585"/>
        <w:bottom w:val="single" w:sz="6" w:space="2" w:color="918585"/>
      </w:pBdr>
      <w:tabs>
        <w:tab w:val="left" w:pos="1021"/>
      </w:tabs>
      <w:ind w:firstLine="0"/>
    </w:pPr>
  </w:style>
  <w:style w:type="paragraph" w:customStyle="1" w:styleId="Warning">
    <w:name w:val="Warning"/>
    <w:basedOn w:val="BodyText"/>
    <w:rsid w:val="00A37842"/>
    <w:pPr>
      <w:shd w:val="clear" w:color="auto" w:fill="D9D9D9"/>
      <w:tabs>
        <w:tab w:val="left" w:pos="992"/>
      </w:tabs>
      <w:ind w:left="119" w:right="119"/>
    </w:pPr>
    <w:rPr>
      <w:sz w:val="20"/>
    </w:rPr>
  </w:style>
  <w:style w:type="paragraph" w:customStyle="1" w:styleId="MarginIcons">
    <w:name w:val="Margin Icons"/>
    <w:basedOn w:val="BodyText"/>
    <w:rsid w:val="00A378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842"/>
    <w:rPr>
      <w:rFonts w:ascii="Courier New" w:hAnsi="Courier New"/>
    </w:rPr>
  </w:style>
  <w:style w:type="paragraph" w:customStyle="1" w:styleId="NoteBullet">
    <w:name w:val="Note Bullet"/>
    <w:basedOn w:val="Note"/>
    <w:rsid w:val="00A37842"/>
    <w:pPr>
      <w:tabs>
        <w:tab w:val="clear" w:pos="680"/>
      </w:tabs>
      <w:spacing w:before="60" w:after="60"/>
    </w:pPr>
  </w:style>
  <w:style w:type="paragraph" w:customStyle="1" w:styleId="SubHeading2">
    <w:name w:val="SubHeading2"/>
    <w:basedOn w:val="HeadingBase"/>
    <w:rsid w:val="00A37842"/>
    <w:pPr>
      <w:spacing w:before="240" w:after="60"/>
    </w:pPr>
    <w:rPr>
      <w:sz w:val="20"/>
    </w:rPr>
  </w:style>
  <w:style w:type="paragraph" w:customStyle="1" w:styleId="SubHeading1">
    <w:name w:val="SubHeading1"/>
    <w:basedOn w:val="HeadingBase"/>
    <w:rsid w:val="00A37842"/>
    <w:pPr>
      <w:spacing w:before="240" w:after="60"/>
    </w:pPr>
    <w:rPr>
      <w:color w:val="918585"/>
      <w:sz w:val="22"/>
    </w:rPr>
  </w:style>
  <w:style w:type="paragraph" w:customStyle="1" w:styleId="SideHeading">
    <w:name w:val="Side Heading"/>
    <w:basedOn w:val="HeadingBase"/>
    <w:rsid w:val="00A378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842"/>
    <w:pPr>
      <w:tabs>
        <w:tab w:val="num" w:pos="360"/>
      </w:tabs>
    </w:pPr>
  </w:style>
  <w:style w:type="paragraph" w:styleId="PlainText">
    <w:name w:val="Plain Text"/>
    <w:basedOn w:val="Normal"/>
    <w:link w:val="PlainTextChar"/>
    <w:rsid w:val="00A37842"/>
    <w:rPr>
      <w:sz w:val="20"/>
    </w:rPr>
  </w:style>
  <w:style w:type="character" w:customStyle="1" w:styleId="PlainTextChar">
    <w:name w:val="Plain Text Char"/>
    <w:basedOn w:val="DefaultParagraphFont"/>
    <w:link w:val="PlainText"/>
    <w:rsid w:val="00A37842"/>
    <w:rPr>
      <w:rFonts w:ascii="Courier New" w:eastAsia="Times New Roman" w:hAnsi="Courier New" w:cs="Times New Roman"/>
      <w:sz w:val="20"/>
      <w:szCs w:val="20"/>
      <w:lang w:eastAsia="en-US"/>
    </w:rPr>
  </w:style>
  <w:style w:type="character" w:customStyle="1" w:styleId="MenuOption">
    <w:name w:val="Menu Option"/>
    <w:basedOn w:val="DefaultParagraphFont"/>
    <w:rsid w:val="00A37842"/>
    <w:rPr>
      <w:b/>
      <w:smallCaps/>
    </w:rPr>
  </w:style>
  <w:style w:type="paragraph" w:customStyle="1" w:styleId="TableListNumber">
    <w:name w:val="Table List Number"/>
    <w:basedOn w:val="ListNumber"/>
    <w:rsid w:val="00A37842"/>
    <w:pPr>
      <w:numPr>
        <w:numId w:val="0"/>
      </w:numPr>
    </w:pPr>
  </w:style>
  <w:style w:type="paragraph" w:styleId="TOC4">
    <w:name w:val="toc 4"/>
    <w:basedOn w:val="TOCBase"/>
    <w:next w:val="Normal"/>
    <w:semiHidden/>
    <w:rsid w:val="00A37842"/>
    <w:pPr>
      <w:tabs>
        <w:tab w:val="right" w:leader="dot" w:pos="9071"/>
      </w:tabs>
      <w:ind w:left="1701"/>
    </w:pPr>
  </w:style>
  <w:style w:type="paragraph" w:customStyle="1" w:styleId="ListAlpha">
    <w:name w:val="List Alpha"/>
    <w:basedOn w:val="List"/>
    <w:rsid w:val="00A37842"/>
    <w:pPr>
      <w:numPr>
        <w:numId w:val="9"/>
      </w:numPr>
    </w:pPr>
  </w:style>
  <w:style w:type="paragraph" w:customStyle="1" w:styleId="ListAlpha2">
    <w:name w:val="List Alpha 2"/>
    <w:basedOn w:val="List2"/>
    <w:rsid w:val="00A37842"/>
    <w:pPr>
      <w:numPr>
        <w:numId w:val="8"/>
      </w:numPr>
    </w:pPr>
  </w:style>
  <w:style w:type="paragraph" w:styleId="List2">
    <w:name w:val="List 2"/>
    <w:basedOn w:val="BodyText"/>
    <w:rsid w:val="00A37842"/>
    <w:pPr>
      <w:tabs>
        <w:tab w:val="left" w:pos="680"/>
      </w:tabs>
      <w:spacing w:before="60" w:after="60"/>
      <w:ind w:left="680" w:hanging="340"/>
    </w:pPr>
  </w:style>
  <w:style w:type="paragraph" w:styleId="List3">
    <w:name w:val="List 3"/>
    <w:basedOn w:val="BodyText"/>
    <w:rsid w:val="00A37842"/>
    <w:pPr>
      <w:tabs>
        <w:tab w:val="left" w:pos="1021"/>
      </w:tabs>
      <w:spacing w:before="60" w:after="60"/>
      <w:ind w:left="1020" w:hanging="340"/>
    </w:pPr>
  </w:style>
  <w:style w:type="paragraph" w:styleId="List4">
    <w:name w:val="List 4"/>
    <w:basedOn w:val="BodyText"/>
    <w:rsid w:val="00A37842"/>
    <w:pPr>
      <w:tabs>
        <w:tab w:val="left" w:pos="1361"/>
      </w:tabs>
      <w:spacing w:before="60" w:after="60"/>
      <w:ind w:left="1361" w:hanging="340"/>
    </w:pPr>
  </w:style>
  <w:style w:type="paragraph" w:styleId="List5">
    <w:name w:val="List 5"/>
    <w:basedOn w:val="BodyText"/>
    <w:rsid w:val="00A37842"/>
    <w:pPr>
      <w:tabs>
        <w:tab w:val="left" w:pos="1701"/>
      </w:tabs>
      <w:spacing w:before="60" w:after="60"/>
      <w:ind w:left="1701" w:hanging="340"/>
    </w:pPr>
  </w:style>
  <w:style w:type="paragraph" w:styleId="ListBullet3">
    <w:name w:val="List Bullet 3"/>
    <w:basedOn w:val="List3"/>
    <w:rsid w:val="00A37842"/>
    <w:pPr>
      <w:numPr>
        <w:numId w:val="14"/>
      </w:numPr>
      <w:tabs>
        <w:tab w:val="clear" w:pos="1021"/>
      </w:tabs>
      <w:ind w:left="1037" w:hanging="357"/>
    </w:pPr>
  </w:style>
  <w:style w:type="paragraph" w:styleId="ListBullet4">
    <w:name w:val="List Bullet 4"/>
    <w:basedOn w:val="List4"/>
    <w:rsid w:val="00A37842"/>
    <w:pPr>
      <w:numPr>
        <w:numId w:val="3"/>
      </w:numPr>
      <w:tabs>
        <w:tab w:val="clear" w:pos="1361"/>
      </w:tabs>
    </w:pPr>
  </w:style>
  <w:style w:type="paragraph" w:styleId="ListBullet5">
    <w:name w:val="List Bullet 5"/>
    <w:basedOn w:val="List5"/>
    <w:rsid w:val="00A37842"/>
    <w:pPr>
      <w:numPr>
        <w:numId w:val="4"/>
      </w:numPr>
    </w:pPr>
  </w:style>
  <w:style w:type="paragraph" w:styleId="ListContinue2">
    <w:name w:val="List Continue 2"/>
    <w:basedOn w:val="List2"/>
    <w:rsid w:val="00A37842"/>
    <w:pPr>
      <w:ind w:firstLine="0"/>
    </w:pPr>
  </w:style>
  <w:style w:type="paragraph" w:styleId="ListContinue3">
    <w:name w:val="List Continue 3"/>
    <w:basedOn w:val="List3"/>
    <w:rsid w:val="00A37842"/>
    <w:pPr>
      <w:ind w:left="1021" w:firstLine="0"/>
    </w:pPr>
  </w:style>
  <w:style w:type="paragraph" w:styleId="ListContinue4">
    <w:name w:val="List Continue 4"/>
    <w:basedOn w:val="List4"/>
    <w:rsid w:val="00A37842"/>
    <w:pPr>
      <w:ind w:firstLine="0"/>
    </w:pPr>
  </w:style>
  <w:style w:type="paragraph" w:styleId="ListContinue5">
    <w:name w:val="List Continue 5"/>
    <w:basedOn w:val="List5"/>
    <w:rsid w:val="00A37842"/>
    <w:pPr>
      <w:ind w:firstLine="0"/>
    </w:pPr>
  </w:style>
  <w:style w:type="paragraph" w:styleId="ListNumber3">
    <w:name w:val="List Number 3"/>
    <w:basedOn w:val="List3"/>
    <w:rsid w:val="00A37842"/>
    <w:pPr>
      <w:numPr>
        <w:numId w:val="5"/>
      </w:numPr>
    </w:pPr>
  </w:style>
  <w:style w:type="paragraph" w:styleId="ListNumber4">
    <w:name w:val="List Number 4"/>
    <w:basedOn w:val="List4"/>
    <w:rsid w:val="00A37842"/>
    <w:pPr>
      <w:numPr>
        <w:numId w:val="6"/>
      </w:numPr>
    </w:pPr>
  </w:style>
  <w:style w:type="paragraph" w:styleId="ListNumber5">
    <w:name w:val="List Number 5"/>
    <w:basedOn w:val="List5"/>
    <w:rsid w:val="00A37842"/>
    <w:pPr>
      <w:numPr>
        <w:numId w:val="7"/>
      </w:numPr>
    </w:pPr>
  </w:style>
  <w:style w:type="paragraph" w:styleId="BlockText">
    <w:name w:val="Block Text"/>
    <w:basedOn w:val="Normal"/>
    <w:rsid w:val="00A37842"/>
    <w:pPr>
      <w:spacing w:after="120"/>
      <w:ind w:left="1440" w:right="1440"/>
    </w:pPr>
  </w:style>
  <w:style w:type="character" w:customStyle="1" w:styleId="Subscript">
    <w:name w:val="Subscript"/>
    <w:basedOn w:val="DefaultParagraphFont"/>
    <w:rsid w:val="00A37842"/>
    <w:rPr>
      <w:sz w:val="16"/>
      <w:vertAlign w:val="subscript"/>
    </w:rPr>
  </w:style>
  <w:style w:type="character" w:customStyle="1" w:styleId="Superscript">
    <w:name w:val="Superscript"/>
    <w:basedOn w:val="DefaultParagraphFont"/>
    <w:rsid w:val="00A37842"/>
    <w:rPr>
      <w:sz w:val="16"/>
      <w:vertAlign w:val="superscript"/>
    </w:rPr>
  </w:style>
  <w:style w:type="character" w:customStyle="1" w:styleId="Symbols">
    <w:name w:val="Symbols"/>
    <w:basedOn w:val="DefaultParagraphFont"/>
    <w:rsid w:val="00A37842"/>
    <w:rPr>
      <w:rFonts w:ascii="Symbol" w:hAnsi="Symbol"/>
    </w:rPr>
  </w:style>
  <w:style w:type="character" w:customStyle="1" w:styleId="MenuOptions">
    <w:name w:val="Menu Options"/>
    <w:basedOn w:val="DefaultParagraphFont"/>
    <w:rsid w:val="00A37842"/>
    <w:rPr>
      <w:rFonts w:ascii="Arial Narrow" w:hAnsi="Arial Narrow"/>
      <w:smallCaps/>
    </w:rPr>
  </w:style>
  <w:style w:type="character" w:customStyle="1" w:styleId="Buttons">
    <w:name w:val="Buttons"/>
    <w:basedOn w:val="DefaultParagraphFont"/>
    <w:rsid w:val="00A37842"/>
    <w:rPr>
      <w:b/>
    </w:rPr>
  </w:style>
  <w:style w:type="character" w:customStyle="1" w:styleId="Underlined">
    <w:name w:val="Underlined"/>
    <w:basedOn w:val="DefaultParagraphFont"/>
    <w:rsid w:val="00A37842"/>
    <w:rPr>
      <w:u w:val="single"/>
    </w:rPr>
  </w:style>
  <w:style w:type="paragraph" w:customStyle="1" w:styleId="TableBodyTextRight">
    <w:name w:val="Table Body Text Right"/>
    <w:basedOn w:val="TableBodyText"/>
    <w:rsid w:val="00A37842"/>
    <w:pPr>
      <w:widowControl w:val="0"/>
      <w:autoSpaceDE w:val="0"/>
      <w:autoSpaceDN w:val="0"/>
      <w:adjustRightInd w:val="0"/>
      <w:jc w:val="right"/>
    </w:pPr>
    <w:rPr>
      <w:rFonts w:cs="Arial"/>
      <w:szCs w:val="18"/>
    </w:rPr>
  </w:style>
  <w:style w:type="paragraph" w:customStyle="1" w:styleId="CopyrightText">
    <w:name w:val="Copyright Text"/>
    <w:basedOn w:val="BodyText"/>
    <w:rsid w:val="00A37842"/>
    <w:rPr>
      <w:sz w:val="18"/>
    </w:rPr>
  </w:style>
  <w:style w:type="paragraph" w:customStyle="1" w:styleId="BodySmallRight">
    <w:name w:val="Body Small Right"/>
    <w:basedOn w:val="BodyTextRight"/>
    <w:rsid w:val="00A37842"/>
    <w:rPr>
      <w:sz w:val="18"/>
      <w:szCs w:val="18"/>
    </w:rPr>
  </w:style>
  <w:style w:type="paragraph" w:customStyle="1" w:styleId="MarginEdition">
    <w:name w:val="Margin Edition"/>
    <w:basedOn w:val="MarginNote"/>
    <w:rsid w:val="00A37842"/>
    <w:pPr>
      <w:spacing w:before="0" w:after="0"/>
    </w:pPr>
    <w:rPr>
      <w:rFonts w:ascii="Times New Roman" w:hAnsi="Times New Roman"/>
      <w:color w:val="999999"/>
    </w:rPr>
  </w:style>
  <w:style w:type="paragraph" w:customStyle="1" w:styleId="Spacer">
    <w:name w:val="Spacer"/>
    <w:basedOn w:val="Normal"/>
    <w:rsid w:val="00A37842"/>
    <w:rPr>
      <w:sz w:val="2"/>
      <w:szCs w:val="2"/>
    </w:rPr>
  </w:style>
  <w:style w:type="character" w:customStyle="1" w:styleId="Small">
    <w:name w:val="Small"/>
    <w:basedOn w:val="DefaultParagraphFont"/>
    <w:rsid w:val="00A37842"/>
    <w:rPr>
      <w:sz w:val="16"/>
    </w:rPr>
  </w:style>
  <w:style w:type="paragraph" w:customStyle="1" w:styleId="WideTable">
    <w:name w:val="Wide Table"/>
    <w:basedOn w:val="Normal"/>
    <w:rsid w:val="00A37842"/>
    <w:pPr>
      <w:ind w:left="-1418"/>
    </w:pPr>
    <w:rPr>
      <w:sz w:val="2"/>
      <w:szCs w:val="2"/>
    </w:rPr>
  </w:style>
  <w:style w:type="character" w:styleId="PageNumber">
    <w:name w:val="page number"/>
    <w:basedOn w:val="DefaultParagraphFont"/>
    <w:rsid w:val="00A37842"/>
  </w:style>
  <w:style w:type="paragraph" w:styleId="Quote">
    <w:name w:val="Quote"/>
    <w:basedOn w:val="Heading1"/>
    <w:link w:val="QuoteChar"/>
    <w:qFormat/>
    <w:rsid w:val="00A37842"/>
    <w:rPr>
      <w:b w:val="0"/>
      <w:sz w:val="72"/>
      <w:szCs w:val="72"/>
      <w:lang w:val="en-NZ"/>
    </w:rPr>
  </w:style>
  <w:style w:type="character" w:customStyle="1" w:styleId="QuoteChar">
    <w:name w:val="Quote Char"/>
    <w:basedOn w:val="DefaultParagraphFont"/>
    <w:link w:val="Quote"/>
    <w:rsid w:val="00A378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842"/>
    <w:pPr>
      <w:pageBreakBefore/>
    </w:pPr>
  </w:style>
  <w:style w:type="paragraph" w:customStyle="1" w:styleId="Border">
    <w:name w:val="Border"/>
    <w:basedOn w:val="Normal"/>
    <w:qFormat/>
    <w:rsid w:val="00A378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842"/>
    <w:rPr>
      <w:b/>
      <w:bCs/>
      <w:i/>
      <w:iCs/>
      <w:color w:val="auto"/>
    </w:rPr>
  </w:style>
  <w:style w:type="paragraph" w:styleId="IntenseQuote">
    <w:name w:val="Intense Quote"/>
    <w:basedOn w:val="Normal"/>
    <w:next w:val="Normal"/>
    <w:link w:val="IntenseQuoteChar"/>
    <w:uiPriority w:val="30"/>
    <w:qFormat/>
    <w:rsid w:val="00A378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8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7842"/>
    <w:rPr>
      <w:smallCaps/>
      <w:color w:val="auto"/>
      <w:u w:val="single"/>
    </w:rPr>
  </w:style>
  <w:style w:type="character" w:styleId="IntenseReference">
    <w:name w:val="Intense Reference"/>
    <w:basedOn w:val="DefaultParagraphFont"/>
    <w:uiPriority w:val="32"/>
    <w:qFormat/>
    <w:rsid w:val="00A37842"/>
    <w:rPr>
      <w:b/>
      <w:bCs/>
      <w:smallCaps/>
      <w:color w:val="auto"/>
      <w:spacing w:val="5"/>
      <w:u w:val="single"/>
    </w:rPr>
  </w:style>
  <w:style w:type="paragraph" w:customStyle="1" w:styleId="2ColumnHeading">
    <w:name w:val="2Column Heading"/>
    <w:basedOn w:val="BodyText"/>
    <w:qFormat/>
    <w:rsid w:val="00A37842"/>
    <w:pPr>
      <w:spacing w:after="60"/>
      <w:ind w:left="-2268"/>
    </w:pPr>
    <w:rPr>
      <w:b/>
    </w:rPr>
  </w:style>
  <w:style w:type="paragraph" w:customStyle="1" w:styleId="Heading1TOC">
    <w:name w:val="Heading1 TOC"/>
    <w:basedOn w:val="Normal"/>
    <w:qFormat/>
    <w:rsid w:val="00A37842"/>
    <w:pPr>
      <w:spacing w:before="240" w:after="120"/>
    </w:pPr>
    <w:rPr>
      <w:rFonts w:ascii="Times New Roman" w:hAnsi="Times New Roman"/>
      <w:b/>
      <w:sz w:val="32"/>
    </w:rPr>
  </w:style>
  <w:style w:type="paragraph" w:customStyle="1" w:styleId="Heading2TOC">
    <w:name w:val="Heading2 TOC"/>
    <w:basedOn w:val="Normal"/>
    <w:qFormat/>
    <w:rsid w:val="00A37842"/>
    <w:pPr>
      <w:spacing w:before="240" w:after="60"/>
    </w:pPr>
    <w:rPr>
      <w:rFonts w:ascii="Times New Roman" w:hAnsi="Times New Roman"/>
      <w:b/>
      <w:sz w:val="28"/>
    </w:rPr>
  </w:style>
  <w:style w:type="character" w:customStyle="1" w:styleId="Underline">
    <w:name w:val="Underline"/>
    <w:basedOn w:val="DefaultParagraphFont"/>
    <w:qFormat/>
    <w:rsid w:val="00A37842"/>
    <w:rPr>
      <w:u w:val="single"/>
    </w:rPr>
  </w:style>
  <w:style w:type="character" w:customStyle="1" w:styleId="BoldandItalics">
    <w:name w:val="Bold and Italics"/>
    <w:qFormat/>
    <w:rsid w:val="00A37842"/>
    <w:rPr>
      <w:b/>
      <w:i/>
      <w:u w:val="none"/>
    </w:rPr>
  </w:style>
  <w:style w:type="paragraph" w:styleId="BalloonText">
    <w:name w:val="Balloon Text"/>
    <w:basedOn w:val="Normal"/>
    <w:link w:val="BalloonTextChar"/>
    <w:rsid w:val="00A37842"/>
    <w:rPr>
      <w:rFonts w:ascii="Tahoma" w:hAnsi="Tahoma" w:cs="Tahoma"/>
      <w:sz w:val="16"/>
      <w:szCs w:val="16"/>
    </w:rPr>
  </w:style>
  <w:style w:type="character" w:customStyle="1" w:styleId="BalloonTextChar">
    <w:name w:val="Balloon Text Char"/>
    <w:basedOn w:val="DefaultParagraphFont"/>
    <w:link w:val="BalloonText"/>
    <w:rsid w:val="00A378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78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78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7842"/>
    <w:rPr>
      <w:b/>
      <w:color w:val="660033"/>
      <w:spacing w:val="0"/>
    </w:rPr>
  </w:style>
  <w:style w:type="paragraph" w:customStyle="1" w:styleId="Nameditemlist">
    <w:name w:val="Named item list"/>
    <w:basedOn w:val="BodyText"/>
    <w:qFormat/>
    <w:rsid w:val="00A37842"/>
    <w:pPr>
      <w:tabs>
        <w:tab w:val="left" w:pos="2835"/>
      </w:tabs>
      <w:ind w:left="2835" w:hanging="2835"/>
    </w:pPr>
  </w:style>
  <w:style w:type="paragraph" w:customStyle="1" w:styleId="BodyTextnopadding">
    <w:name w:val="Body Text no padding"/>
    <w:basedOn w:val="BodyText"/>
    <w:qFormat/>
    <w:rsid w:val="00A37842"/>
    <w:pPr>
      <w:spacing w:before="0" w:after="0"/>
    </w:pPr>
  </w:style>
  <w:style w:type="paragraph" w:customStyle="1" w:styleId="BodyTextBold">
    <w:name w:val="Body Text Bold"/>
    <w:basedOn w:val="BodyText"/>
    <w:qFormat/>
    <w:rsid w:val="00A37842"/>
    <w:rPr>
      <w:b/>
    </w:rPr>
  </w:style>
  <w:style w:type="character" w:styleId="Hyperlink">
    <w:name w:val="Hyperlink"/>
    <w:basedOn w:val="DefaultParagraphFont"/>
    <w:uiPriority w:val="99"/>
    <w:unhideWhenUsed/>
    <w:rsid w:val="00D736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1312</Words>
  <Characters>9425</Characters>
  <Application>Microsoft Office Word</Application>
  <DocSecurity>0</DocSecurity>
  <Lines>362</Lines>
  <Paragraphs>219</Paragraphs>
  <ScaleCrop>false</ScaleCrop>
  <Company>Author-it Software Corporation Ltd.</Company>
  <LinksUpToDate>false</LinksUpToDate>
  <CharactersWithSpaces>10518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MEA710 Apply aeronautical system design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2023-02-03T07:00:00Z</dcterms:created>
  <dcterms:modified xsi:type="dcterms:W3CDTF">2023-02-03T07:00:00Z</dcterms:modified>
</cp:coreProperties>
</file>