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2246" w:rsidP="00B12246">
      <w:pPr>
        <w:pStyle w:val="Title"/>
      </w:pPr>
      <w:r>
        <w:fldChar w:fldCharType="begin"/>
      </w:r>
      <w:r>
        <w:instrText xml:space="preserve"> TITLE   \* MERGEFORMAT </w:instrText>
      </w:r>
      <w:r>
        <w:fldChar w:fldCharType="separate"/>
      </w:r>
      <w:r>
        <w:t>MEA705 Apply basic scientific principles and techniques in aeronautical engineering situations</w:t>
      </w:r>
      <w:r>
        <w:fldChar w:fldCharType="end"/>
      </w:r>
    </w:p>
    <w:p w:rsidR="00B12246" w:rsidP="00B12246">
      <w:pPr>
        <w:pStyle w:val="Version"/>
        <w:sectPr w:rsidSect="001C1B6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C1B67" w:rsidP="001C1B67">
      <w:pPr>
        <w:pStyle w:val="SuperHeading"/>
      </w:pPr>
      <w:r w:rsidRPr="001C1B67">
        <w:t>MEA705 Apply basic scientific principles and techniques in aeronautical engineering situations</w:t>
      </w:r>
    </w:p>
    <w:p w:rsidR="00000000" w:rsidRPr="001C1B67" w:rsidP="001C1B67">
      <w:pPr>
        <w:pStyle w:val="Heading1"/>
      </w:pPr>
      <w:bookmarkStart w:id="1" w:name="O_960771"/>
      <w:bookmarkEnd w:id="1"/>
      <w:r w:rsidRPr="001C1B67">
        <w:t>Modification History</w:t>
      </w:r>
    </w:p>
    <w:p w:rsidR="00000000" w:rsidRPr="001C1B67" w:rsidP="00B12246">
      <w:pPr>
        <w:pStyle w:val="BodyText"/>
      </w:pPr>
      <w:r w:rsidRPr="001C1B67">
        <w:t>Release 1 - New unit of competency</w:t>
      </w:r>
    </w:p>
    <w:p w:rsidR="00000000" w:rsidRPr="001C1B67" w:rsidP="001C1B67">
      <w:pPr>
        <w:pStyle w:val="Heading1"/>
      </w:pPr>
      <w:bookmarkStart w:id="2" w:name="O_960770"/>
      <w:bookmarkEnd w:id="2"/>
      <w:r w:rsidRPr="001C1B67">
        <w:t>Application</w:t>
      </w:r>
    </w:p>
    <w:p w:rsidR="00000000" w:rsidRPr="001C1B67" w:rsidP="00B12246">
      <w:pPr>
        <w:pStyle w:val="BodyText"/>
      </w:pPr>
      <w:r w:rsidRPr="001C1B67">
        <w:t>This unit of competency requires application of basic aeronautical scientific principles and techniques as a member of a design and development team or similar in support of the design and development of aeronautical applications, or within the engineering</w:t>
      </w:r>
      <w:r w:rsidRPr="001C1B67">
        <w:t xml:space="preserve"> department of an aircraft maintenance organisation. </w:t>
      </w:r>
    </w:p>
    <w:p w:rsidR="00000000" w:rsidRPr="001C1B67" w:rsidP="00B12246">
      <w:pPr>
        <w:pStyle w:val="BodyText"/>
      </w:pPr>
      <w:r w:rsidRPr="001C1B67">
        <w:t>Applications include identifying the range of basic aeronautical scientific principles and techniques relevant to aeronautical engineering, selecting aeronautical principles and techniques for particul</w:t>
      </w:r>
      <w:r w:rsidRPr="001C1B67">
        <w:t>ar applications, applying aeronautical principles and techniques to engineering tasks and quoting results appropriately.</w:t>
      </w:r>
    </w:p>
    <w:p w:rsidR="00000000" w:rsidRPr="001C1B67" w:rsidP="00B12246">
      <w:pPr>
        <w:pStyle w:val="BodyText"/>
      </w:pPr>
      <w:r w:rsidRPr="001C1B67">
        <w:t xml:space="preserve">This unit is used in workplaces that operate under the airworthiness regulatory systems of the Australian Defence Force (ADF) and the </w:t>
      </w:r>
      <w:r w:rsidRPr="001C1B67">
        <w:t>Civil Aviation Safety Authority (CASA).</w:t>
      </w:r>
    </w:p>
    <w:p w:rsidR="00000000" w:rsidRPr="001C1B67" w:rsidP="001C1B67">
      <w:pPr>
        <w:pStyle w:val="Heading1"/>
      </w:pPr>
      <w:bookmarkStart w:id="3" w:name="O_960769"/>
      <w:bookmarkEnd w:id="3"/>
      <w:r w:rsidRPr="001C1B67">
        <w:t>Pre-requisite Unit</w:t>
      </w:r>
    </w:p>
    <w:tbl>
      <w:tblPr>
        <w:tblW w:w="0" w:type="auto"/>
        <w:tblLayout w:type="fixed"/>
        <w:tblCellMar>
          <w:left w:w="62" w:type="dxa"/>
          <w:right w:w="62" w:type="dxa"/>
        </w:tblCellMar>
        <w:tblLook w:val="0000"/>
      </w:tblPr>
      <w:tblGrid>
        <w:gridCol w:w="2334"/>
        <w:gridCol w:w="6200"/>
      </w:tblGrid>
      <w:tr w:rsidTr="001C1B67">
        <w:tblPrEx>
          <w:tblW w:w="0" w:type="auto"/>
          <w:tblLayout w:type="fixed"/>
          <w:tblCellMar>
            <w:left w:w="62" w:type="dxa"/>
            <w:right w:w="62" w:type="dxa"/>
          </w:tblCellMar>
          <w:tblLook w:val="0000"/>
        </w:tblPrEx>
        <w:tc>
          <w:tcPr>
            <w:tcW w:w="2334" w:type="dxa"/>
            <w:tcBorders>
              <w:top w:val="nil"/>
              <w:left w:val="nil"/>
              <w:bottom w:val="nil"/>
              <w:right w:val="nil"/>
            </w:tcBorders>
            <w:tcMar>
              <w:top w:w="0" w:type="dxa"/>
              <w:left w:w="62" w:type="dxa"/>
              <w:bottom w:w="0" w:type="dxa"/>
              <w:right w:w="62" w:type="dxa"/>
            </w:tcMar>
          </w:tcPr>
          <w:p w:rsidR="00000000" w:rsidP="001C1B67">
            <w:pPr>
              <w:pStyle w:val="BodyText"/>
              <w:rPr>
                <w:lang w:val="en-NZ"/>
              </w:rPr>
            </w:pPr>
            <w:r w:rsidRPr="001C1B67">
              <w:t>MEM23004A</w:t>
            </w:r>
          </w:p>
        </w:tc>
        <w:tc>
          <w:tcPr>
            <w:tcW w:w="6200" w:type="dxa"/>
            <w:tcBorders>
              <w:top w:val="nil"/>
              <w:left w:val="nil"/>
              <w:bottom w:val="nil"/>
              <w:right w:val="nil"/>
            </w:tcBorders>
            <w:tcMar>
              <w:top w:w="0" w:type="dxa"/>
              <w:left w:w="62" w:type="dxa"/>
              <w:bottom w:w="0" w:type="dxa"/>
              <w:right w:w="62" w:type="dxa"/>
            </w:tcMar>
          </w:tcPr>
          <w:p w:rsidR="00000000" w:rsidRPr="001C1B67" w:rsidP="001C1B67">
            <w:pPr>
              <w:pStyle w:val="BodyText"/>
            </w:pPr>
            <w:r w:rsidRPr="001C1B67">
              <w:t>Apply technical mathematics</w:t>
            </w:r>
          </w:p>
        </w:tc>
      </w:tr>
    </w:tbl>
    <w:p w:rsidR="00000000" w:rsidRPr="001C1B67" w:rsidP="001C1B67">
      <w:pPr>
        <w:pStyle w:val="BodyText"/>
      </w:pPr>
    </w:p>
    <w:p w:rsidR="00000000" w:rsidRPr="001C1B67" w:rsidP="001C1B67">
      <w:pPr>
        <w:pStyle w:val="AllowPageBreak"/>
      </w:pPr>
    </w:p>
    <w:p w:rsidR="00000000" w:rsidRPr="001C1B67" w:rsidP="001C1B67">
      <w:pPr>
        <w:pStyle w:val="Heading1"/>
      </w:pPr>
      <w:bookmarkStart w:id="4" w:name="O_960768"/>
      <w:bookmarkEnd w:id="4"/>
      <w:r w:rsidRPr="001C1B67">
        <w:t>Competency Field</w:t>
      </w:r>
    </w:p>
    <w:p w:rsidR="00000000" w:rsidRPr="001C1B67" w:rsidP="00B12246">
      <w:pPr>
        <w:pStyle w:val="BodyText"/>
      </w:pPr>
      <w:r w:rsidRPr="001C1B67">
        <w:t>Aeronautical engineering</w:t>
      </w:r>
    </w:p>
    <w:p w:rsidR="00000000" w:rsidRPr="001C1B67" w:rsidP="001C1B67">
      <w:pPr>
        <w:pStyle w:val="Heading1"/>
      </w:pPr>
      <w:bookmarkStart w:id="5" w:name="O_960767"/>
      <w:bookmarkEnd w:id="5"/>
      <w:r w:rsidRPr="001C1B67">
        <w:t>Unit Sector</w:t>
      </w:r>
    </w:p>
    <w:p w:rsidR="00000000" w:rsidRPr="001C1B67" w:rsidP="001C1B67">
      <w:pPr>
        <w:pStyle w:val="Heading1"/>
      </w:pPr>
      <w:bookmarkStart w:id="6" w:name="O_960766"/>
      <w:bookmarkEnd w:id="6"/>
      <w:r w:rsidRPr="001C1B67">
        <w:t>Elements and Performance Criteria</w:t>
      </w:r>
    </w:p>
    <w:tbl>
      <w:tblPr>
        <w:tblW w:w="9354" w:type="dxa"/>
        <w:tblLayout w:type="fixed"/>
        <w:tblCellMar>
          <w:left w:w="62" w:type="dxa"/>
          <w:right w:w="62" w:type="dxa"/>
        </w:tblCellMar>
        <w:tblLook w:val="0000"/>
      </w:tblPr>
      <w:tblGrid>
        <w:gridCol w:w="731"/>
        <w:gridCol w:w="2388"/>
        <w:gridCol w:w="829"/>
        <w:gridCol w:w="5406"/>
      </w:tblGrid>
      <w:tr w:rsidTr="001C1B67">
        <w:tblPrEx>
          <w:tblW w:w="9354" w:type="dxa"/>
          <w:tblLayout w:type="fixed"/>
          <w:tblCellMar>
            <w:left w:w="62" w:type="dxa"/>
            <w:right w:w="62" w:type="dxa"/>
          </w:tblCellMar>
          <w:tblLook w:val="0000"/>
        </w:tblPrEx>
        <w:tc>
          <w:tcPr>
            <w:tcW w:w="3119" w:type="dxa"/>
            <w:gridSpan w:val="2"/>
            <w:tcBorders>
              <w:top w:val="nil"/>
              <w:left w:val="nil"/>
              <w:bottom w:val="nil"/>
              <w:right w:val="nil"/>
            </w:tcBorders>
            <w:tcMar>
              <w:top w:w="0" w:type="dxa"/>
              <w:left w:w="62" w:type="dxa"/>
              <w:bottom w:w="0" w:type="dxa"/>
              <w:right w:w="62" w:type="dxa"/>
            </w:tcMar>
          </w:tcPr>
          <w:p w:rsidR="00000000" w:rsidP="001C1B67">
            <w:pPr>
              <w:pStyle w:val="BodyText"/>
              <w:rPr>
                <w:lang w:val="en-NZ"/>
              </w:rPr>
            </w:pPr>
            <w:r w:rsidRPr="001C1B67">
              <w:t>Elements describe the essential outcomes.</w:t>
            </w:r>
          </w:p>
        </w:tc>
        <w:tc>
          <w:tcPr>
            <w:tcW w:w="6235" w:type="dxa"/>
            <w:gridSpan w:val="2"/>
            <w:tcBorders>
              <w:top w:val="nil"/>
              <w:left w:val="nil"/>
              <w:bottom w:val="nil"/>
              <w:right w:val="nil"/>
            </w:tcBorders>
            <w:tcMar>
              <w:top w:w="0" w:type="dxa"/>
              <w:left w:w="62" w:type="dxa"/>
              <w:bottom w:w="0" w:type="dxa"/>
              <w:right w:w="62" w:type="dxa"/>
            </w:tcMar>
          </w:tcPr>
          <w:p w:rsidR="00000000" w:rsidP="001C1B67">
            <w:pPr>
              <w:pStyle w:val="BodyText"/>
              <w:rPr>
                <w:lang w:val="en-NZ"/>
              </w:rPr>
            </w:pPr>
            <w:r w:rsidRPr="001C1B67">
              <w:t xml:space="preserve">Performance criteria describe the performance needed to demonstrate achievement of the element. </w:t>
            </w:r>
          </w:p>
        </w:tc>
      </w:tr>
      <w:tr w:rsidTr="001C1B67">
        <w:tblPrEx>
          <w:tblW w:w="9354" w:type="dxa"/>
          <w:tblLayout w:type="fixed"/>
          <w:tblCellMar>
            <w:left w:w="62" w:type="dxa"/>
            <w:right w:w="62" w:type="dxa"/>
          </w:tblCellMar>
          <w:tblLook w:val="0000"/>
        </w:tblPrEx>
        <w:tc>
          <w:tcPr>
            <w:tcW w:w="731" w:type="dxa"/>
            <w:tcBorders>
              <w:top w:val="nil"/>
              <w:left w:val="nil"/>
              <w:bottom w:val="nil"/>
              <w:right w:val="nil"/>
            </w:tcBorders>
            <w:tcMar>
              <w:top w:w="0" w:type="dxa"/>
              <w:left w:w="62" w:type="dxa"/>
              <w:bottom w:w="0" w:type="dxa"/>
              <w:right w:w="62" w:type="dxa"/>
            </w:tcMar>
          </w:tcPr>
          <w:p w:rsidR="00000000" w:rsidP="001C1B67">
            <w:pPr>
              <w:pStyle w:val="BodyText"/>
              <w:rPr>
                <w:lang w:val="en-NZ"/>
              </w:rPr>
            </w:pPr>
            <w:r w:rsidRPr="001C1B67">
              <w:t>1.</w:t>
            </w:r>
          </w:p>
        </w:tc>
        <w:tc>
          <w:tcPr>
            <w:tcW w:w="2388" w:type="dxa"/>
            <w:vMerge w:val="restart"/>
            <w:tcBorders>
              <w:top w:val="nil"/>
              <w:left w:val="nil"/>
              <w:bottom w:val="nil"/>
              <w:right w:val="nil"/>
            </w:tcBorders>
            <w:tcMar>
              <w:top w:w="0" w:type="dxa"/>
              <w:left w:w="62" w:type="dxa"/>
              <w:bottom w:w="0" w:type="dxa"/>
              <w:right w:w="62" w:type="dxa"/>
            </w:tcMar>
          </w:tcPr>
          <w:p w:rsidR="00000000" w:rsidP="001C1B67">
            <w:pPr>
              <w:pStyle w:val="BodyText"/>
              <w:rPr>
                <w:lang w:val="en-NZ"/>
              </w:rPr>
            </w:pPr>
            <w:r w:rsidRPr="001C1B67">
              <w:t xml:space="preserve">Research and identify the range of basic scientific principles </w:t>
            </w:r>
            <w:r w:rsidRPr="001C1B67">
              <w:t>and techniques relevant to aeronautical engineer</w:t>
            </w:r>
            <w:r w:rsidRPr="001C1B67">
              <w:t>ing</w:t>
            </w:r>
          </w:p>
        </w:tc>
        <w:tc>
          <w:tcPr>
            <w:tcW w:w="829" w:type="dxa"/>
            <w:tcBorders>
              <w:top w:val="nil"/>
              <w:left w:val="nil"/>
              <w:bottom w:val="nil"/>
              <w:right w:val="nil"/>
            </w:tcBorders>
            <w:tcMar>
              <w:top w:w="0" w:type="dxa"/>
              <w:left w:w="62" w:type="dxa"/>
              <w:bottom w:w="0" w:type="dxa"/>
              <w:right w:w="62" w:type="dxa"/>
            </w:tcMar>
          </w:tcPr>
          <w:p w:rsidR="00000000" w:rsidP="001C1B67">
            <w:pPr>
              <w:pStyle w:val="BodyText"/>
              <w:rPr>
                <w:lang w:val="en-NZ"/>
              </w:rPr>
            </w:pPr>
            <w:r w:rsidRPr="001C1B67">
              <w:t>1.1</w:t>
            </w:r>
          </w:p>
        </w:tc>
        <w:tc>
          <w:tcPr>
            <w:tcW w:w="5406" w:type="dxa"/>
            <w:tcBorders>
              <w:top w:val="nil"/>
              <w:left w:val="nil"/>
              <w:bottom w:val="nil"/>
              <w:right w:val="nil"/>
            </w:tcBorders>
            <w:tcMar>
              <w:top w:w="0" w:type="dxa"/>
              <w:left w:w="62" w:type="dxa"/>
              <w:bottom w:w="0" w:type="dxa"/>
              <w:right w:w="62" w:type="dxa"/>
            </w:tcMar>
          </w:tcPr>
          <w:p w:rsidR="00000000" w:rsidP="001C1B67">
            <w:pPr>
              <w:pStyle w:val="BodyText"/>
              <w:rPr>
                <w:lang w:val="en-NZ"/>
              </w:rPr>
            </w:pPr>
            <w:r w:rsidRPr="001C1B67">
              <w:t xml:space="preserve">Research and report on the basic scientific principles relating to aeronautical engineering from appropriate sources of information and examination of </w:t>
            </w:r>
            <w:r w:rsidRPr="001C1B67">
              <w:t>applications</w:t>
            </w:r>
          </w:p>
        </w:tc>
      </w:tr>
      <w:tr w:rsidTr="001C1B67">
        <w:tblPrEx>
          <w:tblW w:w="9354" w:type="dxa"/>
          <w:tblLayout w:type="fixed"/>
          <w:tblCellMar>
            <w:left w:w="62" w:type="dxa"/>
            <w:right w:w="62" w:type="dxa"/>
          </w:tblCellMar>
          <w:tblLook w:val="0000"/>
        </w:tblPrEx>
        <w:tc>
          <w:tcPr>
            <w:tcW w:w="73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8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29" w:type="dxa"/>
            <w:tcBorders>
              <w:top w:val="nil"/>
              <w:left w:val="nil"/>
              <w:bottom w:val="nil"/>
              <w:right w:val="nil"/>
            </w:tcBorders>
            <w:tcMar>
              <w:top w:w="0" w:type="dxa"/>
              <w:left w:w="62" w:type="dxa"/>
              <w:bottom w:w="0" w:type="dxa"/>
              <w:right w:w="62" w:type="dxa"/>
            </w:tcMar>
          </w:tcPr>
          <w:p w:rsidR="00000000" w:rsidP="001C1B67">
            <w:pPr>
              <w:pStyle w:val="BodyText"/>
              <w:rPr>
                <w:lang w:val="en-NZ"/>
              </w:rPr>
            </w:pPr>
            <w:r w:rsidRPr="001C1B67">
              <w:t>1.2</w:t>
            </w:r>
          </w:p>
        </w:tc>
        <w:tc>
          <w:tcPr>
            <w:tcW w:w="5406" w:type="dxa"/>
            <w:tcBorders>
              <w:top w:val="nil"/>
              <w:left w:val="nil"/>
              <w:bottom w:val="nil"/>
              <w:right w:val="nil"/>
            </w:tcBorders>
            <w:tcMar>
              <w:top w:w="0" w:type="dxa"/>
              <w:left w:w="62" w:type="dxa"/>
              <w:bottom w:w="0" w:type="dxa"/>
              <w:right w:w="62" w:type="dxa"/>
            </w:tcMar>
          </w:tcPr>
          <w:p w:rsidR="00000000" w:rsidP="001C1B67">
            <w:pPr>
              <w:pStyle w:val="BodyText"/>
              <w:rPr>
                <w:lang w:val="en-NZ"/>
              </w:rPr>
            </w:pPr>
            <w:r w:rsidRPr="001C1B67">
              <w:t>Identify the basic aeronautical techniques and associated technologies, software and hardware required to implement scientific principles relating to aeronautical engineering situations</w:t>
            </w:r>
          </w:p>
        </w:tc>
      </w:tr>
      <w:tr w:rsidTr="001C1B67">
        <w:tblPrEx>
          <w:tblW w:w="9354" w:type="dxa"/>
          <w:tblLayout w:type="fixed"/>
          <w:tblCellMar>
            <w:left w:w="62" w:type="dxa"/>
            <w:right w:w="62" w:type="dxa"/>
          </w:tblCellMar>
          <w:tblLook w:val="0000"/>
        </w:tblPrEx>
        <w:tc>
          <w:tcPr>
            <w:tcW w:w="731" w:type="dxa"/>
            <w:tcBorders>
              <w:top w:val="nil"/>
              <w:left w:val="nil"/>
              <w:bottom w:val="nil"/>
              <w:right w:val="nil"/>
            </w:tcBorders>
            <w:tcMar>
              <w:top w:w="0" w:type="dxa"/>
              <w:left w:w="62" w:type="dxa"/>
              <w:bottom w:w="0" w:type="dxa"/>
              <w:right w:w="62" w:type="dxa"/>
            </w:tcMar>
          </w:tcPr>
          <w:p w:rsidR="00000000" w:rsidP="001C1B67">
            <w:pPr>
              <w:pStyle w:val="BodyText"/>
              <w:rPr>
                <w:lang w:val="en-NZ"/>
              </w:rPr>
            </w:pPr>
            <w:r w:rsidRPr="001C1B67">
              <w:t>2.</w:t>
            </w:r>
          </w:p>
        </w:tc>
        <w:tc>
          <w:tcPr>
            <w:tcW w:w="2388" w:type="dxa"/>
            <w:vMerge w:val="restart"/>
            <w:tcBorders>
              <w:top w:val="nil"/>
              <w:left w:val="nil"/>
              <w:bottom w:val="nil"/>
              <w:right w:val="nil"/>
            </w:tcBorders>
            <w:tcMar>
              <w:top w:w="0" w:type="dxa"/>
              <w:left w:w="62" w:type="dxa"/>
              <w:bottom w:w="0" w:type="dxa"/>
              <w:right w:w="62" w:type="dxa"/>
            </w:tcMar>
          </w:tcPr>
          <w:p w:rsidR="00000000" w:rsidP="001C1B67">
            <w:pPr>
              <w:pStyle w:val="BodyText"/>
              <w:rPr>
                <w:lang w:val="en-NZ"/>
              </w:rPr>
            </w:pPr>
            <w:r w:rsidRPr="001C1B67">
              <w:t>Select basic aeronautical scientific principles and techniques rel</w:t>
            </w:r>
            <w:r w:rsidRPr="001C1B67">
              <w:t>evant to particular aeronautical engineering applications</w:t>
            </w:r>
          </w:p>
        </w:tc>
        <w:tc>
          <w:tcPr>
            <w:tcW w:w="829" w:type="dxa"/>
            <w:tcBorders>
              <w:top w:val="nil"/>
              <w:left w:val="nil"/>
              <w:bottom w:val="nil"/>
              <w:right w:val="nil"/>
            </w:tcBorders>
            <w:tcMar>
              <w:top w:w="0" w:type="dxa"/>
              <w:left w:w="62" w:type="dxa"/>
              <w:bottom w:w="0" w:type="dxa"/>
              <w:right w:w="62" w:type="dxa"/>
            </w:tcMar>
          </w:tcPr>
          <w:p w:rsidR="00000000" w:rsidP="001C1B67">
            <w:pPr>
              <w:pStyle w:val="BodyText"/>
              <w:rPr>
                <w:lang w:val="en-NZ"/>
              </w:rPr>
            </w:pPr>
            <w:r w:rsidRPr="001C1B67">
              <w:t>2.1</w:t>
            </w:r>
          </w:p>
        </w:tc>
        <w:tc>
          <w:tcPr>
            <w:tcW w:w="5406" w:type="dxa"/>
            <w:tcBorders>
              <w:top w:val="nil"/>
              <w:left w:val="nil"/>
              <w:bottom w:val="nil"/>
              <w:right w:val="nil"/>
            </w:tcBorders>
            <w:tcMar>
              <w:top w:w="0" w:type="dxa"/>
              <w:left w:w="62" w:type="dxa"/>
              <w:bottom w:w="0" w:type="dxa"/>
              <w:right w:w="62" w:type="dxa"/>
            </w:tcMar>
          </w:tcPr>
          <w:p w:rsidR="00000000" w:rsidP="001C1B67">
            <w:pPr>
              <w:pStyle w:val="BodyText"/>
              <w:rPr>
                <w:lang w:val="en-NZ"/>
              </w:rPr>
            </w:pPr>
            <w:r w:rsidRPr="001C1B67">
              <w:t>Select the relevant basic aeronautical scientific techniques and principles for particular aeronautical engineering situations</w:t>
            </w:r>
          </w:p>
        </w:tc>
      </w:tr>
      <w:tr w:rsidTr="001C1B67">
        <w:tblPrEx>
          <w:tblW w:w="9354" w:type="dxa"/>
          <w:tblLayout w:type="fixed"/>
          <w:tblCellMar>
            <w:left w:w="62" w:type="dxa"/>
            <w:right w:w="62" w:type="dxa"/>
          </w:tblCellMar>
          <w:tblLook w:val="0000"/>
        </w:tblPrEx>
        <w:tc>
          <w:tcPr>
            <w:tcW w:w="73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8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29" w:type="dxa"/>
            <w:tcBorders>
              <w:top w:val="nil"/>
              <w:left w:val="nil"/>
              <w:bottom w:val="nil"/>
              <w:right w:val="nil"/>
            </w:tcBorders>
            <w:tcMar>
              <w:top w:w="0" w:type="dxa"/>
              <w:left w:w="62" w:type="dxa"/>
              <w:bottom w:w="0" w:type="dxa"/>
              <w:right w:w="62" w:type="dxa"/>
            </w:tcMar>
          </w:tcPr>
          <w:p w:rsidR="00000000" w:rsidP="001C1B67">
            <w:pPr>
              <w:pStyle w:val="BodyText"/>
              <w:rPr>
                <w:lang w:val="en-NZ"/>
              </w:rPr>
            </w:pPr>
            <w:r w:rsidRPr="001C1B67">
              <w:t>2.2</w:t>
            </w:r>
          </w:p>
        </w:tc>
        <w:tc>
          <w:tcPr>
            <w:tcW w:w="5406" w:type="dxa"/>
            <w:tcBorders>
              <w:top w:val="nil"/>
              <w:left w:val="nil"/>
              <w:bottom w:val="nil"/>
              <w:right w:val="nil"/>
            </w:tcBorders>
            <w:tcMar>
              <w:top w:w="0" w:type="dxa"/>
              <w:left w:w="62" w:type="dxa"/>
              <w:bottom w:w="0" w:type="dxa"/>
              <w:right w:w="62" w:type="dxa"/>
            </w:tcMar>
          </w:tcPr>
          <w:p w:rsidR="00000000" w:rsidP="001C1B67">
            <w:pPr>
              <w:pStyle w:val="BodyText"/>
              <w:rPr>
                <w:lang w:val="en-NZ"/>
              </w:rPr>
            </w:pPr>
            <w:r w:rsidRPr="001C1B67">
              <w:t>Select the relevant basic aeronautical techniques and associ</w:t>
            </w:r>
            <w:r w:rsidRPr="001C1B67">
              <w:t>ated technologies, software and hardware for particular aeronautical engineering situations</w:t>
            </w:r>
          </w:p>
        </w:tc>
      </w:tr>
      <w:tr w:rsidTr="001C1B67">
        <w:tblPrEx>
          <w:tblW w:w="9354" w:type="dxa"/>
          <w:tblLayout w:type="fixed"/>
          <w:tblCellMar>
            <w:left w:w="62" w:type="dxa"/>
            <w:right w:w="62" w:type="dxa"/>
          </w:tblCellMar>
          <w:tblLook w:val="0000"/>
        </w:tblPrEx>
        <w:tc>
          <w:tcPr>
            <w:tcW w:w="731" w:type="dxa"/>
            <w:tcBorders>
              <w:top w:val="nil"/>
              <w:left w:val="nil"/>
              <w:bottom w:val="nil"/>
              <w:right w:val="nil"/>
            </w:tcBorders>
            <w:tcMar>
              <w:top w:w="0" w:type="dxa"/>
              <w:left w:w="62" w:type="dxa"/>
              <w:bottom w:w="0" w:type="dxa"/>
              <w:right w:w="62" w:type="dxa"/>
            </w:tcMar>
          </w:tcPr>
          <w:p w:rsidR="00000000" w:rsidP="001C1B67">
            <w:pPr>
              <w:pStyle w:val="BodyText"/>
              <w:rPr>
                <w:lang w:val="en-NZ"/>
              </w:rPr>
            </w:pPr>
            <w:r w:rsidRPr="001C1B67">
              <w:t>3.</w:t>
            </w:r>
          </w:p>
        </w:tc>
        <w:tc>
          <w:tcPr>
            <w:tcW w:w="2388" w:type="dxa"/>
            <w:vMerge w:val="restart"/>
            <w:tcBorders>
              <w:top w:val="nil"/>
              <w:left w:val="nil"/>
              <w:bottom w:val="nil"/>
              <w:right w:val="nil"/>
            </w:tcBorders>
            <w:tcMar>
              <w:top w:w="0" w:type="dxa"/>
              <w:left w:w="62" w:type="dxa"/>
              <w:bottom w:w="0" w:type="dxa"/>
              <w:right w:w="62" w:type="dxa"/>
            </w:tcMar>
          </w:tcPr>
          <w:p w:rsidR="00000000" w:rsidP="001C1B67">
            <w:pPr>
              <w:pStyle w:val="BodyText"/>
              <w:rPr>
                <w:lang w:val="en-NZ"/>
              </w:rPr>
            </w:pPr>
            <w:r w:rsidRPr="001C1B67">
              <w:t>Apply the relevant basic aeronautical scientific principles and techniques appropriately</w:t>
            </w:r>
          </w:p>
        </w:tc>
        <w:tc>
          <w:tcPr>
            <w:tcW w:w="829" w:type="dxa"/>
            <w:tcBorders>
              <w:top w:val="nil"/>
              <w:left w:val="nil"/>
              <w:bottom w:val="nil"/>
              <w:right w:val="nil"/>
            </w:tcBorders>
            <w:tcMar>
              <w:top w:w="0" w:type="dxa"/>
              <w:left w:w="62" w:type="dxa"/>
              <w:bottom w:w="0" w:type="dxa"/>
              <w:right w:w="62" w:type="dxa"/>
            </w:tcMar>
          </w:tcPr>
          <w:p w:rsidR="00000000" w:rsidP="001C1B67">
            <w:pPr>
              <w:pStyle w:val="BodyText"/>
              <w:rPr>
                <w:lang w:val="en-NZ"/>
              </w:rPr>
            </w:pPr>
            <w:r w:rsidRPr="001C1B67">
              <w:t>3.1</w:t>
            </w:r>
          </w:p>
        </w:tc>
        <w:tc>
          <w:tcPr>
            <w:tcW w:w="5406" w:type="dxa"/>
            <w:tcBorders>
              <w:top w:val="nil"/>
              <w:left w:val="nil"/>
              <w:bottom w:val="nil"/>
              <w:right w:val="nil"/>
            </w:tcBorders>
            <w:tcMar>
              <w:top w:w="0" w:type="dxa"/>
              <w:left w:w="62" w:type="dxa"/>
              <w:bottom w:w="0" w:type="dxa"/>
              <w:right w:w="62" w:type="dxa"/>
            </w:tcMar>
          </w:tcPr>
          <w:p w:rsidR="00000000" w:rsidP="001C1B67">
            <w:pPr>
              <w:pStyle w:val="BodyText"/>
              <w:rPr>
                <w:lang w:val="en-NZ"/>
              </w:rPr>
            </w:pPr>
            <w:r w:rsidRPr="001C1B67">
              <w:t>Apply the basic aeronautical scientific principles in a consistent and appropriate manner to obtain any required solution</w:t>
            </w:r>
          </w:p>
        </w:tc>
      </w:tr>
      <w:tr w:rsidTr="001C1B67">
        <w:tblPrEx>
          <w:tblW w:w="9354" w:type="dxa"/>
          <w:tblLayout w:type="fixed"/>
          <w:tblCellMar>
            <w:left w:w="62" w:type="dxa"/>
            <w:right w:w="62" w:type="dxa"/>
          </w:tblCellMar>
          <w:tblLook w:val="0000"/>
        </w:tblPrEx>
        <w:tc>
          <w:tcPr>
            <w:tcW w:w="73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8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29" w:type="dxa"/>
            <w:tcBorders>
              <w:top w:val="nil"/>
              <w:left w:val="nil"/>
              <w:bottom w:val="nil"/>
              <w:right w:val="nil"/>
            </w:tcBorders>
            <w:tcMar>
              <w:top w:w="0" w:type="dxa"/>
              <w:left w:w="62" w:type="dxa"/>
              <w:bottom w:w="0" w:type="dxa"/>
              <w:right w:w="62" w:type="dxa"/>
            </w:tcMar>
          </w:tcPr>
          <w:p w:rsidR="00000000" w:rsidP="001C1B67">
            <w:pPr>
              <w:pStyle w:val="BodyText"/>
              <w:rPr>
                <w:lang w:val="en-NZ"/>
              </w:rPr>
            </w:pPr>
            <w:r w:rsidRPr="001C1B67">
              <w:t>3.2</w:t>
            </w:r>
          </w:p>
        </w:tc>
        <w:tc>
          <w:tcPr>
            <w:tcW w:w="5406" w:type="dxa"/>
            <w:tcBorders>
              <w:top w:val="nil"/>
              <w:left w:val="nil"/>
              <w:bottom w:val="nil"/>
              <w:right w:val="nil"/>
            </w:tcBorders>
            <w:tcMar>
              <w:top w:w="0" w:type="dxa"/>
              <w:left w:w="62" w:type="dxa"/>
              <w:bottom w:w="0" w:type="dxa"/>
              <w:right w:w="62" w:type="dxa"/>
            </w:tcMar>
          </w:tcPr>
          <w:p w:rsidR="00000000" w:rsidP="001C1B67">
            <w:pPr>
              <w:pStyle w:val="BodyText"/>
              <w:rPr>
                <w:lang w:val="en-NZ"/>
              </w:rPr>
            </w:pPr>
            <w:r w:rsidRPr="001C1B67">
              <w:t>Use appropriate calculations and coherent units in the solution of engineering calculations</w:t>
            </w:r>
          </w:p>
        </w:tc>
      </w:tr>
      <w:tr w:rsidTr="001C1B67">
        <w:tblPrEx>
          <w:tblW w:w="9354" w:type="dxa"/>
          <w:tblLayout w:type="fixed"/>
          <w:tblCellMar>
            <w:left w:w="62" w:type="dxa"/>
            <w:right w:w="62" w:type="dxa"/>
          </w:tblCellMar>
          <w:tblLook w:val="0000"/>
        </w:tblPrEx>
        <w:tc>
          <w:tcPr>
            <w:tcW w:w="73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8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29" w:type="dxa"/>
            <w:tcBorders>
              <w:top w:val="nil"/>
              <w:left w:val="nil"/>
              <w:bottom w:val="nil"/>
              <w:right w:val="nil"/>
            </w:tcBorders>
            <w:tcMar>
              <w:top w:w="0" w:type="dxa"/>
              <w:left w:w="62" w:type="dxa"/>
              <w:bottom w:w="0" w:type="dxa"/>
              <w:right w:w="62" w:type="dxa"/>
            </w:tcMar>
          </w:tcPr>
          <w:p w:rsidR="00000000" w:rsidP="001C1B67">
            <w:pPr>
              <w:pStyle w:val="BodyText"/>
              <w:rPr>
                <w:lang w:val="en-NZ"/>
              </w:rPr>
            </w:pPr>
            <w:r w:rsidRPr="001C1B67">
              <w:t>3.3</w:t>
            </w:r>
          </w:p>
        </w:tc>
        <w:tc>
          <w:tcPr>
            <w:tcW w:w="5406" w:type="dxa"/>
            <w:tcBorders>
              <w:top w:val="nil"/>
              <w:left w:val="nil"/>
              <w:bottom w:val="nil"/>
              <w:right w:val="nil"/>
            </w:tcBorders>
            <w:tcMar>
              <w:top w:w="0" w:type="dxa"/>
              <w:left w:w="62" w:type="dxa"/>
              <w:bottom w:w="0" w:type="dxa"/>
              <w:right w:w="62" w:type="dxa"/>
            </w:tcMar>
          </w:tcPr>
          <w:p w:rsidR="00000000" w:rsidP="001C1B67">
            <w:pPr>
              <w:pStyle w:val="BodyText"/>
              <w:rPr>
                <w:lang w:val="en-NZ"/>
              </w:rPr>
            </w:pPr>
            <w:r w:rsidRPr="001C1B67">
              <w:t>Use significant figures in e</w:t>
            </w:r>
            <w:r w:rsidRPr="001C1B67">
              <w:t>ngineering calculations</w:t>
            </w:r>
          </w:p>
        </w:tc>
      </w:tr>
      <w:tr w:rsidTr="001C1B67">
        <w:tblPrEx>
          <w:tblW w:w="9354" w:type="dxa"/>
          <w:tblLayout w:type="fixed"/>
          <w:tblCellMar>
            <w:left w:w="62" w:type="dxa"/>
            <w:right w:w="62" w:type="dxa"/>
          </w:tblCellMar>
          <w:tblLook w:val="0000"/>
        </w:tblPrEx>
        <w:tc>
          <w:tcPr>
            <w:tcW w:w="73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8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29" w:type="dxa"/>
            <w:tcBorders>
              <w:top w:val="nil"/>
              <w:left w:val="nil"/>
              <w:bottom w:val="nil"/>
              <w:right w:val="nil"/>
            </w:tcBorders>
            <w:tcMar>
              <w:top w:w="0" w:type="dxa"/>
              <w:left w:w="62" w:type="dxa"/>
              <w:bottom w:w="0" w:type="dxa"/>
              <w:right w:w="62" w:type="dxa"/>
            </w:tcMar>
          </w:tcPr>
          <w:p w:rsidR="00000000" w:rsidP="001C1B67">
            <w:pPr>
              <w:pStyle w:val="BodyText"/>
              <w:rPr>
                <w:lang w:val="en-NZ"/>
              </w:rPr>
            </w:pPr>
            <w:r w:rsidRPr="001C1B67">
              <w:t>3.4</w:t>
            </w:r>
          </w:p>
        </w:tc>
        <w:tc>
          <w:tcPr>
            <w:tcW w:w="5406" w:type="dxa"/>
            <w:tcBorders>
              <w:top w:val="nil"/>
              <w:left w:val="nil"/>
              <w:bottom w:val="nil"/>
              <w:right w:val="nil"/>
            </w:tcBorders>
            <w:tcMar>
              <w:top w:w="0" w:type="dxa"/>
              <w:left w:w="62" w:type="dxa"/>
              <w:bottom w:w="0" w:type="dxa"/>
              <w:right w:w="62" w:type="dxa"/>
            </w:tcMar>
          </w:tcPr>
          <w:p w:rsidR="00000000" w:rsidP="001C1B67">
            <w:pPr>
              <w:pStyle w:val="BodyText"/>
              <w:rPr>
                <w:lang w:val="en-NZ"/>
              </w:rPr>
            </w:pPr>
            <w:r w:rsidRPr="001C1B67">
              <w:t>Apply the basic aeronautical techniques and associated technologies, software and hardware in a consistent and appropriate manner to obtain required solutions</w:t>
            </w:r>
          </w:p>
        </w:tc>
      </w:tr>
      <w:tr w:rsidTr="001C1B67">
        <w:tblPrEx>
          <w:tblW w:w="9354" w:type="dxa"/>
          <w:tblLayout w:type="fixed"/>
          <w:tblCellMar>
            <w:left w:w="62" w:type="dxa"/>
            <w:right w:w="62" w:type="dxa"/>
          </w:tblCellMar>
          <w:tblLook w:val="0000"/>
        </w:tblPrEx>
        <w:tc>
          <w:tcPr>
            <w:tcW w:w="731" w:type="dxa"/>
            <w:tcBorders>
              <w:top w:val="nil"/>
              <w:left w:val="nil"/>
              <w:bottom w:val="nil"/>
              <w:right w:val="nil"/>
            </w:tcBorders>
            <w:tcMar>
              <w:top w:w="0" w:type="dxa"/>
              <w:left w:w="62" w:type="dxa"/>
              <w:bottom w:w="0" w:type="dxa"/>
              <w:right w:w="62" w:type="dxa"/>
            </w:tcMar>
          </w:tcPr>
          <w:p w:rsidR="00000000" w:rsidP="001C1B67">
            <w:pPr>
              <w:pStyle w:val="BodyText"/>
              <w:rPr>
                <w:lang w:val="en-NZ"/>
              </w:rPr>
            </w:pPr>
            <w:r w:rsidRPr="001C1B67">
              <w:t>4.</w:t>
            </w:r>
          </w:p>
        </w:tc>
        <w:tc>
          <w:tcPr>
            <w:tcW w:w="2388" w:type="dxa"/>
            <w:vMerge w:val="restart"/>
            <w:tcBorders>
              <w:top w:val="nil"/>
              <w:left w:val="nil"/>
              <w:bottom w:val="nil"/>
              <w:right w:val="nil"/>
            </w:tcBorders>
            <w:tcMar>
              <w:top w:w="0" w:type="dxa"/>
              <w:left w:w="62" w:type="dxa"/>
              <w:bottom w:w="0" w:type="dxa"/>
              <w:right w:w="62" w:type="dxa"/>
            </w:tcMar>
          </w:tcPr>
          <w:p w:rsidR="00000000" w:rsidP="001C1B67">
            <w:pPr>
              <w:pStyle w:val="BodyText"/>
              <w:rPr>
                <w:lang w:val="en-NZ"/>
              </w:rPr>
            </w:pPr>
            <w:r w:rsidRPr="001C1B67">
              <w:t>Quote the results of the application of the basic aeronautical scientific principles and basic techniques correctly</w:t>
            </w:r>
          </w:p>
        </w:tc>
        <w:tc>
          <w:tcPr>
            <w:tcW w:w="829" w:type="dxa"/>
            <w:tcBorders>
              <w:top w:val="nil"/>
              <w:left w:val="nil"/>
              <w:bottom w:val="nil"/>
              <w:right w:val="nil"/>
            </w:tcBorders>
            <w:tcMar>
              <w:top w:w="0" w:type="dxa"/>
              <w:left w:w="62" w:type="dxa"/>
              <w:bottom w:w="0" w:type="dxa"/>
              <w:right w:w="62" w:type="dxa"/>
            </w:tcMar>
          </w:tcPr>
          <w:p w:rsidR="00000000" w:rsidP="001C1B67">
            <w:pPr>
              <w:pStyle w:val="BodyText"/>
              <w:rPr>
                <w:lang w:val="en-NZ"/>
              </w:rPr>
            </w:pPr>
            <w:r w:rsidRPr="001C1B67">
              <w:t>4.1</w:t>
            </w:r>
          </w:p>
        </w:tc>
        <w:tc>
          <w:tcPr>
            <w:tcW w:w="5406" w:type="dxa"/>
            <w:tcBorders>
              <w:top w:val="nil"/>
              <w:left w:val="nil"/>
              <w:bottom w:val="nil"/>
              <w:right w:val="nil"/>
            </w:tcBorders>
            <w:tcMar>
              <w:top w:w="0" w:type="dxa"/>
              <w:left w:w="62" w:type="dxa"/>
              <w:bottom w:w="0" w:type="dxa"/>
              <w:right w:w="62" w:type="dxa"/>
            </w:tcMar>
          </w:tcPr>
          <w:p w:rsidR="00000000" w:rsidP="001C1B67">
            <w:pPr>
              <w:pStyle w:val="BodyText"/>
              <w:rPr>
                <w:lang w:val="en-NZ"/>
              </w:rPr>
            </w:pPr>
            <w:r w:rsidRPr="001C1B67">
              <w:t>Quote the solution for applications involving engineering calculations in an appropriate style</w:t>
            </w:r>
          </w:p>
        </w:tc>
      </w:tr>
      <w:tr w:rsidTr="001C1B67">
        <w:tblPrEx>
          <w:tblW w:w="9354" w:type="dxa"/>
          <w:tblLayout w:type="fixed"/>
          <w:tblCellMar>
            <w:left w:w="62" w:type="dxa"/>
            <w:right w:w="62" w:type="dxa"/>
          </w:tblCellMar>
          <w:tblLook w:val="0000"/>
        </w:tblPrEx>
        <w:tc>
          <w:tcPr>
            <w:tcW w:w="73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8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29" w:type="dxa"/>
            <w:tcBorders>
              <w:top w:val="nil"/>
              <w:left w:val="nil"/>
              <w:bottom w:val="nil"/>
              <w:right w:val="nil"/>
            </w:tcBorders>
            <w:tcMar>
              <w:top w:w="0" w:type="dxa"/>
              <w:left w:w="62" w:type="dxa"/>
              <w:bottom w:w="0" w:type="dxa"/>
              <w:right w:w="62" w:type="dxa"/>
            </w:tcMar>
          </w:tcPr>
          <w:p w:rsidR="00000000" w:rsidP="001C1B67">
            <w:pPr>
              <w:pStyle w:val="BodyText"/>
              <w:rPr>
                <w:lang w:val="en-NZ"/>
              </w:rPr>
            </w:pPr>
            <w:r w:rsidRPr="001C1B67">
              <w:t>4.2</w:t>
            </w:r>
          </w:p>
        </w:tc>
        <w:tc>
          <w:tcPr>
            <w:tcW w:w="5406" w:type="dxa"/>
            <w:tcBorders>
              <w:top w:val="nil"/>
              <w:left w:val="nil"/>
              <w:bottom w:val="nil"/>
              <w:right w:val="nil"/>
            </w:tcBorders>
            <w:tcMar>
              <w:top w:w="0" w:type="dxa"/>
              <w:left w:w="62" w:type="dxa"/>
              <w:bottom w:w="0" w:type="dxa"/>
              <w:right w:w="62" w:type="dxa"/>
            </w:tcMar>
          </w:tcPr>
          <w:p w:rsidR="00000000" w:rsidRPr="001C1B67" w:rsidP="001C1B67">
            <w:pPr>
              <w:pStyle w:val="BodyText"/>
            </w:pPr>
            <w:r w:rsidRPr="001C1B67">
              <w:t>Quote the solution for application</w:t>
            </w:r>
            <w:r w:rsidRPr="001C1B67">
              <w:t>s not involving engineering calculations in an appropriate style</w:t>
            </w:r>
          </w:p>
        </w:tc>
      </w:tr>
    </w:tbl>
    <w:p w:rsidR="00000000" w:rsidRPr="001C1B67" w:rsidP="001C1B67">
      <w:pPr>
        <w:pStyle w:val="BodyText"/>
      </w:pPr>
    </w:p>
    <w:p w:rsidR="00000000" w:rsidRPr="001C1B67" w:rsidP="001C1B67">
      <w:pPr>
        <w:pStyle w:val="AllowPageBreak"/>
      </w:pPr>
    </w:p>
    <w:p w:rsidR="00000000" w:rsidRPr="001C1B67" w:rsidP="001C1B67">
      <w:pPr>
        <w:pStyle w:val="Heading1"/>
      </w:pPr>
      <w:bookmarkStart w:id="7" w:name="O_960765"/>
      <w:bookmarkEnd w:id="7"/>
      <w:r w:rsidRPr="001C1B67">
        <w:t>Foundation Skills</w:t>
      </w:r>
    </w:p>
    <w:p w:rsidR="00000000" w:rsidRPr="001C1B67" w:rsidP="00B12246">
      <w:pPr>
        <w:pStyle w:val="BodyText"/>
      </w:pPr>
      <w:r w:rsidRPr="001C1B67">
        <w:t>Foundation skills essential to performance are explicit in the performance criteria of this unit of competency.</w:t>
      </w:r>
    </w:p>
    <w:p w:rsidR="00000000" w:rsidRPr="001C1B67" w:rsidP="001C1B67">
      <w:pPr>
        <w:pStyle w:val="Heading1"/>
      </w:pPr>
      <w:bookmarkStart w:id="8" w:name="O_960764"/>
      <w:bookmarkEnd w:id="8"/>
      <w:r w:rsidRPr="001C1B67">
        <w:t>Range of Conditions</w:t>
      </w:r>
    </w:p>
    <w:tbl>
      <w:tblPr>
        <w:tblW w:w="0" w:type="auto"/>
        <w:tblLayout w:type="fixed"/>
        <w:tblCellMar>
          <w:left w:w="62" w:type="dxa"/>
          <w:right w:w="62" w:type="dxa"/>
        </w:tblCellMar>
        <w:tblLook w:val="0000"/>
      </w:tblPr>
      <w:tblGrid>
        <w:gridCol w:w="3150"/>
        <w:gridCol w:w="5922"/>
      </w:tblGrid>
      <w:tr w:rsidTr="001C1B6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C1B67">
            <w:pPr>
              <w:pStyle w:val="BodyText"/>
              <w:rPr>
                <w:lang w:val="en-NZ"/>
              </w:rPr>
            </w:pPr>
            <w:r w:rsidRPr="001C1B67">
              <w:t>This field allows for different work environments and conditions that may affect performance. Essential operating conditions that may be present (depending on the work situation, needs of the candidate, accessibility of the item, and local industry and reg</w:t>
            </w:r>
            <w:r w:rsidRPr="001C1B67">
              <w:t>ional contexts) are included.</w:t>
            </w:r>
          </w:p>
        </w:tc>
      </w:tr>
      <w:tr w:rsidTr="001C1B67">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1C1B67">
            <w:pPr>
              <w:pStyle w:val="BodyText"/>
              <w:rPr>
                <w:lang w:val="en-NZ"/>
              </w:rPr>
            </w:pPr>
            <w:r w:rsidRPr="001C1B67">
              <w:rPr>
                <w:rStyle w:val="SpecialBold"/>
              </w:rPr>
              <w:t>Sources of information include:</w:t>
            </w:r>
          </w:p>
        </w:tc>
        <w:tc>
          <w:tcPr>
            <w:tcW w:w="5922" w:type="dxa"/>
            <w:tcBorders>
              <w:top w:val="nil"/>
              <w:left w:val="nil"/>
              <w:bottom w:val="nil"/>
              <w:right w:val="nil"/>
            </w:tcBorders>
            <w:tcMar>
              <w:top w:w="0" w:type="dxa"/>
              <w:left w:w="62" w:type="dxa"/>
              <w:bottom w:w="0" w:type="dxa"/>
              <w:right w:w="62" w:type="dxa"/>
            </w:tcMar>
          </w:tcPr>
          <w:p w:rsidR="00000000" w:rsidRPr="001C1B67" w:rsidP="001C1B67">
            <w:pPr>
              <w:pStyle w:val="ListBullet"/>
            </w:pPr>
            <w:r w:rsidRPr="001C1B67">
              <w:t>Reference texts</w:t>
            </w:r>
          </w:p>
          <w:p w:rsidR="00000000" w:rsidRPr="001C1B67" w:rsidP="001C1B67">
            <w:pPr>
              <w:pStyle w:val="ListBullet"/>
            </w:pPr>
            <w:r w:rsidRPr="001C1B67">
              <w:t>Manufacturer catalogues and industry magazines</w:t>
            </w:r>
          </w:p>
          <w:p w:rsidR="00000000" w:rsidRPr="001C1B67" w:rsidP="001C1B67">
            <w:pPr>
              <w:pStyle w:val="ListBullet"/>
            </w:pPr>
            <w:r w:rsidRPr="001C1B67">
              <w:t>International aerospace organisation publications</w:t>
            </w:r>
          </w:p>
          <w:p w:rsidR="00000000" w:rsidRPr="001C1B67" w:rsidP="001C1B67">
            <w:pPr>
              <w:pStyle w:val="ListBullet"/>
            </w:pPr>
            <w:r w:rsidRPr="001C1B67">
              <w:t>Websites</w:t>
            </w:r>
          </w:p>
          <w:p w:rsidR="00000000" w:rsidP="001C1B67">
            <w:pPr>
              <w:pStyle w:val="ListBullet"/>
              <w:rPr>
                <w:lang w:val="en-NZ"/>
              </w:rPr>
            </w:pPr>
            <w:r w:rsidRPr="001C1B67">
              <w:t>Use of phone, email and fax information gathering</w:t>
            </w:r>
          </w:p>
        </w:tc>
      </w:tr>
      <w:tr w:rsidTr="001C1B67">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1C1B67">
            <w:pPr>
              <w:pStyle w:val="BodyText"/>
              <w:rPr>
                <w:lang w:val="en-NZ"/>
              </w:rPr>
            </w:pPr>
            <w:r w:rsidRPr="001C1B67">
              <w:rPr>
                <w:rStyle w:val="SpecialBold"/>
              </w:rPr>
              <w:t>Aeronautical engineering refers to:</w:t>
            </w:r>
          </w:p>
        </w:tc>
        <w:tc>
          <w:tcPr>
            <w:tcW w:w="5922" w:type="dxa"/>
            <w:tcBorders>
              <w:top w:val="nil"/>
              <w:left w:val="nil"/>
              <w:bottom w:val="nil"/>
              <w:right w:val="nil"/>
            </w:tcBorders>
            <w:tcMar>
              <w:top w:w="0" w:type="dxa"/>
              <w:left w:w="62" w:type="dxa"/>
              <w:bottom w:w="0" w:type="dxa"/>
              <w:right w:w="62" w:type="dxa"/>
            </w:tcMar>
          </w:tcPr>
          <w:p w:rsidR="00000000" w:rsidP="001C1B67">
            <w:pPr>
              <w:pStyle w:val="ListBullet"/>
              <w:rPr>
                <w:lang w:val="en-NZ"/>
              </w:rPr>
            </w:pPr>
            <w:r w:rsidRPr="001C1B67">
              <w:t>The engineering discipline concerned with the conceptual development, research, design, manufacture, implementation, installation, commissioning and maintenance of aerospace mechanical, hydraulic, pneumatic, fuel and fi</w:t>
            </w:r>
            <w:r w:rsidRPr="001C1B67">
              <w:t>re products, processes, systems or services for civil and military applications</w:t>
            </w:r>
          </w:p>
        </w:tc>
      </w:tr>
      <w:tr w:rsidTr="001C1B67">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1C1B67">
            <w:pPr>
              <w:pStyle w:val="BodyText"/>
              <w:rPr>
                <w:lang w:val="en-NZ"/>
              </w:rPr>
            </w:pPr>
            <w:r w:rsidRPr="001C1B67">
              <w:rPr>
                <w:rStyle w:val="SpecialBold"/>
              </w:rPr>
              <w:t>Relevant basic aeronautical scientific techniques and principles involves:</w:t>
            </w:r>
          </w:p>
        </w:tc>
        <w:tc>
          <w:tcPr>
            <w:tcW w:w="5922" w:type="dxa"/>
            <w:tcBorders>
              <w:top w:val="nil"/>
              <w:left w:val="nil"/>
              <w:bottom w:val="nil"/>
              <w:right w:val="nil"/>
            </w:tcBorders>
            <w:tcMar>
              <w:top w:w="0" w:type="dxa"/>
              <w:left w:w="62" w:type="dxa"/>
              <w:bottom w:w="0" w:type="dxa"/>
              <w:right w:w="62" w:type="dxa"/>
            </w:tcMar>
          </w:tcPr>
          <w:p w:rsidR="00000000" w:rsidRPr="001C1B67" w:rsidP="001C1B67">
            <w:pPr>
              <w:pStyle w:val="ListBullet"/>
            </w:pPr>
            <w:r w:rsidRPr="001C1B67">
              <w:t>The application of appropriate basic techniques (see below) supported by mathematical skills and in</w:t>
            </w:r>
            <w:r w:rsidRPr="001C1B67">
              <w:t>troductory knowledge of scientific principles to design, manufacturing, commissioning and maintenance related tasks and projects relating to:</w:t>
            </w:r>
          </w:p>
          <w:p w:rsidR="00000000" w:rsidRPr="001C1B67" w:rsidP="001C1B67">
            <w:pPr>
              <w:pStyle w:val="ListBullet2"/>
            </w:pPr>
            <w:r w:rsidRPr="001C1B67">
              <w:t>metal and composite structure</w:t>
            </w:r>
          </w:p>
          <w:p w:rsidR="00000000" w:rsidRPr="001C1B67" w:rsidP="001C1B67">
            <w:pPr>
              <w:pStyle w:val="ListBullet2"/>
            </w:pPr>
            <w:r w:rsidRPr="001C1B67">
              <w:t>aerodynamic loads</w:t>
            </w:r>
          </w:p>
          <w:p w:rsidR="00000000" w:rsidRPr="001C1B67" w:rsidP="001C1B67">
            <w:pPr>
              <w:pStyle w:val="ListBullet2"/>
            </w:pPr>
            <w:r w:rsidRPr="001C1B67">
              <w:t>stability, control and performance</w:t>
            </w:r>
          </w:p>
          <w:p w:rsidR="00000000" w:rsidRPr="001C1B67" w:rsidP="001C1B67">
            <w:pPr>
              <w:pStyle w:val="ListBullet2"/>
            </w:pPr>
            <w:r w:rsidRPr="001C1B67">
              <w:t>mechanical systems and related components</w:t>
            </w:r>
          </w:p>
          <w:p w:rsidR="00000000" w:rsidRPr="001C1B67" w:rsidP="001C1B67">
            <w:pPr>
              <w:pStyle w:val="ListBullet2"/>
            </w:pPr>
            <w:r w:rsidRPr="001C1B67">
              <w:t>hydraulic systems and related components</w:t>
            </w:r>
          </w:p>
          <w:p w:rsidR="00000000" w:rsidRPr="001C1B67" w:rsidP="001C1B67">
            <w:pPr>
              <w:pStyle w:val="ListBullet2"/>
            </w:pPr>
            <w:r w:rsidRPr="001C1B67">
              <w:t>pneumatic systems and related components</w:t>
            </w:r>
          </w:p>
          <w:p w:rsidR="00000000" w:rsidRPr="001C1B67" w:rsidP="001C1B67">
            <w:pPr>
              <w:pStyle w:val="ListBullet2"/>
            </w:pPr>
            <w:r w:rsidRPr="001C1B67">
              <w:t>air cycle air conditioning and pressurisation systems and related components</w:t>
            </w:r>
          </w:p>
          <w:p w:rsidR="00000000" w:rsidRPr="001C1B67" w:rsidP="001C1B67">
            <w:pPr>
              <w:pStyle w:val="ListBullet2"/>
            </w:pPr>
            <w:r w:rsidRPr="001C1B67">
              <w:t>power plant systems and components</w:t>
            </w:r>
          </w:p>
          <w:p w:rsidR="00000000" w:rsidRPr="001C1B67" w:rsidP="001C1B67">
            <w:pPr>
              <w:pStyle w:val="ListBullet2"/>
            </w:pPr>
            <w:r w:rsidRPr="001C1B67">
              <w:t xml:space="preserve">the application and </w:t>
            </w:r>
            <w:r w:rsidRPr="001C1B67">
              <w:t>interfacing of electrical and electronic system control</w:t>
            </w:r>
          </w:p>
          <w:p w:rsidR="00000000" w:rsidRPr="001C1B67" w:rsidP="001C1B67">
            <w:pPr>
              <w:pStyle w:val="ListBullet"/>
            </w:pPr>
            <w:r w:rsidRPr="001C1B67">
              <w:t xml:space="preserve">The applications may require the use of one or two basic aeronautical scientific principles together with a fundamental mathematical calculation leading to process, resources and system choices from </w:t>
            </w:r>
            <w:r w:rsidRPr="001C1B67">
              <w:t>a limited range of options</w:t>
            </w:r>
          </w:p>
          <w:p w:rsidR="00000000" w:rsidRPr="001C1B67" w:rsidP="001C1B67">
            <w:pPr>
              <w:pStyle w:val="ListBullet"/>
            </w:pPr>
            <w:r w:rsidRPr="001C1B67">
              <w:t>Basic techniques include:</w:t>
            </w:r>
          </w:p>
          <w:p w:rsidR="00000000" w:rsidRPr="001C1B67" w:rsidP="001C1B67">
            <w:pPr>
              <w:pStyle w:val="ListBullet2"/>
            </w:pPr>
            <w:r w:rsidRPr="001C1B67">
              <w:t>basic hand and power tool operations</w:t>
            </w:r>
          </w:p>
          <w:p w:rsidR="00000000" w:rsidRPr="001C1B67" w:rsidP="001C1B67">
            <w:pPr>
              <w:pStyle w:val="ListBullet2"/>
            </w:pPr>
            <w:r w:rsidRPr="001C1B67">
              <w:t>machining</w:t>
            </w:r>
          </w:p>
          <w:p w:rsidR="00000000" w:rsidRPr="001C1B67" w:rsidP="001C1B67">
            <w:pPr>
              <w:pStyle w:val="ListBullet2"/>
            </w:pPr>
            <w:r w:rsidRPr="001C1B67">
              <w:t>fitting</w:t>
            </w:r>
          </w:p>
          <w:p w:rsidR="00000000" w:rsidRPr="001C1B67" w:rsidP="001C1B67">
            <w:pPr>
              <w:pStyle w:val="ListBullet2"/>
            </w:pPr>
            <w:r w:rsidRPr="001C1B67">
              <w:t>welding</w:t>
            </w:r>
          </w:p>
          <w:p w:rsidR="00000000" w:rsidRPr="001C1B67" w:rsidP="001C1B67">
            <w:pPr>
              <w:pStyle w:val="ListBullet2"/>
            </w:pPr>
            <w:r w:rsidRPr="001C1B67">
              <w:t>moulding</w:t>
            </w:r>
          </w:p>
          <w:p w:rsidR="00000000" w:rsidRPr="001C1B67" w:rsidP="001C1B67">
            <w:pPr>
              <w:pStyle w:val="ListBullet2"/>
            </w:pPr>
            <w:r w:rsidRPr="001C1B67">
              <w:t>fabricating</w:t>
            </w:r>
          </w:p>
          <w:p w:rsidR="00000000" w:rsidRPr="001C1B67" w:rsidP="001C1B67">
            <w:pPr>
              <w:pStyle w:val="ListBullet2"/>
            </w:pPr>
            <w:r w:rsidRPr="001C1B67">
              <w:t xml:space="preserve">wiring </w:t>
            </w:r>
          </w:p>
          <w:p w:rsidR="00000000" w:rsidRPr="001C1B67" w:rsidP="001C1B67">
            <w:pPr>
              <w:pStyle w:val="ListBullet2"/>
            </w:pPr>
            <w:r w:rsidRPr="001C1B67">
              <w:t>programming techniques</w:t>
            </w:r>
          </w:p>
        </w:tc>
      </w:tr>
    </w:tbl>
    <w:p w:rsidR="00000000" w:rsidRPr="001C1B67" w:rsidP="001C1B67">
      <w:pPr>
        <w:pStyle w:val="BodyText"/>
      </w:pPr>
    </w:p>
    <w:p w:rsidR="00000000" w:rsidRPr="001C1B67" w:rsidP="001C1B67">
      <w:pPr>
        <w:pStyle w:val="AllowPageBreak"/>
      </w:pPr>
    </w:p>
    <w:p w:rsidR="00000000" w:rsidRPr="001C1B67" w:rsidP="001C1B67">
      <w:pPr>
        <w:pStyle w:val="Heading1"/>
      </w:pPr>
      <w:bookmarkStart w:id="9" w:name="O_960763"/>
      <w:bookmarkEnd w:id="9"/>
      <w:r w:rsidRPr="001C1B67">
        <w:t>Unit Mapping Information</w:t>
      </w:r>
    </w:p>
    <w:p w:rsidR="00000000" w:rsidRPr="001C1B67" w:rsidP="00B12246">
      <w:pPr>
        <w:pStyle w:val="BodyText"/>
      </w:pPr>
      <w:r w:rsidRPr="001C1B67">
        <w:t>Release 1 –</w:t>
      </w:r>
      <w:r w:rsidRPr="001C1B67">
        <w:t xml:space="preserve"> supersedes and is equivalent to MEA349B Apply basic scientific principles and techniques in aeronautical engineering situations</w:t>
      </w:r>
    </w:p>
    <w:p w:rsidR="00000000" w:rsidRPr="001C1B67" w:rsidP="001C1B67">
      <w:pPr>
        <w:pStyle w:val="Heading1"/>
      </w:pPr>
      <w:bookmarkStart w:id="10" w:name="O_960772"/>
      <w:bookmarkEnd w:id="10"/>
      <w:r w:rsidRPr="001C1B67">
        <w:t>Links</w:t>
      </w:r>
    </w:p>
    <w:p w:rsidR="00000000" w:rsidRPr="001C1B67" w:rsidP="00B12246">
      <w:pPr>
        <w:pStyle w:val="BodyText"/>
      </w:pPr>
      <w:r w:rsidRPr="001C1B67">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8752BB">
        <w:rPr>
          <w:rStyle w:val="Hyperlink"/>
        </w:rPr>
        <w:t>https://vetnet.gov.au/Pages/TrainingDocs.aspx?q=ce216c9c-04d5-4b3b-9bcf-4e81d0950371</w:t>
      </w:r>
      <w:r>
        <w:fldChar w:fldCharType="end"/>
      </w:r>
    </w:p>
    <w:p w:rsidR="00000000" w:rsidRPr="001C1B67" w:rsidP="00B12246">
      <w:pPr>
        <w:pStyle w:val="BodyText"/>
        <w:sectPr w:rsidSect="001C1B67">
          <w:headerReference w:type="default" r:id="rId10"/>
          <w:footerReference w:type="default" r:id="rId11"/>
          <w:pgSz w:w="11908" w:h="16833"/>
          <w:pgMar w:top="1702" w:right="1418" w:bottom="1702" w:left="1418" w:header="992" w:footer="992" w:gutter="0"/>
          <w:cols w:space="720"/>
          <w:noEndnote/>
          <w:docGrid w:linePitch="299"/>
        </w:sectPr>
      </w:pPr>
    </w:p>
    <w:p w:rsidR="00000000" w:rsidRPr="001C1B67" w:rsidP="001C1B67">
      <w:pPr>
        <w:pStyle w:val="SuperHeading"/>
      </w:pPr>
      <w:r w:rsidRPr="001C1B67">
        <w:t>Assessment Requirements for MEA705 Apply basic scientific principles and techniques in aeronautical engineering situations</w:t>
      </w:r>
    </w:p>
    <w:p w:rsidR="00000000" w:rsidRPr="001C1B67" w:rsidP="001C1B67">
      <w:pPr>
        <w:pStyle w:val="Heading1"/>
      </w:pPr>
      <w:bookmarkStart w:id="11" w:name="O_960761"/>
      <w:bookmarkEnd w:id="11"/>
      <w:r w:rsidRPr="001C1B67">
        <w:t>Modification History</w:t>
      </w:r>
    </w:p>
    <w:p w:rsidR="00000000" w:rsidRPr="001C1B67" w:rsidP="00B12246">
      <w:pPr>
        <w:pStyle w:val="BodyText"/>
      </w:pPr>
      <w:r w:rsidRPr="001C1B67">
        <w:t>Release 1 - New unit of competency</w:t>
      </w:r>
    </w:p>
    <w:p w:rsidR="00000000" w:rsidRPr="001C1B67" w:rsidP="001C1B67">
      <w:pPr>
        <w:pStyle w:val="Heading1"/>
      </w:pPr>
      <w:bookmarkStart w:id="12" w:name="O_960760"/>
      <w:bookmarkEnd w:id="12"/>
      <w:r w:rsidRPr="001C1B67">
        <w:t>Performance Evidence</w:t>
      </w:r>
    </w:p>
    <w:p w:rsidR="00000000" w:rsidRPr="001C1B67" w:rsidP="00B12246">
      <w:pPr>
        <w:pStyle w:val="BodyText"/>
      </w:pPr>
      <w:r w:rsidRPr="001C1B67">
        <w:t>Evidence required to demonstrate competency in this unit must be relevant to and satisfy all of the requirements of the elements and performance criteria under the specified condition</w:t>
      </w:r>
      <w:r w:rsidRPr="001C1B67">
        <w:t>s of assessment, and must include:</w:t>
      </w:r>
    </w:p>
    <w:p w:rsidR="00000000" w:rsidRPr="001C1B67" w:rsidP="001C1B67">
      <w:pPr>
        <w:pStyle w:val="ListBullet"/>
      </w:pPr>
      <w:r w:rsidRPr="001C1B67">
        <w:t>selecting appropriate basic aeronautical scientific principles to suit specific applications</w:t>
      </w:r>
    </w:p>
    <w:p w:rsidR="00000000" w:rsidRPr="001C1B67" w:rsidP="001C1B67">
      <w:pPr>
        <w:pStyle w:val="ListBullet"/>
      </w:pPr>
      <w:r w:rsidRPr="001C1B67">
        <w:t>selecting appropriate basic aeronautical techniques and associated technologies, software and hardware to suit specific applica</w:t>
      </w:r>
      <w:r w:rsidRPr="001C1B67">
        <w:t>tions</w:t>
      </w:r>
    </w:p>
    <w:p w:rsidR="00000000" w:rsidRPr="001C1B67" w:rsidP="001C1B67">
      <w:pPr>
        <w:pStyle w:val="ListBullet"/>
      </w:pPr>
      <w:r w:rsidRPr="001C1B67">
        <w:t>applying basic aeronautical scientific principles to particular engineering situations</w:t>
      </w:r>
    </w:p>
    <w:p w:rsidR="00000000" w:rsidRPr="001C1B67" w:rsidP="001C1B67">
      <w:pPr>
        <w:pStyle w:val="ListBullet"/>
      </w:pPr>
      <w:r w:rsidRPr="001C1B67">
        <w:t>applying and manipulate appropriate formulas for applications involving engineering calculations</w:t>
      </w:r>
    </w:p>
    <w:p w:rsidR="00000000" w:rsidRPr="001C1B67" w:rsidP="001C1B67">
      <w:pPr>
        <w:pStyle w:val="ListBullet"/>
      </w:pPr>
      <w:r w:rsidRPr="001C1B67">
        <w:t>applying appropriate calculations to engineering situations</w:t>
      </w:r>
    </w:p>
    <w:p w:rsidR="00000000" w:rsidRPr="001C1B67" w:rsidP="001C1B67">
      <w:pPr>
        <w:pStyle w:val="ListBullet"/>
      </w:pPr>
      <w:r w:rsidRPr="001C1B67">
        <w:t>checki</w:t>
      </w:r>
      <w:r w:rsidRPr="001C1B67">
        <w:t>ng the validity of equations in using dimensional analysis</w:t>
      </w:r>
    </w:p>
    <w:p w:rsidR="00000000" w:rsidRPr="001C1B67" w:rsidP="001C1B67">
      <w:pPr>
        <w:pStyle w:val="ListBullet"/>
      </w:pPr>
      <w:r w:rsidRPr="001C1B67">
        <w:t>applying basic aeronautical techniques and associated technologies, software and hardware in a manner appropriate to the application and identified scientific principles</w:t>
      </w:r>
    </w:p>
    <w:p w:rsidR="00000000" w:rsidRPr="001C1B67" w:rsidP="001C1B67">
      <w:pPr>
        <w:pStyle w:val="ListBullet"/>
      </w:pPr>
      <w:r w:rsidRPr="001C1B67">
        <w:t xml:space="preserve">referring solutions to the </w:t>
      </w:r>
      <w:r w:rsidRPr="001C1B67">
        <w:t>original aim of the application</w:t>
      </w:r>
    </w:p>
    <w:p w:rsidR="00000000" w:rsidRPr="001C1B67" w:rsidP="001C1B67">
      <w:pPr>
        <w:pStyle w:val="ListBullet"/>
      </w:pPr>
      <w:r w:rsidRPr="001C1B67">
        <w:t>quoting solutions in appropriate units, using appropriate significant figures</w:t>
      </w:r>
    </w:p>
    <w:p w:rsidR="00000000" w:rsidRPr="001C1B67" w:rsidP="001C1B67">
      <w:pPr>
        <w:pStyle w:val="ListBullet"/>
      </w:pPr>
      <w:r w:rsidRPr="001C1B67">
        <w:t>quoting limitations of solutions, due to assumptions, scientific principles and techniques used</w:t>
      </w:r>
    </w:p>
    <w:p w:rsidR="00000000" w:rsidRPr="001C1B67" w:rsidP="001C1B67">
      <w:pPr>
        <w:pStyle w:val="ListBullet"/>
      </w:pPr>
      <w:r w:rsidRPr="001C1B67">
        <w:t>presenting solutions referring to the original aim of the application.</w:t>
      </w:r>
    </w:p>
    <w:p w:rsidR="00000000" w:rsidRPr="001C1B67" w:rsidP="001C1B67">
      <w:pPr>
        <w:pStyle w:val="AllowPageBreak"/>
      </w:pPr>
    </w:p>
    <w:p w:rsidR="00000000" w:rsidRPr="001C1B67" w:rsidP="001C1B67">
      <w:pPr>
        <w:pStyle w:val="Heading1"/>
      </w:pPr>
      <w:bookmarkStart w:id="13" w:name="O_960759"/>
      <w:bookmarkEnd w:id="13"/>
      <w:r w:rsidRPr="001C1B67">
        <w:t>Knowledge Evidence</w:t>
      </w:r>
    </w:p>
    <w:p w:rsidR="00000000" w:rsidRPr="001C1B67" w:rsidP="00B12246">
      <w:pPr>
        <w:pStyle w:val="BodyText"/>
      </w:pPr>
      <w:r w:rsidRPr="001C1B67">
        <w:t>Evidence required to demonstrate competency in this unit must be relevant to and satisfy all of the requirements of the elements and performance crit</w:t>
      </w:r>
      <w:r w:rsidRPr="001C1B67">
        <w:t>eria and include knowledge of:</w:t>
      </w:r>
    </w:p>
    <w:p w:rsidR="00000000" w:rsidRPr="001C1B67" w:rsidP="001C1B67">
      <w:pPr>
        <w:pStyle w:val="ListBullet"/>
      </w:pPr>
      <w:r w:rsidRPr="001C1B67">
        <w:t>basic aeronautical scientific principles, including:</w:t>
      </w:r>
    </w:p>
    <w:p w:rsidR="00000000" w:rsidRPr="001C1B67" w:rsidP="001C1B67">
      <w:pPr>
        <w:pStyle w:val="ListBullet2"/>
      </w:pPr>
      <w:r w:rsidRPr="001C1B67">
        <w:t>statics, including analysis and application of:</w:t>
      </w:r>
    </w:p>
    <w:p w:rsidR="00000000" w:rsidRPr="001C1B67" w:rsidP="001C1B67">
      <w:pPr>
        <w:pStyle w:val="ListBullet3"/>
      </w:pPr>
      <w:r w:rsidRPr="001C1B67">
        <w:t>forces and moments of forces</w:t>
      </w:r>
    </w:p>
    <w:p w:rsidR="00000000" w:rsidRPr="001C1B67" w:rsidP="001C1B67">
      <w:pPr>
        <w:pStyle w:val="ListBullet3"/>
      </w:pPr>
      <w:r w:rsidRPr="001C1B67">
        <w:t>systems of concurrent and non-concurrent forces</w:t>
      </w:r>
    </w:p>
    <w:p w:rsidR="00000000" w:rsidRPr="001C1B67" w:rsidP="001C1B67">
      <w:pPr>
        <w:pStyle w:val="ListBullet3"/>
      </w:pPr>
      <w:r w:rsidRPr="001C1B67">
        <w:t>dry sliding friction</w:t>
      </w:r>
    </w:p>
    <w:p w:rsidR="00000000" w:rsidRPr="001C1B67" w:rsidP="001C1B67">
      <w:pPr>
        <w:pStyle w:val="ListBullet2"/>
      </w:pPr>
      <w:r w:rsidRPr="001C1B67">
        <w:t>dynamics, including analysis and application of:</w:t>
      </w:r>
    </w:p>
    <w:p w:rsidR="00000000" w:rsidRPr="001C1B67" w:rsidP="001C1B67">
      <w:pPr>
        <w:pStyle w:val="ListBullet3"/>
      </w:pPr>
      <w:r w:rsidRPr="001C1B67">
        <w:t>Newton’s Laws</w:t>
      </w:r>
    </w:p>
    <w:p w:rsidR="00000000" w:rsidRPr="001C1B67" w:rsidP="001C1B67">
      <w:pPr>
        <w:pStyle w:val="ListBullet3"/>
      </w:pPr>
      <w:r w:rsidRPr="001C1B67">
        <w:t>kinematics and kinetics of uniformly accelerated linear motion</w:t>
      </w:r>
    </w:p>
    <w:p w:rsidR="00000000" w:rsidRPr="001C1B67" w:rsidP="001C1B67">
      <w:pPr>
        <w:pStyle w:val="ListBullet3"/>
      </w:pPr>
      <w:r w:rsidRPr="001C1B67">
        <w:t>kinematics and kinetics of uniformly accelerated rotation</w:t>
      </w:r>
    </w:p>
    <w:p w:rsidR="00000000" w:rsidRPr="001C1B67" w:rsidP="001C1B67">
      <w:pPr>
        <w:pStyle w:val="ListBullet3"/>
      </w:pPr>
      <w:r w:rsidRPr="001C1B67">
        <w:t>curvilinear motion and centrifugal force</w:t>
      </w:r>
    </w:p>
    <w:p w:rsidR="00000000" w:rsidRPr="001C1B67" w:rsidP="001C1B67">
      <w:pPr>
        <w:pStyle w:val="ListBullet3"/>
      </w:pPr>
      <w:r w:rsidRPr="001C1B67">
        <w:t>work, energy, power and torque</w:t>
      </w:r>
    </w:p>
    <w:p w:rsidR="00000000" w:rsidRPr="001C1B67" w:rsidP="001C1B67">
      <w:pPr>
        <w:pStyle w:val="ListBullet3"/>
      </w:pPr>
      <w:r w:rsidRPr="001C1B67">
        <w:t>mechanical advantage and efficiency</w:t>
      </w:r>
    </w:p>
    <w:p w:rsidR="00000000" w:rsidRPr="001C1B67" w:rsidP="001C1B67">
      <w:pPr>
        <w:pStyle w:val="ListBullet2"/>
      </w:pPr>
      <w:r w:rsidRPr="001C1B67">
        <w:t>strength of materials:</w:t>
      </w:r>
    </w:p>
    <w:p w:rsidR="00000000" w:rsidRPr="001C1B67" w:rsidP="001C1B67">
      <w:pPr>
        <w:pStyle w:val="ListBullet3"/>
      </w:pPr>
      <w:r w:rsidRPr="001C1B67">
        <w:t>axial tension and compression</w:t>
      </w:r>
    </w:p>
    <w:p w:rsidR="00000000" w:rsidRPr="001C1B67" w:rsidP="001C1B67">
      <w:pPr>
        <w:pStyle w:val="ListBullet3"/>
      </w:pPr>
      <w:r w:rsidRPr="001C1B67">
        <w:t>direct shear</w:t>
      </w:r>
    </w:p>
    <w:p w:rsidR="00000000" w:rsidRPr="001C1B67" w:rsidP="001C1B67">
      <w:pPr>
        <w:pStyle w:val="ListBullet3"/>
      </w:pPr>
      <w:r w:rsidRPr="001C1B67">
        <w:t>bolted, riveted, bonded and welded connections</w:t>
      </w:r>
    </w:p>
    <w:p w:rsidR="00000000" w:rsidRPr="001C1B67" w:rsidP="001C1B67">
      <w:pPr>
        <w:pStyle w:val="ListBullet3"/>
      </w:pPr>
      <w:r w:rsidRPr="001C1B67">
        <w:t>shear in beams</w:t>
      </w:r>
    </w:p>
    <w:p w:rsidR="00000000" w:rsidRPr="001C1B67" w:rsidP="001C1B67">
      <w:pPr>
        <w:pStyle w:val="ListBullet3"/>
      </w:pPr>
      <w:r w:rsidRPr="001C1B67">
        <w:t>bending stresses and bending deflections (by standard formulas only)</w:t>
      </w:r>
    </w:p>
    <w:p w:rsidR="00000000" w:rsidRPr="001C1B67" w:rsidP="001C1B67">
      <w:pPr>
        <w:pStyle w:val="ListBullet3"/>
      </w:pPr>
      <w:r w:rsidRPr="001C1B67">
        <w:t>torsion</w:t>
      </w:r>
    </w:p>
    <w:p w:rsidR="00000000" w:rsidRPr="001C1B67" w:rsidP="001C1B67">
      <w:pPr>
        <w:pStyle w:val="ListBullet"/>
      </w:pPr>
      <w:r w:rsidRPr="001C1B67">
        <w:t>aerodynamics:</w:t>
      </w:r>
    </w:p>
    <w:p w:rsidR="00000000" w:rsidRPr="001C1B67" w:rsidP="001C1B67">
      <w:pPr>
        <w:pStyle w:val="ListBullet2"/>
      </w:pPr>
      <w:r w:rsidRPr="001C1B67">
        <w:t>Bernoulli’s Theorem</w:t>
      </w:r>
    </w:p>
    <w:p w:rsidR="00000000" w:rsidRPr="001C1B67" w:rsidP="001C1B67">
      <w:pPr>
        <w:pStyle w:val="ListBullet2"/>
      </w:pPr>
      <w:r w:rsidRPr="001C1B67">
        <w:t>the atmosphere</w:t>
      </w:r>
    </w:p>
    <w:p w:rsidR="00000000" w:rsidRPr="001C1B67" w:rsidP="001C1B67">
      <w:pPr>
        <w:pStyle w:val="ListBullet2"/>
      </w:pPr>
      <w:r w:rsidRPr="001C1B67">
        <w:t>aerodynamic forces (lift, drag, weight and thrust)</w:t>
      </w:r>
    </w:p>
    <w:p w:rsidR="00000000" w:rsidRPr="001C1B67" w:rsidP="001C1B67">
      <w:pPr>
        <w:pStyle w:val="ListBullet2"/>
      </w:pPr>
      <w:r w:rsidRPr="001C1B67">
        <w:t>stability and control (to a level not requiring the application of calculus)</w:t>
      </w:r>
    </w:p>
    <w:p w:rsidR="00000000" w:rsidRPr="001C1B67" w:rsidP="001C1B67">
      <w:pPr>
        <w:pStyle w:val="ListBullet2"/>
      </w:pPr>
      <w:r w:rsidRPr="001C1B67">
        <w:t>airscrews and propulsion (to a level not requiring the application of calculus)</w:t>
      </w:r>
    </w:p>
    <w:p w:rsidR="00000000" w:rsidRPr="001C1B67" w:rsidP="001C1B67">
      <w:pPr>
        <w:pStyle w:val="ListBullet2"/>
      </w:pPr>
      <w:r w:rsidRPr="001C1B67">
        <w:t>aircraft performance (to a level not requiring the application of calculus)</w:t>
      </w:r>
    </w:p>
    <w:p w:rsidR="00000000" w:rsidRPr="001C1B67" w:rsidP="001C1B67">
      <w:pPr>
        <w:pStyle w:val="ListBullet"/>
      </w:pPr>
      <w:r w:rsidRPr="001C1B67">
        <w:t>fluid mechanics:</w:t>
      </w:r>
    </w:p>
    <w:p w:rsidR="00000000" w:rsidRPr="001C1B67" w:rsidP="001C1B67">
      <w:pPr>
        <w:pStyle w:val="ListBullet2"/>
      </w:pPr>
      <w:r w:rsidRPr="001C1B67">
        <w:t>properties of fluids, including mineral and synthetic hydraulic fluids</w:t>
      </w:r>
    </w:p>
    <w:p w:rsidR="00000000" w:rsidRPr="001C1B67" w:rsidP="001C1B67">
      <w:pPr>
        <w:pStyle w:val="ListBullet2"/>
      </w:pPr>
      <w:r w:rsidRPr="001C1B67">
        <w:t>fluid stat</w:t>
      </w:r>
      <w:r w:rsidRPr="001C1B67">
        <w:t>ics, Archimedes’ Principle and Pascal’s Principle</w:t>
      </w:r>
    </w:p>
    <w:p w:rsidR="00000000" w:rsidRPr="001C1B67" w:rsidP="001C1B67">
      <w:pPr>
        <w:pStyle w:val="ListBullet2"/>
      </w:pPr>
      <w:r w:rsidRPr="001C1B67">
        <w:t>fluid flow – continuity and energy conservation</w:t>
      </w:r>
    </w:p>
    <w:p w:rsidR="00000000" w:rsidRPr="001C1B67" w:rsidP="001C1B67">
      <w:pPr>
        <w:pStyle w:val="ListBullet2"/>
      </w:pPr>
      <w:r w:rsidRPr="001C1B67">
        <w:t>fluid power – pumps</w:t>
      </w:r>
    </w:p>
    <w:p w:rsidR="00000000" w:rsidRPr="001C1B67" w:rsidP="001C1B67">
      <w:pPr>
        <w:pStyle w:val="ListBullet"/>
      </w:pPr>
      <w:r w:rsidRPr="001C1B67">
        <w:t>thermodynamics:</w:t>
      </w:r>
    </w:p>
    <w:p w:rsidR="00000000" w:rsidRPr="001C1B67" w:rsidP="001C1B67">
      <w:pPr>
        <w:pStyle w:val="ListBullet2"/>
      </w:pPr>
      <w:r w:rsidRPr="001C1B67">
        <w:t>heat transfer principles (conduction, convection and radiation)</w:t>
      </w:r>
    </w:p>
    <w:p w:rsidR="00000000" w:rsidRPr="001C1B67" w:rsidP="001C1B67">
      <w:pPr>
        <w:pStyle w:val="ListBullet2"/>
      </w:pPr>
      <w:r w:rsidRPr="001C1B67">
        <w:t>perfect gas laws</w:t>
      </w:r>
    </w:p>
    <w:p w:rsidR="00000000" w:rsidRPr="001C1B67" w:rsidP="001C1B67">
      <w:pPr>
        <w:pStyle w:val="ListBullet2"/>
      </w:pPr>
      <w:r w:rsidRPr="001C1B67">
        <w:t>kinetic theory of gases</w:t>
      </w:r>
    </w:p>
    <w:p w:rsidR="00000000" w:rsidRPr="001C1B67" w:rsidP="001C1B67">
      <w:pPr>
        <w:pStyle w:val="ListBullet2"/>
      </w:pPr>
      <w:r w:rsidRPr="001C1B67">
        <w:t>laws of thermodynamics</w:t>
      </w:r>
    </w:p>
    <w:p w:rsidR="00000000" w:rsidRPr="001C1B67" w:rsidP="001C1B67">
      <w:pPr>
        <w:pStyle w:val="ListBullet"/>
      </w:pPr>
      <w:r w:rsidRPr="001C1B67">
        <w:t>control concepts including closed and open loop control</w:t>
      </w:r>
    </w:p>
    <w:p w:rsidR="00000000" w:rsidRPr="001C1B67" w:rsidP="001C1B67">
      <w:pPr>
        <w:pStyle w:val="ListBullet"/>
      </w:pPr>
      <w:r w:rsidRPr="001C1B67">
        <w:t>electricity and electronics:</w:t>
      </w:r>
    </w:p>
    <w:p w:rsidR="00000000" w:rsidRPr="001C1B67" w:rsidP="001C1B67">
      <w:pPr>
        <w:pStyle w:val="ListBullet2"/>
      </w:pPr>
      <w:r w:rsidRPr="001C1B67">
        <w:t>basic electrical concepts</w:t>
      </w:r>
    </w:p>
    <w:p w:rsidR="00000000" w:rsidRPr="001C1B67" w:rsidP="001C1B67">
      <w:pPr>
        <w:pStyle w:val="ListBullet2"/>
      </w:pPr>
      <w:r w:rsidRPr="001C1B67">
        <w:t>Ohm’s Law</w:t>
      </w:r>
    </w:p>
    <w:p w:rsidR="00000000" w:rsidRPr="001C1B67" w:rsidP="001C1B67">
      <w:pPr>
        <w:pStyle w:val="ListBullet2"/>
      </w:pPr>
      <w:r w:rsidRPr="001C1B67">
        <w:t>Kirchhoff’s Current and Voltage Laws</w:t>
      </w:r>
    </w:p>
    <w:p w:rsidR="00000000" w:rsidRPr="001C1B67" w:rsidP="001C1B67">
      <w:pPr>
        <w:pStyle w:val="ListBullet2"/>
      </w:pPr>
      <w:r w:rsidRPr="001C1B67">
        <w:t>basic DC circuits</w:t>
      </w:r>
    </w:p>
    <w:p w:rsidR="00000000" w:rsidRPr="001C1B67" w:rsidP="001C1B67">
      <w:pPr>
        <w:pStyle w:val="ListBullet2"/>
      </w:pPr>
      <w:r w:rsidRPr="001C1B67">
        <w:t xml:space="preserve">basic power supply, transformer, rectifier, filter and </w:t>
      </w:r>
      <w:r w:rsidRPr="001C1B67">
        <w:t>regulator</w:t>
      </w:r>
    </w:p>
    <w:p w:rsidR="00000000" w:rsidRPr="001C1B67" w:rsidP="001C1B67">
      <w:pPr>
        <w:pStyle w:val="ListBullet2"/>
      </w:pPr>
      <w:r w:rsidRPr="001C1B67">
        <w:t>PLC concepts – I/O, timing, counting, programming</w:t>
      </w:r>
    </w:p>
    <w:p w:rsidR="00000000" w:rsidRPr="001C1B67" w:rsidP="001C1B67">
      <w:pPr>
        <w:pStyle w:val="ListBullet2"/>
      </w:pPr>
      <w:r w:rsidRPr="001C1B67">
        <w:t>electronic devices (discrete) – resistors, diodes, capacitors, inductors, transistors and rectifiers</w:t>
      </w:r>
    </w:p>
    <w:p w:rsidR="00000000" w:rsidRPr="001C1B67" w:rsidP="001C1B67">
      <w:pPr>
        <w:pStyle w:val="ListBullet2"/>
      </w:pPr>
      <w:r w:rsidRPr="001C1B67">
        <w:t>microprocessor concepts</w:t>
      </w:r>
    </w:p>
    <w:p w:rsidR="00000000" w:rsidRPr="001C1B67" w:rsidP="001C1B67">
      <w:pPr>
        <w:pStyle w:val="ListBullet"/>
      </w:pPr>
      <w:r w:rsidRPr="001C1B67">
        <w:t>light, sound and vibration:</w:t>
      </w:r>
    </w:p>
    <w:p w:rsidR="00000000" w:rsidRPr="001C1B67" w:rsidP="001C1B67">
      <w:pPr>
        <w:pStyle w:val="ListBullet2"/>
      </w:pPr>
      <w:r w:rsidRPr="001C1B67">
        <w:t>wave behavior – standing vs travelling wa</w:t>
      </w:r>
      <w:r w:rsidRPr="001C1B67">
        <w:t>ves, transverse and longitudinal</w:t>
      </w:r>
    </w:p>
    <w:p w:rsidR="00000000" w:rsidRPr="001C1B67" w:rsidP="001C1B67">
      <w:pPr>
        <w:pStyle w:val="ListBullet2"/>
      </w:pPr>
      <w:r w:rsidRPr="001C1B67">
        <w:t>light – reflection, absorption, refraction, diffraction, spectrum, infrared, visible, ultraviolet, transmission medium and engineering applications</w:t>
      </w:r>
    </w:p>
    <w:p w:rsidR="00000000" w:rsidRPr="001C1B67" w:rsidP="001C1B67">
      <w:pPr>
        <w:pStyle w:val="ListBullet2"/>
      </w:pPr>
      <w:r w:rsidRPr="001C1B67">
        <w:t>sound – pitch, frequency, intensity (power), decibel scale, ‘noise dose’</w:t>
      </w:r>
      <w:r w:rsidRPr="001C1B67">
        <w:t>, spectrum, infrasound, audible, ultrasound, speed, natural frequency, resonance, transmission medium and engineering applications</w:t>
      </w:r>
    </w:p>
    <w:p w:rsidR="00000000" w:rsidRPr="001C1B67" w:rsidP="001C1B67">
      <w:pPr>
        <w:pStyle w:val="ListBullet2"/>
      </w:pPr>
      <w:r w:rsidRPr="001C1B67">
        <w:t>vibration – sources, balancing, shaft alignment, measurement, damping and engineering applications</w:t>
      </w:r>
    </w:p>
    <w:p w:rsidR="00000000" w:rsidRPr="001C1B67" w:rsidP="001C1B67">
      <w:pPr>
        <w:pStyle w:val="ListBullet"/>
      </w:pPr>
      <w:r w:rsidRPr="001C1B67">
        <w:t>basic aeronautical techni</w:t>
      </w:r>
      <w:r w:rsidRPr="001C1B67">
        <w:t>ques and related technologies, software and hardware associated with implementing scientific principles in aeronautical engineering solutions</w:t>
      </w:r>
    </w:p>
    <w:p w:rsidR="00000000" w:rsidRPr="001C1B67" w:rsidP="001C1B67">
      <w:pPr>
        <w:pStyle w:val="ListBullet"/>
      </w:pPr>
      <w:r w:rsidRPr="001C1B67">
        <w:t>the applicability and limitations of basic aeronautical scientific principles</w:t>
      </w:r>
    </w:p>
    <w:p w:rsidR="00000000" w:rsidRPr="001C1B67" w:rsidP="001C1B67">
      <w:pPr>
        <w:pStyle w:val="ListBullet"/>
      </w:pPr>
      <w:r w:rsidRPr="001C1B67">
        <w:t>the applicability and limitations of</w:t>
      </w:r>
      <w:r w:rsidRPr="001C1B67">
        <w:t xml:space="preserve"> basic aeronautical techniques and associated technologies, software and hardware</w:t>
      </w:r>
    </w:p>
    <w:p w:rsidR="00000000" w:rsidRPr="001C1B67" w:rsidP="001C1B67">
      <w:pPr>
        <w:pStyle w:val="ListBullet"/>
      </w:pPr>
      <w:r w:rsidRPr="001C1B67">
        <w:t>appropriateness of calculations</w:t>
      </w:r>
    </w:p>
    <w:p w:rsidR="00000000" w:rsidRPr="001C1B67" w:rsidP="001C1B67">
      <w:pPr>
        <w:pStyle w:val="ListBullet"/>
      </w:pPr>
      <w:r w:rsidRPr="001C1B67">
        <w:t>fundamental and derived quantities</w:t>
      </w:r>
    </w:p>
    <w:p w:rsidR="00000000" w:rsidRPr="001C1B67" w:rsidP="001C1B67">
      <w:pPr>
        <w:pStyle w:val="ListBullet"/>
      </w:pPr>
      <w:r w:rsidRPr="001C1B67">
        <w:t>common systems of units</w:t>
      </w:r>
    </w:p>
    <w:p w:rsidR="00000000" w:rsidRPr="001C1B67" w:rsidP="001C1B67">
      <w:pPr>
        <w:pStyle w:val="ListBullet"/>
      </w:pPr>
      <w:r w:rsidRPr="001C1B67">
        <w:t>the procedure for converting between systems of units</w:t>
      </w:r>
    </w:p>
    <w:p w:rsidR="00000000" w:rsidRPr="001C1B67" w:rsidP="001C1B67">
      <w:pPr>
        <w:pStyle w:val="ListBullet"/>
      </w:pPr>
      <w:r w:rsidRPr="001C1B67">
        <w:t>common prefixes used with uni</w:t>
      </w:r>
      <w:r w:rsidRPr="001C1B67">
        <w:t>ts and their values</w:t>
      </w:r>
    </w:p>
    <w:p w:rsidR="00000000" w:rsidRPr="001C1B67" w:rsidP="001C1B67">
      <w:pPr>
        <w:pStyle w:val="ListBullet"/>
      </w:pPr>
      <w:r w:rsidRPr="001C1B67">
        <w:t>the procedure for carrying out dimensional analysis</w:t>
      </w:r>
    </w:p>
    <w:p w:rsidR="00000000" w:rsidRPr="001C1B67" w:rsidP="001C1B67">
      <w:pPr>
        <w:pStyle w:val="ListBullet"/>
      </w:pPr>
      <w:r w:rsidRPr="001C1B67">
        <w:t>the concept of significant figures</w:t>
      </w:r>
    </w:p>
    <w:p w:rsidR="00000000" w:rsidRPr="001C1B67" w:rsidP="001C1B67">
      <w:pPr>
        <w:pStyle w:val="ListBullet"/>
      </w:pPr>
      <w:r w:rsidRPr="001C1B67">
        <w:t>the uncertainty of computations based on experimental data</w:t>
      </w:r>
    </w:p>
    <w:p w:rsidR="00000000" w:rsidRPr="001C1B67" w:rsidP="001C1B67">
      <w:pPr>
        <w:pStyle w:val="ListBullet"/>
      </w:pPr>
      <w:r w:rsidRPr="001C1B67">
        <w:t>the procedures for determining the significance of figures in calculations</w:t>
      </w:r>
    </w:p>
    <w:p w:rsidR="00000000" w:rsidRPr="001C1B67" w:rsidP="001C1B67">
      <w:pPr>
        <w:pStyle w:val="ListBullet"/>
      </w:pPr>
      <w:r w:rsidRPr="001C1B67">
        <w:t>the procedures for estimating errors in derived quantities.</w:t>
      </w:r>
    </w:p>
    <w:p w:rsidR="00000000" w:rsidRPr="001C1B67" w:rsidP="001C1B67">
      <w:pPr>
        <w:pStyle w:val="AllowPageBreak"/>
      </w:pPr>
    </w:p>
    <w:p w:rsidR="00000000" w:rsidRPr="001C1B67" w:rsidP="001C1B67">
      <w:pPr>
        <w:pStyle w:val="Heading1"/>
      </w:pPr>
      <w:bookmarkStart w:id="14" w:name="O_960758"/>
      <w:bookmarkEnd w:id="14"/>
      <w:r w:rsidRPr="001C1B67">
        <w:t>Assessment Conditions</w:t>
      </w:r>
    </w:p>
    <w:p w:rsidR="00000000" w:rsidRPr="001C1B67" w:rsidP="001C1B67">
      <w:pPr>
        <w:pStyle w:val="ListBullet"/>
      </w:pPr>
      <w:r w:rsidRPr="001C1B67">
        <w:t xml:space="preserve">This unit may be assessed on the job, off the job or a combination of both on and off the job. Where </w:t>
      </w:r>
      <w:r w:rsidRPr="001C1B67">
        <w:t xml:space="preserve">assessment occurs off the job, that is, the candidate is not in productive work, then a simulated working environment must be used that reflects realistic workplace situations and conditions. </w:t>
      </w:r>
    </w:p>
    <w:p w:rsidR="00000000" w:rsidRPr="001C1B67" w:rsidP="001C1B67">
      <w:pPr>
        <w:pStyle w:val="ListBullet"/>
      </w:pPr>
      <w:r w:rsidRPr="001C1B67">
        <w:t xml:space="preserve">The competencies covered by this unit would be demonstrated by </w:t>
      </w:r>
      <w:r w:rsidRPr="001C1B67">
        <w:t xml:space="preserve">an individual working alone or as part of a team. </w:t>
      </w:r>
    </w:p>
    <w:p w:rsidR="00000000" w:rsidRPr="001C1B67" w:rsidP="001C1B67">
      <w:pPr>
        <w:pStyle w:val="ListBullet"/>
      </w:pPr>
      <w:r w:rsidRPr="001C1B67">
        <w:t>Where applicable, reasonable adjustment must be made to work environments and training situations to accommodate ethnicity, age, gender, demographics and disability.</w:t>
      </w:r>
    </w:p>
    <w:p w:rsidR="00000000" w:rsidRPr="001C1B67" w:rsidP="001C1B67">
      <w:pPr>
        <w:pStyle w:val="ListBullet"/>
      </w:pPr>
      <w:r w:rsidRPr="001C1B67">
        <w:t>Assessment methods must be by direct ob</w:t>
      </w:r>
      <w:r w:rsidRPr="001C1B67">
        <w:t>servation of tasks and include questioning on underpinning knowledge to ensure its correct interpretation and application.</w:t>
      </w:r>
    </w:p>
    <w:p w:rsidR="00000000" w:rsidRPr="001C1B67" w:rsidP="001C1B67">
      <w:pPr>
        <w:pStyle w:val="ListBullet"/>
      </w:pPr>
      <w:r w:rsidRPr="001C1B67">
        <w:t>Assessment may be applied under project related conditions (real or simulated) and require evidence of process.</w:t>
      </w:r>
    </w:p>
    <w:p w:rsidR="00000000" w:rsidRPr="001C1B67" w:rsidP="001C1B67">
      <w:pPr>
        <w:pStyle w:val="ListBullet"/>
      </w:pPr>
      <w:r w:rsidRPr="001C1B67">
        <w:t>Assessment must confi</w:t>
      </w:r>
      <w:r w:rsidRPr="001C1B67">
        <w:t>rm a reasonable inference that competency is able not only to be satisfied under the particular circumstance, but is able to be transferred to other circumstances.</w:t>
      </w:r>
    </w:p>
    <w:p w:rsidR="00000000" w:rsidRPr="001C1B67" w:rsidP="001C1B67">
      <w:pPr>
        <w:pStyle w:val="ListBullet"/>
      </w:pPr>
      <w:r w:rsidRPr="001C1B67">
        <w:t>Assessors must be satisfied that the candidate can competently and consistently:</w:t>
      </w:r>
    </w:p>
    <w:p w:rsidR="00000000" w:rsidRPr="001C1B67" w:rsidP="001C1B67">
      <w:pPr>
        <w:pStyle w:val="ListBullet2"/>
      </w:pPr>
      <w:r w:rsidRPr="001C1B67">
        <w:t>identify a</w:t>
      </w:r>
      <w:r w:rsidRPr="001C1B67">
        <w:t>nd explain the application of basic scientific principles and engineering techniques to aeronautical engineering situations</w:t>
      </w:r>
    </w:p>
    <w:p w:rsidR="00000000" w:rsidRPr="001C1B67" w:rsidP="001C1B67">
      <w:pPr>
        <w:pStyle w:val="ListBullet2"/>
      </w:pPr>
      <w:r w:rsidRPr="001C1B67">
        <w:t>for given aeronautical engineering situations, identify and apply the relevant basic scientific principles and techniques</w:t>
      </w:r>
    </w:p>
    <w:p w:rsidR="00000000" w:rsidRPr="001C1B67" w:rsidP="001C1B67">
      <w:pPr>
        <w:pStyle w:val="ListBullet2"/>
      </w:pPr>
      <w:r w:rsidRPr="001C1B67">
        <w:t>perform necessary calculations using appropriate applications and evaluate solutions</w:t>
      </w:r>
    </w:p>
    <w:p w:rsidR="00000000" w:rsidRPr="001C1B67" w:rsidP="001C1B67">
      <w:pPr>
        <w:pStyle w:val="ListBullet2"/>
      </w:pPr>
      <w:r w:rsidRPr="001C1B67">
        <w:t>document appropriately the outcome of application of basic scientific principles and techniques to given aeronautical engineering situations.</w:t>
      </w:r>
    </w:p>
    <w:p w:rsidR="00000000" w:rsidRPr="001C1B67" w:rsidP="001C1B67">
      <w:pPr>
        <w:pStyle w:val="ListBullet"/>
      </w:pPr>
      <w:r w:rsidRPr="001C1B67">
        <w:t>Assessment may be in conjunc</w:t>
      </w:r>
      <w:r w:rsidRPr="001C1B67">
        <w:t>tion with assessment of other units of competency where required.</w:t>
      </w:r>
    </w:p>
    <w:p w:rsidR="00000000" w:rsidRPr="001C1B67" w:rsidP="001C1B67">
      <w:pPr>
        <w:pStyle w:val="ListBullet"/>
      </w:pPr>
      <w:r w:rsidRPr="001C1B67">
        <w:t>Assessors must satisfy the requirements of the National Vocational Education and Training Regulator (Australian Skills Quality Authority, or its successors).</w:t>
      </w:r>
    </w:p>
    <w:p w:rsidR="00000000" w:rsidRPr="001C1B67" w:rsidP="001C1B67">
      <w:pPr>
        <w:pStyle w:val="AllowPageBreak"/>
      </w:pPr>
    </w:p>
    <w:p w:rsidR="00000000" w:rsidRPr="001C1B67" w:rsidP="001C1B67">
      <w:pPr>
        <w:pStyle w:val="Heading1"/>
      </w:pPr>
      <w:bookmarkStart w:id="15" w:name="O_960773"/>
      <w:bookmarkEnd w:id="15"/>
      <w:r w:rsidRPr="001C1B67">
        <w:t>Links</w:t>
      </w:r>
    </w:p>
    <w:p w:rsidR="00000000" w:rsidRPr="001C1B67" w:rsidP="00B12246">
      <w:pPr>
        <w:pStyle w:val="BodyText"/>
      </w:pPr>
      <w:r w:rsidRPr="001C1B67">
        <w:t>Companion</w:t>
      </w:r>
      <w:r w:rsidRPr="001C1B67">
        <w:t xml:space="preserve"> Volume implementation guides are found in VETNet - </w:t>
      </w:r>
      <w:r>
        <w:fldChar w:fldCharType="begin"/>
      </w:r>
      <w:r>
        <w:instrText xml:space="preserve"> HYPERLINK "https://vetnet.gov.au/Pages/TrainingDocs.aspx?q=ce216c9c-04d5-4b3b-9bcf-4e81d0950371" </w:instrText>
      </w:r>
      <w:r>
        <w:fldChar w:fldCharType="separate"/>
      </w:r>
      <w:r w:rsidRPr="008752BB">
        <w:rPr>
          <w:rStyle w:val="Hyperlink"/>
        </w:rPr>
        <w:t>https://vetnet.gov.au/Pages/TrainingDocs.aspx?q=ce216c9c-04d5-4b3b-9bcf-4e81d0950371</w:t>
      </w:r>
      <w:r>
        <w:fldChar w:fldCharType="end"/>
      </w:r>
    </w:p>
    <w:p w:rsidR="00000000" w:rsidRPr="001C1B67" w:rsidP="001C1B67"/>
    <w:sectPr w:rsidSect="001C1B6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B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B67" w:rsidRPr="00B12246" w:rsidP="00B122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B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246" w:rsidP="001C1B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B12246" w:rsidP="001C1B6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B12246" w:rsidP="001C1B6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B67" w:rsidP="001C1B67">
    <w:pPr>
      <w:pStyle w:val="Footer"/>
      <w:framePr w:wrap="around"/>
    </w:pPr>
    <w:r>
      <w:fldChar w:fldCharType="begin"/>
    </w:r>
    <w:r>
      <w:instrText xml:space="preserve"> DOCPROPERTY  Subject  \* MERGEFORMAT </w:instrText>
    </w:r>
    <w:r>
      <w:fldChar w:fldCharType="separate"/>
    </w:r>
    <w:r w:rsidR="00B12246">
      <w:t>Approved</w:t>
    </w:r>
    <w:r w:rsidR="00B12246">
      <w:fldChar w:fldCharType="end"/>
    </w:r>
    <w:r>
      <w:tab/>
      <w:t xml:space="preserve">Page </w:t>
    </w:r>
    <w:r>
      <w:fldChar w:fldCharType="begin"/>
    </w:r>
    <w:r>
      <w:instrText xml:space="preserve"> PAGE  \* Arabic  \* MERGEFORMAT </w:instrText>
    </w:r>
    <w:r>
      <w:fldChar w:fldCharType="separate"/>
    </w:r>
    <w:r w:rsidR="00B12246">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12246">
      <w:rPr>
        <w:noProof/>
      </w:rPr>
      <w:t>6</w:t>
    </w:r>
    <w:r>
      <w:rPr>
        <w:noProof/>
      </w:rPr>
      <w:fldChar w:fldCharType="end"/>
    </w:r>
  </w:p>
  <w:p w:rsidR="001C1B67" w:rsidP="001C1B67">
    <w:pPr>
      <w:pStyle w:val="Footer"/>
      <w:framePr w:wrap="around"/>
    </w:pPr>
    <w:r>
      <w:t xml:space="preserve">© Commonwealth of Australia, </w:t>
    </w:r>
    <w:r>
      <w:fldChar w:fldCharType="begin"/>
    </w:r>
    <w:r>
      <w:instrText xml:space="preserve"> DATE  \@ "yyyy"  \* MERGEFORMAT </w:instrText>
    </w:r>
    <w:r>
      <w:fldChar w:fldCharType="separate"/>
    </w:r>
    <w:r w:rsidR="00B12246">
      <w:rPr>
        <w:noProof/>
      </w:rPr>
      <w:t>2025</w:t>
    </w:r>
    <w:r>
      <w:fldChar w:fldCharType="end"/>
    </w:r>
    <w:r>
      <w:tab/>
    </w:r>
    <w:r>
      <w:fldChar w:fldCharType="begin"/>
    </w:r>
    <w:r>
      <w:instrText xml:space="preserve"> DOCPROPERTY  Author  \* MERGEFORMAT </w:instrText>
    </w:r>
    <w:r>
      <w:fldChar w:fldCharType="separate"/>
    </w:r>
    <w:r w:rsidR="00B12246">
      <w:t>Manufacturing Industry Skills Alliance</w:t>
    </w:r>
    <w:r w:rsidR="00B12246">
      <w:fldChar w:fldCharType="end"/>
    </w:r>
  </w:p>
  <w:p w:rsidR="001C1B67" w:rsidP="001C1B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B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24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C1B67" w:rsidRPr="00B12246" w:rsidP="00B1224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B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246" w:rsidRPr="002D2AF8" w:rsidP="001C1B67">
    <w:pPr>
      <w:pStyle w:val="Header"/>
      <w:framePr w:wrap="around"/>
    </w:pPr>
    <w:r>
      <w:fldChar w:fldCharType="begin"/>
    </w:r>
    <w:r>
      <w:instrText xml:space="preserve"> TITLE   \* MERGEFORMAT </w:instrText>
    </w:r>
    <w:r>
      <w:fldChar w:fldCharType="separate"/>
    </w:r>
    <w:r>
      <w:t>MEA705 Apply basic scientific principles and techniques in aeronautical engineering situations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12246" w:rsidP="001C1B6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B67" w:rsidRPr="002D2AF8" w:rsidP="001C1B67">
    <w:pPr>
      <w:pStyle w:val="Header"/>
      <w:framePr w:wrap="around"/>
    </w:pPr>
    <w:r>
      <w:fldChar w:fldCharType="begin"/>
    </w:r>
    <w:r>
      <w:instrText xml:space="preserve"> TITLE   \* MERGEFORMAT </w:instrText>
    </w:r>
    <w:r>
      <w:fldChar w:fldCharType="separate"/>
    </w:r>
    <w:r w:rsidR="00B12246">
      <w:t>MEA705 Apply basic scientific principles and techniques in aeronautical engineering situations</w:t>
    </w:r>
    <w:r w:rsidR="00B12246">
      <w:fldChar w:fldCharType="end"/>
    </w:r>
    <w:r>
      <w:tab/>
      <w:t xml:space="preserve">Date this document was generated: </w:t>
    </w:r>
    <w:r>
      <w:fldChar w:fldCharType="begin"/>
    </w:r>
    <w:r>
      <w:instrText xml:space="preserve"> CREATEDATE  \@ "d MMMM yyyy"  \* MERGEFORMAT </w:instrText>
    </w:r>
    <w:r>
      <w:fldChar w:fldCharType="separate"/>
    </w:r>
    <w:r w:rsidR="00B12246">
      <w:rPr>
        <w:noProof/>
      </w:rPr>
      <w:t>1 March 2025</w:t>
    </w:r>
    <w:r>
      <w:fldChar w:fldCharType="end"/>
    </w:r>
  </w:p>
  <w:p w:rsidR="001C1B67" w:rsidP="001C1B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60FC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E282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FC95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1B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1B67"/>
    <w:pPr>
      <w:spacing w:before="360" w:after="60"/>
      <w:outlineLvl w:val="0"/>
    </w:pPr>
    <w:rPr>
      <w:sz w:val="32"/>
    </w:rPr>
  </w:style>
  <w:style w:type="paragraph" w:styleId="Heading2">
    <w:name w:val="heading 2"/>
    <w:basedOn w:val="HeadingBase"/>
    <w:next w:val="BodyText"/>
    <w:link w:val="Heading2Char"/>
    <w:qFormat/>
    <w:rsid w:val="001C1B67"/>
    <w:pPr>
      <w:keepLines/>
      <w:spacing w:before="240" w:after="120"/>
      <w:outlineLvl w:val="1"/>
    </w:pPr>
    <w:rPr>
      <w:sz w:val="28"/>
      <w:szCs w:val="40"/>
    </w:rPr>
  </w:style>
  <w:style w:type="paragraph" w:styleId="Heading3">
    <w:name w:val="heading 3"/>
    <w:basedOn w:val="HeadingBase"/>
    <w:next w:val="BodyText"/>
    <w:link w:val="Heading3Char"/>
    <w:qFormat/>
    <w:rsid w:val="001C1B67"/>
    <w:pPr>
      <w:spacing w:before="180" w:after="120"/>
      <w:outlineLvl w:val="2"/>
    </w:pPr>
    <w:rPr>
      <w:spacing w:val="-10"/>
      <w:kern w:val="32"/>
    </w:rPr>
  </w:style>
  <w:style w:type="paragraph" w:styleId="Heading4">
    <w:name w:val="heading 4"/>
    <w:basedOn w:val="HeadingBase"/>
    <w:next w:val="BodyText"/>
    <w:link w:val="Heading4Char"/>
    <w:qFormat/>
    <w:rsid w:val="001C1B67"/>
    <w:pPr>
      <w:spacing w:before="160" w:after="120"/>
      <w:outlineLvl w:val="3"/>
    </w:pPr>
    <w:rPr>
      <w:sz w:val="22"/>
    </w:rPr>
  </w:style>
  <w:style w:type="paragraph" w:styleId="Heading5">
    <w:name w:val="heading 5"/>
    <w:basedOn w:val="HeadingBase"/>
    <w:next w:val="Normal"/>
    <w:link w:val="Heading5Char"/>
    <w:qFormat/>
    <w:rsid w:val="001C1B67"/>
    <w:pPr>
      <w:spacing w:before="80"/>
      <w:outlineLvl w:val="4"/>
    </w:pPr>
    <w:rPr>
      <w:color w:val="918585"/>
      <w:sz w:val="20"/>
    </w:rPr>
  </w:style>
  <w:style w:type="paragraph" w:styleId="Heading6">
    <w:name w:val="heading 6"/>
    <w:basedOn w:val="HeadingBase"/>
    <w:next w:val="Normal"/>
    <w:link w:val="Heading6Char"/>
    <w:qFormat/>
    <w:rsid w:val="001C1B67"/>
    <w:pPr>
      <w:spacing w:before="60"/>
      <w:outlineLvl w:val="5"/>
    </w:pPr>
    <w:rPr>
      <w:color w:val="918585"/>
      <w:sz w:val="20"/>
    </w:rPr>
  </w:style>
  <w:style w:type="paragraph" w:styleId="Heading7">
    <w:name w:val="heading 7"/>
    <w:basedOn w:val="Normal"/>
    <w:next w:val="Normal"/>
    <w:link w:val="Heading7Char"/>
    <w:qFormat/>
    <w:rsid w:val="001C1B67"/>
    <w:pPr>
      <w:ind w:left="720"/>
      <w:outlineLvl w:val="6"/>
    </w:pPr>
    <w:rPr>
      <w:i/>
    </w:rPr>
  </w:style>
  <w:style w:type="paragraph" w:styleId="Heading8">
    <w:name w:val="heading 8"/>
    <w:basedOn w:val="Normal"/>
    <w:next w:val="Normal"/>
    <w:link w:val="Heading8Char"/>
    <w:qFormat/>
    <w:rsid w:val="001C1B67"/>
    <w:pPr>
      <w:ind w:left="720"/>
      <w:outlineLvl w:val="7"/>
    </w:pPr>
    <w:rPr>
      <w:i/>
    </w:rPr>
  </w:style>
  <w:style w:type="paragraph" w:styleId="Heading9">
    <w:name w:val="heading 9"/>
    <w:basedOn w:val="Normal"/>
    <w:next w:val="Normal"/>
    <w:link w:val="Heading9Char"/>
    <w:qFormat/>
    <w:rsid w:val="001C1B67"/>
    <w:pPr>
      <w:ind w:left="720"/>
      <w:outlineLvl w:val="8"/>
    </w:pPr>
    <w:rPr>
      <w:i/>
    </w:rPr>
  </w:style>
  <w:style w:type="character" w:default="1" w:styleId="DefaultParagraphFont">
    <w:name w:val="Default Paragraph Font"/>
    <w:uiPriority w:val="1"/>
    <w:unhideWhenUsed/>
    <w:rsid w:val="001C1B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1B67"/>
  </w:style>
  <w:style w:type="character" w:customStyle="1" w:styleId="Heading1Char">
    <w:name w:val="Heading 1 Char"/>
    <w:basedOn w:val="DefaultParagraphFont"/>
    <w:link w:val="Heading1"/>
    <w:rsid w:val="001C1B67"/>
    <w:rPr>
      <w:rFonts w:ascii="Times New Roman" w:eastAsia="Times New Roman" w:hAnsi="Times New Roman" w:cs="Times New Roman"/>
      <w:b/>
      <w:sz w:val="32"/>
      <w:szCs w:val="20"/>
      <w:lang w:eastAsia="en-US"/>
    </w:rPr>
  </w:style>
  <w:style w:type="paragraph" w:styleId="BodyText">
    <w:name w:val="Body Text"/>
    <w:basedOn w:val="Normal"/>
    <w:link w:val="BodyTextChar"/>
    <w:rsid w:val="001C1B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C1B67"/>
    <w:rPr>
      <w:rFonts w:ascii="Times New Roman" w:eastAsia="Times New Roman" w:hAnsi="Times New Roman" w:cs="Times New Roman"/>
      <w:sz w:val="24"/>
      <w:lang w:eastAsia="en-US"/>
    </w:rPr>
  </w:style>
  <w:style w:type="paragraph" w:styleId="ListBullet">
    <w:name w:val="List Bullet"/>
    <w:basedOn w:val="List"/>
    <w:rsid w:val="001C1B67"/>
    <w:pPr>
      <w:numPr>
        <w:numId w:val="13"/>
      </w:numPr>
      <w:tabs>
        <w:tab w:val="clear" w:pos="340"/>
      </w:tabs>
      <w:spacing w:before="40" w:after="40"/>
    </w:pPr>
  </w:style>
  <w:style w:type="character" w:customStyle="1" w:styleId="SpecialBold">
    <w:name w:val="Special Bold"/>
    <w:basedOn w:val="DefaultParagraphFont"/>
    <w:rsid w:val="001C1B67"/>
    <w:rPr>
      <w:b/>
      <w:spacing w:val="0"/>
    </w:rPr>
  </w:style>
  <w:style w:type="paragraph" w:styleId="ListBullet2">
    <w:name w:val="List Bullet 2"/>
    <w:basedOn w:val="List2"/>
    <w:rsid w:val="001C1B67"/>
    <w:pPr>
      <w:numPr>
        <w:numId w:val="14"/>
      </w:numPr>
      <w:tabs>
        <w:tab w:val="clear" w:pos="680"/>
      </w:tabs>
    </w:pPr>
  </w:style>
  <w:style w:type="paragraph" w:customStyle="1" w:styleId="SuperHeading">
    <w:name w:val="SuperHeading"/>
    <w:basedOn w:val="Normal"/>
    <w:rsid w:val="001C1B67"/>
    <w:pPr>
      <w:spacing w:before="240" w:after="120"/>
      <w:outlineLvl w:val="0"/>
    </w:pPr>
    <w:rPr>
      <w:rFonts w:ascii="Times New Roman" w:hAnsi="Times New Roman"/>
      <w:b/>
      <w:sz w:val="32"/>
    </w:rPr>
  </w:style>
  <w:style w:type="paragraph" w:customStyle="1" w:styleId="AllowPageBreak">
    <w:name w:val="AllowPageBreak"/>
    <w:rsid w:val="001C1B6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C1B67"/>
    <w:pPr>
      <w:numPr>
        <w:numId w:val="3"/>
      </w:numPr>
      <w:tabs>
        <w:tab w:val="clear" w:pos="1021"/>
      </w:tabs>
      <w:ind w:left="1037" w:hanging="357"/>
    </w:pPr>
  </w:style>
  <w:style w:type="character" w:customStyle="1" w:styleId="Heading2Char">
    <w:name w:val="Heading 2 Char"/>
    <w:basedOn w:val="DefaultParagraphFont"/>
    <w:link w:val="Heading2"/>
    <w:rsid w:val="001C1B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1B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1B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1B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1B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1B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1B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1B67"/>
    <w:rPr>
      <w:rFonts w:ascii="Courier New" w:eastAsia="Times New Roman" w:hAnsi="Courier New" w:cs="Times New Roman"/>
      <w:i/>
      <w:szCs w:val="20"/>
      <w:lang w:eastAsia="en-US"/>
    </w:rPr>
  </w:style>
  <w:style w:type="paragraph" w:customStyle="1" w:styleId="HeadingBase">
    <w:name w:val="Heading Base"/>
    <w:rsid w:val="001C1B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1B67"/>
    <w:pPr>
      <w:tabs>
        <w:tab w:val="right" w:leader="dot" w:pos="9072"/>
      </w:tabs>
      <w:ind w:left="567"/>
    </w:pPr>
    <w:rPr>
      <w:szCs w:val="22"/>
    </w:rPr>
  </w:style>
  <w:style w:type="paragraph" w:customStyle="1" w:styleId="TOCBase">
    <w:name w:val="TOC Base"/>
    <w:rsid w:val="001C1B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1B67"/>
    <w:pPr>
      <w:tabs>
        <w:tab w:val="right" w:leader="dot" w:pos="9072"/>
      </w:tabs>
      <w:spacing w:before="40" w:after="40"/>
      <w:ind w:left="284"/>
    </w:pPr>
    <w:rPr>
      <w:rFonts w:ascii="Times New Roman" w:hAnsi="Times New Roman"/>
    </w:rPr>
  </w:style>
  <w:style w:type="paragraph" w:styleId="TOC1">
    <w:name w:val="toc 1"/>
    <w:basedOn w:val="TOCBase"/>
    <w:next w:val="Normal"/>
    <w:rsid w:val="001C1B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1B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1B67"/>
    <w:rPr>
      <w:rFonts w:ascii="Times New Roman" w:eastAsia="Times New Roman" w:hAnsi="Times New Roman" w:cs="Times New Roman"/>
      <w:sz w:val="16"/>
      <w:lang w:eastAsia="en-US"/>
    </w:rPr>
  </w:style>
  <w:style w:type="paragraph" w:styleId="Title">
    <w:name w:val="Title"/>
    <w:basedOn w:val="HeadingBase"/>
    <w:link w:val="TitleChar"/>
    <w:qFormat/>
    <w:rsid w:val="001C1B67"/>
    <w:pPr>
      <w:spacing w:before="5040"/>
      <w:jc w:val="center"/>
    </w:pPr>
    <w:rPr>
      <w:sz w:val="48"/>
      <w:szCs w:val="72"/>
      <w:lang w:val="en-US"/>
    </w:rPr>
  </w:style>
  <w:style w:type="character" w:customStyle="1" w:styleId="TitleChar">
    <w:name w:val="Title Char"/>
    <w:basedOn w:val="DefaultParagraphFont"/>
    <w:link w:val="Title"/>
    <w:rsid w:val="001C1B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1B67"/>
    <w:pPr>
      <w:tabs>
        <w:tab w:val="left" w:pos="3600"/>
        <w:tab w:val="left" w:pos="3958"/>
      </w:tabs>
    </w:pPr>
  </w:style>
  <w:style w:type="paragraph" w:styleId="List">
    <w:name w:val="List"/>
    <w:basedOn w:val="BodyText"/>
    <w:next w:val="BodyText"/>
    <w:rsid w:val="001C1B67"/>
    <w:pPr>
      <w:tabs>
        <w:tab w:val="left" w:pos="340"/>
      </w:tabs>
      <w:spacing w:before="60" w:after="60"/>
      <w:ind w:left="340" w:hanging="340"/>
    </w:pPr>
  </w:style>
  <w:style w:type="paragraph" w:customStyle="1" w:styleId="Note">
    <w:name w:val="Note"/>
    <w:basedOn w:val="BodyText"/>
    <w:rsid w:val="001C1B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1B67"/>
    <w:pPr>
      <w:framePr w:wrap="auto" w:hAnchor="text" w:y="6049"/>
    </w:pPr>
    <w:rPr>
      <w:color w:val="000000"/>
      <w:sz w:val="40"/>
    </w:rPr>
  </w:style>
  <w:style w:type="paragraph" w:customStyle="1" w:styleId="TOCTitle">
    <w:name w:val="TOCTitle"/>
    <w:basedOn w:val="Heading1"/>
    <w:rsid w:val="001C1B67"/>
    <w:pPr>
      <w:spacing w:after="240"/>
      <w:jc w:val="center"/>
      <w:outlineLvl w:val="9"/>
    </w:pPr>
    <w:rPr>
      <w:caps/>
    </w:rPr>
  </w:style>
  <w:style w:type="paragraph" w:customStyle="1" w:styleId="Version">
    <w:name w:val="Version"/>
    <w:rsid w:val="001C1B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C1B67"/>
    <w:pPr>
      <w:keepNext w:val="0"/>
      <w:tabs>
        <w:tab w:val="right" w:pos="4176"/>
      </w:tabs>
      <w:ind w:left="198" w:hanging="198"/>
    </w:pPr>
    <w:rPr>
      <w:rFonts w:ascii="Garamond" w:hAnsi="Garamond"/>
    </w:rPr>
  </w:style>
  <w:style w:type="paragraph" w:styleId="IndexHeading">
    <w:name w:val="index heading"/>
    <w:basedOn w:val="Normal"/>
    <w:next w:val="Index1"/>
    <w:semiHidden/>
    <w:rsid w:val="001C1B67"/>
    <w:pPr>
      <w:spacing w:before="120" w:after="120"/>
    </w:pPr>
    <w:rPr>
      <w:rFonts w:ascii="Arial" w:hAnsi="Arial"/>
      <w:b/>
      <w:color w:val="918585"/>
      <w:sz w:val="24"/>
    </w:rPr>
  </w:style>
  <w:style w:type="paragraph" w:styleId="Header">
    <w:name w:val="header"/>
    <w:basedOn w:val="Normal"/>
    <w:link w:val="HeaderChar"/>
    <w:rsid w:val="001C1B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1B67"/>
    <w:rPr>
      <w:rFonts w:ascii="Times New Roman" w:eastAsia="Times New Roman" w:hAnsi="Times New Roman" w:cs="Times New Roman"/>
      <w:sz w:val="16"/>
      <w:szCs w:val="20"/>
      <w:lang w:val="en-GB" w:eastAsia="en-US"/>
    </w:rPr>
  </w:style>
  <w:style w:type="paragraph" w:customStyle="1" w:styleId="Chapter">
    <w:name w:val="Chapter"/>
    <w:basedOn w:val="Normal"/>
    <w:rsid w:val="001C1B67"/>
    <w:pPr>
      <w:spacing w:before="240"/>
    </w:pPr>
    <w:rPr>
      <w:rFonts w:ascii="Times New Roman" w:hAnsi="Times New Roman"/>
      <w:smallCaps/>
      <w:spacing w:val="80"/>
      <w:sz w:val="28"/>
    </w:rPr>
  </w:style>
  <w:style w:type="paragraph" w:customStyle="1" w:styleId="InChapter">
    <w:name w:val="InChapter"/>
    <w:basedOn w:val="Heading3"/>
    <w:rsid w:val="001C1B67"/>
    <w:pPr>
      <w:spacing w:after="240"/>
      <w:outlineLvl w:val="9"/>
    </w:pPr>
    <w:rPr>
      <w:noProof/>
    </w:rPr>
  </w:style>
  <w:style w:type="paragraph" w:styleId="Index2">
    <w:name w:val="index 2"/>
    <w:basedOn w:val="Normal"/>
    <w:next w:val="Normal"/>
    <w:semiHidden/>
    <w:rsid w:val="001C1B67"/>
    <w:pPr>
      <w:tabs>
        <w:tab w:val="right" w:pos="4176"/>
      </w:tabs>
      <w:ind w:left="568" w:hanging="284"/>
    </w:pPr>
    <w:rPr>
      <w:rFonts w:ascii="Garamond" w:hAnsi="Garamond"/>
    </w:rPr>
  </w:style>
  <w:style w:type="paragraph" w:customStyle="1" w:styleId="Byline">
    <w:name w:val="Byline"/>
    <w:rsid w:val="001C1B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1B67"/>
    <w:pPr>
      <w:tabs>
        <w:tab w:val="clear" w:pos="3600"/>
        <w:tab w:val="clear" w:pos="3958"/>
      </w:tabs>
      <w:jc w:val="right"/>
    </w:pPr>
  </w:style>
  <w:style w:type="character" w:styleId="Emphasis">
    <w:name w:val="Emphasis"/>
    <w:basedOn w:val="DefaultParagraphFont"/>
    <w:qFormat/>
    <w:rsid w:val="001C1B67"/>
    <w:rPr>
      <w:i/>
    </w:rPr>
  </w:style>
  <w:style w:type="paragraph" w:styleId="Caption">
    <w:name w:val="caption"/>
    <w:basedOn w:val="BodyText"/>
    <w:next w:val="Normal"/>
    <w:qFormat/>
    <w:rsid w:val="001C1B67"/>
    <w:pPr>
      <w:framePr w:w="2268" w:hSpace="181" w:vSpace="181" w:wrap="around" w:vAnchor="text" w:hAnchor="page" w:x="1135" w:y="285" w:anchorLock="1"/>
    </w:pPr>
    <w:rPr>
      <w:i/>
    </w:rPr>
  </w:style>
  <w:style w:type="paragraph" w:customStyle="1" w:styleId="MiniTOCTitle">
    <w:name w:val="MiniTOCTitle"/>
    <w:basedOn w:val="Heading4"/>
    <w:rsid w:val="001C1B67"/>
    <w:pPr>
      <w:spacing w:before="240"/>
      <w:outlineLvl w:val="9"/>
    </w:pPr>
    <w:rPr>
      <w:noProof/>
      <w:sz w:val="24"/>
    </w:rPr>
  </w:style>
  <w:style w:type="paragraph" w:customStyle="1" w:styleId="MiniTOCItem">
    <w:name w:val="MiniTOCItem"/>
    <w:basedOn w:val="ListBullet"/>
    <w:rsid w:val="001C1B67"/>
    <w:pPr>
      <w:numPr>
        <w:numId w:val="0"/>
      </w:numPr>
      <w:tabs>
        <w:tab w:val="right" w:leader="dot" w:pos="6521"/>
      </w:tabs>
      <w:spacing w:before="0" w:after="0"/>
    </w:pPr>
  </w:style>
  <w:style w:type="paragraph" w:customStyle="1" w:styleId="TOFTitle">
    <w:name w:val="TOFTitle"/>
    <w:basedOn w:val="TOCTitle"/>
    <w:rsid w:val="001C1B67"/>
  </w:style>
  <w:style w:type="paragraph" w:styleId="TableofFigures">
    <w:name w:val="table of figures"/>
    <w:basedOn w:val="Normal"/>
    <w:next w:val="Normal"/>
    <w:semiHidden/>
    <w:rsid w:val="001C1B67"/>
    <w:pPr>
      <w:tabs>
        <w:tab w:val="right" w:leader="dot" w:pos="9072"/>
      </w:tabs>
      <w:ind w:left="970" w:hanging="403"/>
    </w:pPr>
    <w:rPr>
      <w:rFonts w:ascii="Times New Roman" w:hAnsi="Times New Roman"/>
      <w:b/>
    </w:rPr>
  </w:style>
  <w:style w:type="paragraph" w:styleId="ListNumber">
    <w:name w:val="List Number"/>
    <w:basedOn w:val="List"/>
    <w:rsid w:val="001C1B67"/>
    <w:pPr>
      <w:numPr>
        <w:numId w:val="16"/>
      </w:numPr>
      <w:tabs>
        <w:tab w:val="clear" w:pos="340"/>
      </w:tabs>
    </w:pPr>
  </w:style>
  <w:style w:type="character" w:customStyle="1" w:styleId="WingdingSymbols">
    <w:name w:val="Wingding Symbols"/>
    <w:rsid w:val="001C1B67"/>
    <w:rPr>
      <w:rFonts w:ascii="Wingdings" w:hAnsi="Wingdings"/>
    </w:rPr>
  </w:style>
  <w:style w:type="paragraph" w:customStyle="1" w:styleId="TableHeading">
    <w:name w:val="Table Heading"/>
    <w:basedOn w:val="HeadingBase"/>
    <w:rsid w:val="001C1B67"/>
    <w:pPr>
      <w:keepLines/>
      <w:pBdr>
        <w:bottom w:val="single" w:sz="6" w:space="1" w:color="918585"/>
      </w:pBdr>
      <w:spacing w:before="240"/>
    </w:pPr>
  </w:style>
  <w:style w:type="character" w:customStyle="1" w:styleId="HotSpot">
    <w:name w:val="HotSpot"/>
    <w:rsid w:val="001C1B67"/>
    <w:rPr>
      <w:color w:val="0033CC"/>
      <w:u w:val="none"/>
    </w:rPr>
  </w:style>
  <w:style w:type="paragraph" w:customStyle="1" w:styleId="BodyTextRight">
    <w:name w:val="Body Text Right"/>
    <w:basedOn w:val="BodyText"/>
    <w:rsid w:val="001C1B67"/>
    <w:pPr>
      <w:spacing w:before="0" w:after="0"/>
      <w:jc w:val="right"/>
    </w:pPr>
  </w:style>
  <w:style w:type="paragraph" w:styleId="Index3">
    <w:name w:val="index 3"/>
    <w:basedOn w:val="ListNumber2"/>
    <w:next w:val="Normal"/>
    <w:semiHidden/>
    <w:rsid w:val="001C1B67"/>
    <w:pPr>
      <w:numPr>
        <w:numId w:val="0"/>
      </w:numPr>
      <w:tabs>
        <w:tab w:val="right" w:leader="dot" w:pos="4176"/>
      </w:tabs>
    </w:pPr>
  </w:style>
  <w:style w:type="paragraph" w:styleId="ListNumber2">
    <w:name w:val="List Number 2"/>
    <w:basedOn w:val="List2"/>
    <w:rsid w:val="001C1B67"/>
    <w:pPr>
      <w:numPr>
        <w:numId w:val="11"/>
      </w:numPr>
      <w:tabs>
        <w:tab w:val="clear" w:pos="1060"/>
      </w:tabs>
    </w:pPr>
  </w:style>
  <w:style w:type="paragraph" w:customStyle="1" w:styleId="MarginNote">
    <w:name w:val="Margin Note"/>
    <w:basedOn w:val="BodyText"/>
    <w:rsid w:val="001C1B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1B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1B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1B67"/>
    <w:rPr>
      <w:sz w:val="32"/>
    </w:rPr>
  </w:style>
  <w:style w:type="paragraph" w:customStyle="1" w:styleId="HeadingProcedure">
    <w:name w:val="Heading Procedure"/>
    <w:basedOn w:val="HeadingBase"/>
    <w:next w:val="Normal"/>
    <w:rsid w:val="001C1B67"/>
    <w:pPr>
      <w:tabs>
        <w:tab w:val="left" w:pos="0"/>
      </w:tabs>
      <w:spacing w:before="120" w:after="60"/>
    </w:pPr>
    <w:rPr>
      <w:i/>
      <w:color w:val="918585"/>
      <w:sz w:val="22"/>
    </w:rPr>
  </w:style>
  <w:style w:type="paragraph" w:customStyle="1" w:styleId="TableBodyText">
    <w:name w:val="Table Body Text"/>
    <w:basedOn w:val="BodyText"/>
    <w:rsid w:val="001C1B67"/>
    <w:pPr>
      <w:spacing w:before="60" w:after="60"/>
    </w:pPr>
  </w:style>
  <w:style w:type="paragraph" w:styleId="ListContinue">
    <w:name w:val="List Continue"/>
    <w:basedOn w:val="List"/>
    <w:rsid w:val="001C1B67"/>
    <w:pPr>
      <w:ind w:firstLine="0"/>
    </w:pPr>
  </w:style>
  <w:style w:type="paragraph" w:customStyle="1" w:styleId="ListNote">
    <w:name w:val="List Note"/>
    <w:basedOn w:val="List"/>
    <w:rsid w:val="001C1B67"/>
    <w:pPr>
      <w:pBdr>
        <w:top w:val="single" w:sz="6" w:space="2" w:color="918585"/>
        <w:bottom w:val="single" w:sz="6" w:space="2" w:color="918585"/>
      </w:pBdr>
      <w:tabs>
        <w:tab w:val="left" w:pos="1021"/>
      </w:tabs>
      <w:ind w:firstLine="0"/>
    </w:pPr>
  </w:style>
  <w:style w:type="paragraph" w:customStyle="1" w:styleId="Warning">
    <w:name w:val="Warning"/>
    <w:basedOn w:val="BodyText"/>
    <w:rsid w:val="001C1B67"/>
    <w:pPr>
      <w:shd w:val="clear" w:color="auto" w:fill="D9D9D9"/>
      <w:tabs>
        <w:tab w:val="left" w:pos="992"/>
      </w:tabs>
      <w:ind w:left="119" w:right="119"/>
    </w:pPr>
    <w:rPr>
      <w:sz w:val="20"/>
    </w:rPr>
  </w:style>
  <w:style w:type="paragraph" w:customStyle="1" w:styleId="MarginIcons">
    <w:name w:val="Margin Icons"/>
    <w:basedOn w:val="BodyText"/>
    <w:rsid w:val="001C1B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1B67"/>
    <w:rPr>
      <w:rFonts w:ascii="Courier New" w:hAnsi="Courier New"/>
    </w:rPr>
  </w:style>
  <w:style w:type="paragraph" w:customStyle="1" w:styleId="NoteBullet">
    <w:name w:val="Note Bullet"/>
    <w:basedOn w:val="Note"/>
    <w:rsid w:val="001C1B67"/>
    <w:pPr>
      <w:tabs>
        <w:tab w:val="clear" w:pos="680"/>
      </w:tabs>
      <w:spacing w:before="60" w:after="60"/>
    </w:pPr>
  </w:style>
  <w:style w:type="paragraph" w:customStyle="1" w:styleId="SubHeading2">
    <w:name w:val="SubHeading2"/>
    <w:basedOn w:val="HeadingBase"/>
    <w:rsid w:val="001C1B67"/>
    <w:pPr>
      <w:spacing w:before="240" w:after="60"/>
    </w:pPr>
    <w:rPr>
      <w:sz w:val="20"/>
    </w:rPr>
  </w:style>
  <w:style w:type="paragraph" w:customStyle="1" w:styleId="SubHeading1">
    <w:name w:val="SubHeading1"/>
    <w:basedOn w:val="HeadingBase"/>
    <w:rsid w:val="001C1B67"/>
    <w:pPr>
      <w:spacing w:before="240" w:after="60"/>
    </w:pPr>
    <w:rPr>
      <w:color w:val="918585"/>
      <w:sz w:val="22"/>
    </w:rPr>
  </w:style>
  <w:style w:type="paragraph" w:customStyle="1" w:styleId="SideHeading">
    <w:name w:val="Side Heading"/>
    <w:basedOn w:val="HeadingBase"/>
    <w:rsid w:val="001C1B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1B67"/>
    <w:pPr>
      <w:numPr>
        <w:numId w:val="12"/>
      </w:numPr>
    </w:pPr>
  </w:style>
  <w:style w:type="paragraph" w:styleId="PlainText">
    <w:name w:val="Plain Text"/>
    <w:basedOn w:val="Normal"/>
    <w:link w:val="PlainTextChar"/>
    <w:rsid w:val="001C1B67"/>
    <w:rPr>
      <w:sz w:val="20"/>
    </w:rPr>
  </w:style>
  <w:style w:type="character" w:customStyle="1" w:styleId="PlainTextChar">
    <w:name w:val="Plain Text Char"/>
    <w:basedOn w:val="DefaultParagraphFont"/>
    <w:link w:val="PlainText"/>
    <w:rsid w:val="001C1B67"/>
    <w:rPr>
      <w:rFonts w:ascii="Courier New" w:eastAsia="Times New Roman" w:hAnsi="Courier New" w:cs="Times New Roman"/>
      <w:sz w:val="20"/>
      <w:szCs w:val="20"/>
      <w:lang w:eastAsia="en-US"/>
    </w:rPr>
  </w:style>
  <w:style w:type="character" w:customStyle="1" w:styleId="MenuOption">
    <w:name w:val="Menu Option"/>
    <w:basedOn w:val="DefaultParagraphFont"/>
    <w:rsid w:val="001C1B67"/>
    <w:rPr>
      <w:b/>
      <w:smallCaps/>
    </w:rPr>
  </w:style>
  <w:style w:type="paragraph" w:customStyle="1" w:styleId="TableListNumber">
    <w:name w:val="Table List Number"/>
    <w:basedOn w:val="ListNumber"/>
    <w:rsid w:val="001C1B67"/>
    <w:pPr>
      <w:numPr>
        <w:numId w:val="0"/>
      </w:numPr>
    </w:pPr>
  </w:style>
  <w:style w:type="paragraph" w:styleId="TOC4">
    <w:name w:val="toc 4"/>
    <w:basedOn w:val="TOCBase"/>
    <w:next w:val="Normal"/>
    <w:semiHidden/>
    <w:rsid w:val="001C1B67"/>
    <w:pPr>
      <w:tabs>
        <w:tab w:val="right" w:leader="dot" w:pos="9071"/>
      </w:tabs>
      <w:ind w:left="1701"/>
    </w:pPr>
  </w:style>
  <w:style w:type="paragraph" w:customStyle="1" w:styleId="ListAlpha">
    <w:name w:val="List Alpha"/>
    <w:basedOn w:val="List"/>
    <w:rsid w:val="001C1B67"/>
    <w:pPr>
      <w:numPr>
        <w:numId w:val="10"/>
      </w:numPr>
    </w:pPr>
  </w:style>
  <w:style w:type="paragraph" w:customStyle="1" w:styleId="ListAlpha2">
    <w:name w:val="List Alpha 2"/>
    <w:basedOn w:val="List2"/>
    <w:rsid w:val="001C1B67"/>
    <w:pPr>
      <w:numPr>
        <w:numId w:val="9"/>
      </w:numPr>
    </w:pPr>
  </w:style>
  <w:style w:type="paragraph" w:styleId="List2">
    <w:name w:val="List 2"/>
    <w:basedOn w:val="BodyText"/>
    <w:rsid w:val="001C1B67"/>
    <w:pPr>
      <w:tabs>
        <w:tab w:val="left" w:pos="680"/>
      </w:tabs>
      <w:spacing w:before="60" w:after="60"/>
      <w:ind w:left="680" w:hanging="340"/>
    </w:pPr>
  </w:style>
  <w:style w:type="paragraph" w:styleId="List3">
    <w:name w:val="List 3"/>
    <w:basedOn w:val="BodyText"/>
    <w:rsid w:val="001C1B67"/>
    <w:pPr>
      <w:tabs>
        <w:tab w:val="left" w:pos="1021"/>
      </w:tabs>
      <w:spacing w:before="60" w:after="60"/>
      <w:ind w:left="1020" w:hanging="340"/>
    </w:pPr>
  </w:style>
  <w:style w:type="paragraph" w:styleId="List4">
    <w:name w:val="List 4"/>
    <w:basedOn w:val="BodyText"/>
    <w:rsid w:val="001C1B67"/>
    <w:pPr>
      <w:tabs>
        <w:tab w:val="left" w:pos="1361"/>
      </w:tabs>
      <w:spacing w:before="60" w:after="60"/>
      <w:ind w:left="1361" w:hanging="340"/>
    </w:pPr>
  </w:style>
  <w:style w:type="paragraph" w:styleId="List5">
    <w:name w:val="List 5"/>
    <w:basedOn w:val="BodyText"/>
    <w:rsid w:val="001C1B67"/>
    <w:pPr>
      <w:tabs>
        <w:tab w:val="left" w:pos="1701"/>
      </w:tabs>
      <w:spacing w:before="60" w:after="60"/>
      <w:ind w:left="1701" w:hanging="340"/>
    </w:pPr>
  </w:style>
  <w:style w:type="paragraph" w:styleId="ListBullet4">
    <w:name w:val="List Bullet 4"/>
    <w:basedOn w:val="List4"/>
    <w:rsid w:val="001C1B67"/>
    <w:pPr>
      <w:numPr>
        <w:numId w:val="4"/>
      </w:numPr>
      <w:tabs>
        <w:tab w:val="clear" w:pos="1361"/>
      </w:tabs>
    </w:pPr>
  </w:style>
  <w:style w:type="paragraph" w:styleId="ListBullet5">
    <w:name w:val="List Bullet 5"/>
    <w:basedOn w:val="List5"/>
    <w:rsid w:val="001C1B67"/>
    <w:pPr>
      <w:numPr>
        <w:numId w:val="5"/>
      </w:numPr>
    </w:pPr>
  </w:style>
  <w:style w:type="paragraph" w:styleId="ListContinue2">
    <w:name w:val="List Continue 2"/>
    <w:basedOn w:val="List2"/>
    <w:rsid w:val="001C1B67"/>
    <w:pPr>
      <w:ind w:firstLine="0"/>
    </w:pPr>
  </w:style>
  <w:style w:type="paragraph" w:styleId="ListContinue3">
    <w:name w:val="List Continue 3"/>
    <w:basedOn w:val="List3"/>
    <w:rsid w:val="001C1B67"/>
    <w:pPr>
      <w:ind w:left="1021" w:firstLine="0"/>
    </w:pPr>
  </w:style>
  <w:style w:type="paragraph" w:styleId="ListContinue4">
    <w:name w:val="List Continue 4"/>
    <w:basedOn w:val="List4"/>
    <w:rsid w:val="001C1B67"/>
    <w:pPr>
      <w:ind w:firstLine="0"/>
    </w:pPr>
  </w:style>
  <w:style w:type="paragraph" w:styleId="ListContinue5">
    <w:name w:val="List Continue 5"/>
    <w:basedOn w:val="List5"/>
    <w:rsid w:val="001C1B67"/>
    <w:pPr>
      <w:ind w:firstLine="0"/>
    </w:pPr>
  </w:style>
  <w:style w:type="paragraph" w:styleId="ListNumber3">
    <w:name w:val="List Number 3"/>
    <w:basedOn w:val="List3"/>
    <w:rsid w:val="001C1B67"/>
    <w:pPr>
      <w:numPr>
        <w:numId w:val="6"/>
      </w:numPr>
    </w:pPr>
  </w:style>
  <w:style w:type="paragraph" w:styleId="ListNumber4">
    <w:name w:val="List Number 4"/>
    <w:basedOn w:val="List4"/>
    <w:rsid w:val="001C1B67"/>
    <w:pPr>
      <w:numPr>
        <w:numId w:val="7"/>
      </w:numPr>
    </w:pPr>
  </w:style>
  <w:style w:type="paragraph" w:styleId="ListNumber5">
    <w:name w:val="List Number 5"/>
    <w:basedOn w:val="List5"/>
    <w:rsid w:val="001C1B67"/>
    <w:pPr>
      <w:numPr>
        <w:numId w:val="8"/>
      </w:numPr>
    </w:pPr>
  </w:style>
  <w:style w:type="paragraph" w:styleId="BlockText">
    <w:name w:val="Block Text"/>
    <w:basedOn w:val="Normal"/>
    <w:rsid w:val="001C1B67"/>
    <w:pPr>
      <w:spacing w:after="120"/>
      <w:ind w:left="1440" w:right="1440"/>
    </w:pPr>
  </w:style>
  <w:style w:type="character" w:customStyle="1" w:styleId="Subscript">
    <w:name w:val="Subscript"/>
    <w:basedOn w:val="DefaultParagraphFont"/>
    <w:rsid w:val="001C1B67"/>
    <w:rPr>
      <w:sz w:val="16"/>
      <w:vertAlign w:val="subscript"/>
    </w:rPr>
  </w:style>
  <w:style w:type="character" w:customStyle="1" w:styleId="Superscript">
    <w:name w:val="Superscript"/>
    <w:basedOn w:val="DefaultParagraphFont"/>
    <w:rsid w:val="001C1B67"/>
    <w:rPr>
      <w:sz w:val="16"/>
      <w:vertAlign w:val="superscript"/>
    </w:rPr>
  </w:style>
  <w:style w:type="character" w:customStyle="1" w:styleId="Symbols">
    <w:name w:val="Symbols"/>
    <w:basedOn w:val="DefaultParagraphFont"/>
    <w:rsid w:val="001C1B67"/>
    <w:rPr>
      <w:rFonts w:ascii="Symbol" w:hAnsi="Symbol"/>
    </w:rPr>
  </w:style>
  <w:style w:type="character" w:customStyle="1" w:styleId="MenuOptions">
    <w:name w:val="Menu Options"/>
    <w:basedOn w:val="DefaultParagraphFont"/>
    <w:rsid w:val="001C1B67"/>
    <w:rPr>
      <w:rFonts w:ascii="Arial Narrow" w:hAnsi="Arial Narrow"/>
      <w:smallCaps/>
    </w:rPr>
  </w:style>
  <w:style w:type="character" w:customStyle="1" w:styleId="Buttons">
    <w:name w:val="Buttons"/>
    <w:basedOn w:val="DefaultParagraphFont"/>
    <w:rsid w:val="001C1B67"/>
    <w:rPr>
      <w:b/>
    </w:rPr>
  </w:style>
  <w:style w:type="character" w:customStyle="1" w:styleId="Underlined">
    <w:name w:val="Underlined"/>
    <w:basedOn w:val="DefaultParagraphFont"/>
    <w:rsid w:val="001C1B67"/>
    <w:rPr>
      <w:u w:val="single"/>
    </w:rPr>
  </w:style>
  <w:style w:type="paragraph" w:customStyle="1" w:styleId="TableBodyTextRight">
    <w:name w:val="Table Body Text Right"/>
    <w:basedOn w:val="TableBodyText"/>
    <w:rsid w:val="001C1B67"/>
    <w:pPr>
      <w:widowControl w:val="0"/>
      <w:autoSpaceDE w:val="0"/>
      <w:autoSpaceDN w:val="0"/>
      <w:adjustRightInd w:val="0"/>
      <w:jc w:val="right"/>
    </w:pPr>
    <w:rPr>
      <w:rFonts w:cs="Arial"/>
      <w:szCs w:val="18"/>
    </w:rPr>
  </w:style>
  <w:style w:type="paragraph" w:customStyle="1" w:styleId="CopyrightText">
    <w:name w:val="Copyright Text"/>
    <w:basedOn w:val="BodyText"/>
    <w:rsid w:val="001C1B67"/>
    <w:rPr>
      <w:sz w:val="18"/>
    </w:rPr>
  </w:style>
  <w:style w:type="paragraph" w:customStyle="1" w:styleId="BodySmallRight">
    <w:name w:val="Body Small Right"/>
    <w:basedOn w:val="BodyTextRight"/>
    <w:rsid w:val="001C1B67"/>
    <w:rPr>
      <w:sz w:val="18"/>
      <w:szCs w:val="18"/>
    </w:rPr>
  </w:style>
  <w:style w:type="paragraph" w:customStyle="1" w:styleId="MarginEdition">
    <w:name w:val="Margin Edition"/>
    <w:basedOn w:val="MarginNote"/>
    <w:rsid w:val="001C1B67"/>
    <w:pPr>
      <w:spacing w:before="0" w:after="0"/>
    </w:pPr>
    <w:rPr>
      <w:rFonts w:ascii="Times New Roman" w:hAnsi="Times New Roman"/>
      <w:color w:val="999999"/>
    </w:rPr>
  </w:style>
  <w:style w:type="paragraph" w:customStyle="1" w:styleId="Spacer">
    <w:name w:val="Spacer"/>
    <w:basedOn w:val="Normal"/>
    <w:rsid w:val="001C1B67"/>
    <w:rPr>
      <w:sz w:val="2"/>
      <w:szCs w:val="2"/>
    </w:rPr>
  </w:style>
  <w:style w:type="character" w:customStyle="1" w:styleId="Small">
    <w:name w:val="Small"/>
    <w:basedOn w:val="DefaultParagraphFont"/>
    <w:rsid w:val="001C1B67"/>
    <w:rPr>
      <w:sz w:val="16"/>
    </w:rPr>
  </w:style>
  <w:style w:type="paragraph" w:customStyle="1" w:styleId="WideTable">
    <w:name w:val="Wide Table"/>
    <w:basedOn w:val="Normal"/>
    <w:rsid w:val="001C1B67"/>
    <w:pPr>
      <w:ind w:left="-1418"/>
    </w:pPr>
    <w:rPr>
      <w:sz w:val="2"/>
      <w:szCs w:val="2"/>
    </w:rPr>
  </w:style>
  <w:style w:type="character" w:styleId="PageNumber">
    <w:name w:val="page number"/>
    <w:basedOn w:val="DefaultParagraphFont"/>
    <w:rsid w:val="001C1B67"/>
  </w:style>
  <w:style w:type="paragraph" w:styleId="Quote">
    <w:name w:val="Quote"/>
    <w:basedOn w:val="Heading1"/>
    <w:link w:val="QuoteChar"/>
    <w:qFormat/>
    <w:rsid w:val="001C1B67"/>
    <w:rPr>
      <w:b w:val="0"/>
      <w:sz w:val="72"/>
      <w:szCs w:val="72"/>
      <w:lang w:val="en-NZ"/>
    </w:rPr>
  </w:style>
  <w:style w:type="character" w:customStyle="1" w:styleId="QuoteChar">
    <w:name w:val="Quote Char"/>
    <w:basedOn w:val="DefaultParagraphFont"/>
    <w:link w:val="Quote"/>
    <w:rsid w:val="001C1B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1B67"/>
    <w:pPr>
      <w:pageBreakBefore/>
    </w:pPr>
  </w:style>
  <w:style w:type="paragraph" w:customStyle="1" w:styleId="Border">
    <w:name w:val="Border"/>
    <w:basedOn w:val="Normal"/>
    <w:qFormat/>
    <w:rsid w:val="001C1B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1B67"/>
    <w:rPr>
      <w:b/>
      <w:bCs/>
      <w:i/>
      <w:iCs/>
      <w:color w:val="auto"/>
    </w:rPr>
  </w:style>
  <w:style w:type="paragraph" w:styleId="IntenseQuote">
    <w:name w:val="Intense Quote"/>
    <w:basedOn w:val="Normal"/>
    <w:next w:val="Normal"/>
    <w:link w:val="IntenseQuoteChar"/>
    <w:uiPriority w:val="30"/>
    <w:qFormat/>
    <w:rsid w:val="001C1B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1B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1B67"/>
    <w:rPr>
      <w:smallCaps/>
      <w:color w:val="auto"/>
      <w:u w:val="single"/>
    </w:rPr>
  </w:style>
  <w:style w:type="character" w:styleId="IntenseReference">
    <w:name w:val="Intense Reference"/>
    <w:basedOn w:val="DefaultParagraphFont"/>
    <w:uiPriority w:val="32"/>
    <w:qFormat/>
    <w:rsid w:val="001C1B67"/>
    <w:rPr>
      <w:b/>
      <w:bCs/>
      <w:smallCaps/>
      <w:color w:val="auto"/>
      <w:spacing w:val="5"/>
      <w:u w:val="single"/>
    </w:rPr>
  </w:style>
  <w:style w:type="paragraph" w:customStyle="1" w:styleId="2ColumnHeading">
    <w:name w:val="2Column Heading"/>
    <w:basedOn w:val="BodyText"/>
    <w:qFormat/>
    <w:rsid w:val="001C1B67"/>
    <w:pPr>
      <w:spacing w:after="60"/>
      <w:ind w:left="-2268"/>
    </w:pPr>
    <w:rPr>
      <w:b/>
    </w:rPr>
  </w:style>
  <w:style w:type="paragraph" w:customStyle="1" w:styleId="Heading1TOC">
    <w:name w:val="Heading1 TOC"/>
    <w:basedOn w:val="Normal"/>
    <w:qFormat/>
    <w:rsid w:val="001C1B67"/>
    <w:pPr>
      <w:spacing w:before="240" w:after="120"/>
    </w:pPr>
    <w:rPr>
      <w:rFonts w:ascii="Times New Roman" w:hAnsi="Times New Roman"/>
      <w:b/>
      <w:sz w:val="32"/>
    </w:rPr>
  </w:style>
  <w:style w:type="paragraph" w:customStyle="1" w:styleId="Heading2TOC">
    <w:name w:val="Heading2 TOC"/>
    <w:basedOn w:val="Normal"/>
    <w:qFormat/>
    <w:rsid w:val="001C1B67"/>
    <w:pPr>
      <w:spacing w:before="240" w:after="60"/>
    </w:pPr>
    <w:rPr>
      <w:rFonts w:ascii="Times New Roman" w:hAnsi="Times New Roman"/>
      <w:b/>
      <w:sz w:val="28"/>
    </w:rPr>
  </w:style>
  <w:style w:type="character" w:customStyle="1" w:styleId="Underline">
    <w:name w:val="Underline"/>
    <w:basedOn w:val="DefaultParagraphFont"/>
    <w:qFormat/>
    <w:rsid w:val="001C1B67"/>
    <w:rPr>
      <w:u w:val="single"/>
    </w:rPr>
  </w:style>
  <w:style w:type="character" w:customStyle="1" w:styleId="BoldandItalics">
    <w:name w:val="Bold and Italics"/>
    <w:qFormat/>
    <w:rsid w:val="001C1B67"/>
    <w:rPr>
      <w:b/>
      <w:i/>
      <w:u w:val="none"/>
    </w:rPr>
  </w:style>
  <w:style w:type="paragraph" w:styleId="BalloonText">
    <w:name w:val="Balloon Text"/>
    <w:basedOn w:val="Normal"/>
    <w:link w:val="BalloonTextChar"/>
    <w:rsid w:val="001C1B67"/>
    <w:rPr>
      <w:rFonts w:ascii="Tahoma" w:hAnsi="Tahoma" w:cs="Tahoma"/>
      <w:sz w:val="16"/>
      <w:szCs w:val="16"/>
    </w:rPr>
  </w:style>
  <w:style w:type="character" w:customStyle="1" w:styleId="BalloonTextChar">
    <w:name w:val="Balloon Text Char"/>
    <w:basedOn w:val="DefaultParagraphFont"/>
    <w:link w:val="BalloonText"/>
    <w:rsid w:val="001C1B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1B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C1B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1B67"/>
    <w:rPr>
      <w:b/>
      <w:color w:val="660033"/>
      <w:spacing w:val="0"/>
    </w:rPr>
  </w:style>
  <w:style w:type="paragraph" w:customStyle="1" w:styleId="Nameditemlist">
    <w:name w:val="Named item list"/>
    <w:basedOn w:val="BodyText"/>
    <w:qFormat/>
    <w:rsid w:val="001C1B67"/>
    <w:pPr>
      <w:tabs>
        <w:tab w:val="left" w:pos="2835"/>
      </w:tabs>
      <w:ind w:left="2835" w:hanging="2835"/>
    </w:pPr>
  </w:style>
  <w:style w:type="paragraph" w:customStyle="1" w:styleId="BodyTextnopadding">
    <w:name w:val="Body Text no padding"/>
    <w:basedOn w:val="BodyText"/>
    <w:qFormat/>
    <w:rsid w:val="001C1B67"/>
    <w:pPr>
      <w:spacing w:before="0" w:after="0"/>
    </w:pPr>
  </w:style>
  <w:style w:type="paragraph" w:customStyle="1" w:styleId="BodyTextBold">
    <w:name w:val="Body Text Bold"/>
    <w:basedOn w:val="BodyText"/>
    <w:qFormat/>
    <w:rsid w:val="001C1B67"/>
    <w:rPr>
      <w:b/>
    </w:rPr>
  </w:style>
  <w:style w:type="character" w:styleId="Hyperlink">
    <w:name w:val="Hyperlink"/>
    <w:basedOn w:val="DefaultParagraphFont"/>
    <w:uiPriority w:val="99"/>
    <w:unhideWhenUsed/>
    <w:rsid w:val="00B1224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1594</Words>
  <Characters>11033</Characters>
  <Application>Microsoft Office Word</Application>
  <DocSecurity>0</DocSecurity>
  <Lines>324</Lines>
  <Paragraphs>210</Paragraphs>
  <ScaleCrop>false</ScaleCrop>
  <Company>Author-it Software Corporation Ltd.</Company>
  <LinksUpToDate>false</LinksUpToDate>
  <CharactersWithSpaces>12417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MEA705 Apply basic scientific principles and techniques in aeronautical engineering situations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2025-03-01T12:49:00Z</dcterms:created>
  <dcterms:modified xsi:type="dcterms:W3CDTF">2025-03-01T12:49:00Z</dcterms:modified>
</cp:coreProperties>
</file>