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2B8" w:rsidP="00892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MEA703 Apply aeronautical modelling for computer-aided engineering</w:t>
      </w:r>
      <w:r>
        <w:fldChar w:fldCharType="end"/>
      </w:r>
    </w:p>
    <w:p w:rsidR="008922B8" w:rsidP="008922B8">
      <w:pPr>
        <w:pStyle w:val="Version"/>
        <w:sectPr w:rsidSect="00812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6E0" w:rsidP="008126E0">
      <w:pPr>
        <w:pStyle w:val="SuperHeading"/>
      </w:pPr>
      <w:r w:rsidRPr="008126E0">
        <w:t>MEA703 Apply aeronautical modelling for computer-aided engineering</w:t>
      </w:r>
    </w:p>
    <w:p w:rsidR="00000000" w:rsidRPr="008126E0" w:rsidP="008126E0">
      <w:pPr>
        <w:pStyle w:val="Heading1"/>
      </w:pPr>
      <w:bookmarkStart w:id="1" w:name="O_723916"/>
      <w:bookmarkEnd w:id="1"/>
      <w:r w:rsidRPr="008126E0">
        <w:t>Modification History</w:t>
      </w:r>
    </w:p>
    <w:p w:rsidR="00000000" w:rsidRPr="008126E0" w:rsidP="008922B8">
      <w:pPr>
        <w:pStyle w:val="BodyText"/>
      </w:pPr>
      <w:r w:rsidRPr="008126E0">
        <w:t>Release 1 - New unit of competency</w:t>
      </w:r>
    </w:p>
    <w:p w:rsidR="00000000" w:rsidRPr="008126E0" w:rsidP="008126E0">
      <w:pPr>
        <w:pStyle w:val="Heading1"/>
      </w:pPr>
      <w:bookmarkStart w:id="2" w:name="O_723924"/>
      <w:bookmarkEnd w:id="2"/>
      <w:r w:rsidRPr="008126E0">
        <w:t>Application</w:t>
      </w:r>
    </w:p>
    <w:p w:rsidR="00000000" w:rsidRPr="008126E0" w:rsidP="008922B8">
      <w:pPr>
        <w:pStyle w:val="BodyText"/>
      </w:pPr>
      <w:r w:rsidRPr="008126E0">
        <w:t>This unit of competency applies to modelling of aeronautical systems and compone</w:t>
      </w:r>
      <w:r w:rsidRPr="008126E0">
        <w:t>nts for civil or military aircraft. It is suitable for people working as design drafters and those pursuing paraprofessional careers and qualifications in aeronautical engineering at the paraprofessional level.</w:t>
      </w:r>
    </w:p>
    <w:p w:rsidR="00000000" w:rsidRPr="008126E0" w:rsidP="008922B8">
      <w:pPr>
        <w:pStyle w:val="BodyText"/>
      </w:pPr>
      <w:r w:rsidRPr="008126E0">
        <w:t>This unit of competency covers the applicati</w:t>
      </w:r>
      <w:r w:rsidRPr="008126E0">
        <w:t>on of aeronautical modelling techniques for aircraft, aircraft structure, systems and component design, modification or maintenance purposes. It includes consideration of the computer-aided engineering (CAE) purposes for which the model is required, such a</w:t>
      </w:r>
      <w:r w:rsidRPr="008126E0">
        <w:t>s initial design, modification design or maintenance and as a basis for generating orthogonal drawings and wiring, circuit and schematic diagrams.</w:t>
      </w:r>
    </w:p>
    <w:p w:rsidR="00000000" w:rsidRPr="008126E0" w:rsidP="008922B8">
      <w:pPr>
        <w:pStyle w:val="BodyText"/>
      </w:pPr>
      <w:r w:rsidRPr="008126E0">
        <w:t>This unit is used in workplaces that operate under the airworthiness regulatory systems of the Australian De</w:t>
      </w:r>
      <w:r w:rsidRPr="008126E0">
        <w:t>fence Force (ADF) and the Civil Aviation Safety Authority (CASA).</w:t>
      </w:r>
    </w:p>
    <w:p w:rsidR="00000000" w:rsidRPr="008126E0" w:rsidP="008126E0">
      <w:pPr>
        <w:pStyle w:val="Heading1"/>
      </w:pPr>
      <w:bookmarkStart w:id="3" w:name="O_723923"/>
      <w:bookmarkEnd w:id="3"/>
      <w:r w:rsidRPr="008126E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6207"/>
      </w:tblGrid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MEA701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BodyText"/>
            </w:pPr>
            <w:r w:rsidRPr="008126E0">
              <w:t>Produce aeronautical engineering related graphics</w:t>
            </w:r>
          </w:p>
        </w:tc>
      </w:tr>
    </w:tbl>
    <w:p w:rsidR="00000000" w:rsidRPr="008126E0" w:rsidP="008126E0">
      <w:pPr>
        <w:pStyle w:val="BodyText"/>
      </w:pPr>
    </w:p>
    <w:p w:rsidR="00000000" w:rsidRPr="008126E0" w:rsidP="008126E0">
      <w:pPr>
        <w:pStyle w:val="AllowPageBreak"/>
      </w:pPr>
    </w:p>
    <w:p w:rsidR="00000000" w:rsidRPr="008126E0" w:rsidP="008126E0">
      <w:pPr>
        <w:pStyle w:val="Heading1"/>
      </w:pPr>
      <w:bookmarkStart w:id="4" w:name="O_723922"/>
      <w:bookmarkEnd w:id="4"/>
      <w:r w:rsidRPr="008126E0">
        <w:t>Competency Field</w:t>
      </w:r>
    </w:p>
    <w:p w:rsidR="00000000" w:rsidRPr="008126E0" w:rsidP="008126E0">
      <w:pPr>
        <w:pStyle w:val="Heading1"/>
      </w:pPr>
      <w:bookmarkStart w:id="5" w:name="O_723921"/>
      <w:bookmarkEnd w:id="5"/>
      <w:r w:rsidRPr="008126E0">
        <w:t>Unit Sector</w:t>
      </w:r>
    </w:p>
    <w:p w:rsidR="00000000" w:rsidRPr="008126E0" w:rsidP="008126E0">
      <w:pPr>
        <w:pStyle w:val="Heading1"/>
      </w:pPr>
      <w:bookmarkStart w:id="6" w:name="O_723920"/>
      <w:bookmarkEnd w:id="6"/>
      <w:r w:rsidRPr="008126E0">
        <w:t>Elements and Perf</w:t>
      </w:r>
      <w:r w:rsidRPr="008126E0">
        <w:t>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 xml:space="preserve">Performance criteria describe the performance needed to demonstrate achievement of the element. 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 xml:space="preserve">Identify the fundamentals of aeronautical </w:t>
            </w:r>
            <w:r w:rsidRPr="008126E0">
              <w:t>engineering modelling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Investigate applications for aeronautical modelling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Identify sustainability issues related to modelling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Identify work health and safety (WHS) and regulatory requirements related to modelling processes and materials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Identify the model parameters, form, function and features, virtual or physical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Identify processes required which may include those for generating graphics, post-processing and physical modelling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Identify technical and professional assistance for advice as required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Develop aeronautical model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Generate initial graphical model and adjust in consultation with stakeholders in accordance with procedures or agreement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Prepare model for inten</w:t>
            </w:r>
            <w:r w:rsidRPr="008126E0">
              <w:t>ded purpose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Use model for purpose and complete investigative analysis or produce physical model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Evaluate model against design criteria and with stakeholders and make adjustments as required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2.5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Engage appropriate technical and profes</w:t>
            </w:r>
            <w:r w:rsidRPr="008126E0">
              <w:t>sional assistance for advice as required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3.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Finalise model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Report and demonstrate results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Provide documentation, instructions, models and files as required</w:t>
            </w:r>
          </w:p>
        </w:tc>
      </w:tr>
      <w:tr w:rsidTr="008126E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BodyText"/>
            </w:pPr>
            <w:r w:rsidRPr="008126E0">
              <w:t>Obtain sign-off</w:t>
            </w:r>
          </w:p>
        </w:tc>
      </w:tr>
    </w:tbl>
    <w:p w:rsidR="00000000" w:rsidRPr="008126E0" w:rsidP="008126E0">
      <w:pPr>
        <w:pStyle w:val="BodyText"/>
      </w:pPr>
    </w:p>
    <w:p w:rsidR="00000000" w:rsidRPr="008126E0" w:rsidP="008126E0">
      <w:pPr>
        <w:pStyle w:val="AllowPageBreak"/>
      </w:pPr>
    </w:p>
    <w:p w:rsidR="00000000" w:rsidRPr="008126E0" w:rsidP="008126E0">
      <w:pPr>
        <w:pStyle w:val="Heading1"/>
      </w:pPr>
      <w:bookmarkStart w:id="7" w:name="O_723919"/>
      <w:bookmarkEnd w:id="7"/>
      <w:r w:rsidRPr="008126E0">
        <w:t>Foundation Skills</w:t>
      </w:r>
    </w:p>
    <w:p w:rsidR="00000000" w:rsidRPr="008126E0" w:rsidP="008922B8">
      <w:pPr>
        <w:pStyle w:val="BodyText"/>
      </w:pPr>
      <w:r w:rsidRPr="008126E0">
        <w:t>Foundation skills essential to performance are explicit in the performance criteria of this unit of competency.</w:t>
      </w:r>
    </w:p>
    <w:p w:rsidR="00000000" w:rsidRPr="008126E0" w:rsidP="008126E0">
      <w:pPr>
        <w:pStyle w:val="Heading1"/>
      </w:pPr>
      <w:bookmarkStart w:id="8" w:name="O_723918"/>
      <w:bookmarkEnd w:id="8"/>
      <w:r w:rsidRPr="008126E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832"/>
      </w:tblGrid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t>This field allows for different work environments and conditions that may affect performance. Essential ope</w:t>
            </w:r>
            <w:r w:rsidRPr="008126E0">
              <w:t xml:space="preserve">rating conditions that may be present (depending on the work situation, needs of the candidate, accessibility of the item, and local industry and regional </w:t>
            </w:r>
            <w:r w:rsidRPr="008126E0">
              <w:t>contexts) are included.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Models include: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 xml:space="preserve">Virtual, such as computer generated solids models </w:t>
            </w:r>
          </w:p>
          <w:p w:rsidR="00000000" w:rsidRPr="008126E0" w:rsidP="008126E0">
            <w:pPr>
              <w:pStyle w:val="ListBullet"/>
            </w:pPr>
            <w:r w:rsidRPr="008126E0">
              <w:t>Physical models developed from the virtual model data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Software models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Model purpose includes: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Aircraft design, including performance and power required</w:t>
            </w:r>
          </w:p>
          <w:p w:rsidR="00000000" w:rsidRPr="008126E0" w:rsidP="008126E0">
            <w:pPr>
              <w:pStyle w:val="ListBullet"/>
            </w:pPr>
            <w:r w:rsidRPr="008126E0">
              <w:t>Component design (structural, mechanical, hydraulic and pneumatic)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System design and performance simul</w:t>
            </w:r>
            <w:r w:rsidRPr="008126E0">
              <w:t>ation (mechanical, hydraulic and pneumatic)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Features, functions and context of engineering mechanical modelling include: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Techniques used for mechanical modelling</w:t>
            </w:r>
          </w:p>
          <w:p w:rsidR="00000000" w:rsidRPr="008126E0" w:rsidP="008126E0">
            <w:pPr>
              <w:pStyle w:val="ListBullet"/>
            </w:pPr>
            <w:r w:rsidRPr="008126E0">
              <w:t>Sustainability implications of modelling</w:t>
            </w:r>
          </w:p>
          <w:p w:rsidR="00000000" w:rsidRPr="008126E0" w:rsidP="008126E0">
            <w:pPr>
              <w:pStyle w:val="ListBullet"/>
            </w:pPr>
            <w:r w:rsidRPr="008126E0">
              <w:t>WHS and regulatory requirements related to modellin</w:t>
            </w:r>
            <w:r w:rsidRPr="008126E0">
              <w:t>g processes and materials</w:t>
            </w:r>
          </w:p>
          <w:p w:rsidR="00000000" w:rsidRPr="008126E0" w:rsidP="008126E0">
            <w:pPr>
              <w:pStyle w:val="ListBullet"/>
            </w:pPr>
            <w:r w:rsidRPr="008126E0">
              <w:t>Model parameters, form, function and features, virtual or physical</w:t>
            </w:r>
          </w:p>
          <w:p w:rsidR="00000000" w:rsidRPr="008126E0" w:rsidP="008126E0">
            <w:pPr>
              <w:pStyle w:val="ListBullet"/>
            </w:pPr>
            <w:r w:rsidRPr="008126E0">
              <w:t>Processes required which may include those for generating graphics, post-processing, and physical modelling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Required licensed technical and professional assistance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Post-processor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 xml:space="preserve">A post-processor or code generator converts programmed instructions generated by computer-aided </w:t>
            </w:r>
            <w:r w:rsidRPr="008126E0">
              <w:t>manufacture (CAM) software or computer-aided design (CAD) package into computer numerically controlled (CNC) program code to control a machine tool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Post-processing model for analysis or physical modelling includes: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Setting up component, system and system</w:t>
            </w:r>
            <w:r w:rsidRPr="008126E0">
              <w:t xml:space="preserve"> software models 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Processing dimensional data to create 2-D or 3-D code for CAM operations, such as printed circuit board manufacture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Rapid prototyping processes include: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Selective laser sintering (SLS) which uses thermoplastics and metal powders</w:t>
            </w:r>
          </w:p>
          <w:p w:rsidR="00000000" w:rsidRPr="008126E0" w:rsidP="008126E0">
            <w:pPr>
              <w:pStyle w:val="ListBullet"/>
            </w:pPr>
            <w:r w:rsidRPr="008126E0">
              <w:t>Fused d</w:t>
            </w:r>
            <w:r w:rsidRPr="008126E0">
              <w:t>eposition modelling (FDM) which uses thermoplastics and eutectic metals</w:t>
            </w:r>
          </w:p>
          <w:p w:rsidR="00000000" w:rsidRPr="008126E0" w:rsidP="008126E0">
            <w:pPr>
              <w:pStyle w:val="ListBullet"/>
            </w:pPr>
            <w:r w:rsidRPr="008126E0">
              <w:t>Steriolithography (SLS) which uses a photopolymer</w:t>
            </w:r>
          </w:p>
          <w:p w:rsidR="00000000" w:rsidRPr="008126E0" w:rsidP="008126E0">
            <w:pPr>
              <w:pStyle w:val="ListBullet"/>
            </w:pPr>
            <w:r w:rsidRPr="008126E0">
              <w:t>Laminated paper manufacturing (LOM) which uses paper</w:t>
            </w:r>
          </w:p>
          <w:p w:rsidR="00000000" w:rsidRPr="008126E0" w:rsidP="008126E0">
            <w:pPr>
              <w:pStyle w:val="ListBullet"/>
            </w:pPr>
            <w:r w:rsidRPr="008126E0">
              <w:t>Electron beam melting (EBM) which uses titanium alloys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3-D printing (3DP) which u</w:t>
            </w:r>
            <w:r w:rsidRPr="008126E0">
              <w:t>ses a variety of materials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Criteria for aeronautical designs include: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Safety and risk</w:t>
            </w:r>
          </w:p>
          <w:p w:rsidR="00000000" w:rsidRPr="008126E0" w:rsidP="008126E0">
            <w:pPr>
              <w:pStyle w:val="ListBullet"/>
            </w:pPr>
            <w:r w:rsidRPr="008126E0">
              <w:t>Function</w:t>
            </w:r>
          </w:p>
          <w:p w:rsidR="00000000" w:rsidRPr="008126E0" w:rsidP="008126E0">
            <w:pPr>
              <w:pStyle w:val="ListBullet"/>
            </w:pPr>
            <w:r w:rsidRPr="008126E0">
              <w:t>Aesthetics</w:t>
            </w:r>
          </w:p>
          <w:p w:rsidR="00000000" w:rsidRPr="008126E0" w:rsidP="008126E0">
            <w:pPr>
              <w:pStyle w:val="ListBullet"/>
            </w:pPr>
            <w:r w:rsidRPr="008126E0">
              <w:t>Compliance with relevant regulations and standards</w:t>
            </w:r>
          </w:p>
          <w:p w:rsidR="00000000" w:rsidRPr="008126E0" w:rsidP="008126E0">
            <w:pPr>
              <w:pStyle w:val="ListBullet"/>
            </w:pPr>
            <w:r w:rsidRPr="008126E0">
              <w:t>Manufacturability and maintainability</w:t>
            </w:r>
          </w:p>
          <w:p w:rsidR="00000000" w:rsidRPr="008126E0" w:rsidP="008126E0">
            <w:pPr>
              <w:pStyle w:val="ListBullet"/>
            </w:pPr>
            <w:r w:rsidRPr="008126E0">
              <w:t>Marketability</w:t>
            </w:r>
          </w:p>
          <w:p w:rsidR="00000000" w:rsidRPr="008126E0" w:rsidP="008126E0">
            <w:pPr>
              <w:pStyle w:val="ListBullet"/>
            </w:pPr>
            <w:r w:rsidRPr="008126E0">
              <w:t>Sustainability:</w:t>
            </w:r>
          </w:p>
          <w:p w:rsidR="00000000" w:rsidRPr="008126E0" w:rsidP="008126E0">
            <w:pPr>
              <w:pStyle w:val="ListBullet2"/>
            </w:pPr>
            <w:r w:rsidRPr="008126E0">
              <w:t>social, economic and environmental</w:t>
            </w:r>
          </w:p>
          <w:p w:rsidR="00000000" w:rsidRPr="008126E0" w:rsidP="008126E0">
            <w:pPr>
              <w:pStyle w:val="ListBullet2"/>
            </w:pPr>
            <w:r w:rsidRPr="008126E0">
              <w:t>material and energy resources</w:t>
            </w:r>
          </w:p>
          <w:p w:rsidR="00000000" w:rsidRPr="008126E0" w:rsidP="008126E0">
            <w:pPr>
              <w:pStyle w:val="ListBullet"/>
            </w:pPr>
            <w:r w:rsidRPr="008126E0">
              <w:t>Cost constraints</w:t>
            </w:r>
          </w:p>
          <w:p w:rsidR="00000000" w:rsidRPr="008126E0" w:rsidP="008126E0">
            <w:pPr>
              <w:pStyle w:val="ListBullet"/>
            </w:pPr>
            <w:r w:rsidRPr="008126E0">
              <w:t>Ergonomics, anthropometrics and physiology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Facilities, plant and skills available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Assistance from individuals with CASA maintenance certification licenses or those with supervisory authorisations in the ADF regulatory system</w:t>
            </w:r>
          </w:p>
          <w:p w:rsidR="00000000" w:rsidRPr="008126E0" w:rsidP="008126E0">
            <w:pPr>
              <w:pStyle w:val="ListBullet"/>
            </w:pPr>
            <w:r w:rsidRPr="008126E0">
              <w:t>Professional support from engineers employed within:</w:t>
            </w:r>
          </w:p>
          <w:p w:rsidR="00000000" w:rsidRPr="008126E0" w:rsidP="008126E0">
            <w:pPr>
              <w:pStyle w:val="ListBullet2"/>
            </w:pPr>
            <w:r w:rsidRPr="008126E0">
              <w:t>organisations with CASA design, continuing airworthiness ma</w:t>
            </w:r>
            <w:r w:rsidRPr="008126E0">
              <w:t>nagement or maintenance approvals</w:t>
            </w:r>
          </w:p>
          <w:p w:rsidR="00000000" w:rsidRPr="008126E0" w:rsidP="008126E0">
            <w:pPr>
              <w:pStyle w:val="ListBullet2"/>
            </w:pPr>
            <w:r w:rsidRPr="008126E0">
              <w:t>approved engineering organisations under the ADF regulatory system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Engineers employed within organisations recognised by overseas airworthiness organisations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BodyText"/>
            </w:pPr>
            <w:r w:rsidRPr="008126E0">
              <w:rPr>
                <w:rStyle w:val="SpecialBold"/>
              </w:rPr>
              <w:t>WHS, regulatory requirements and enterprise procedures include</w:t>
            </w:r>
            <w:r w:rsidRPr="008126E0">
              <w:rPr>
                <w:rStyle w:val="SpecialBold"/>
              </w:rPr>
              <w:t>:</w:t>
            </w:r>
          </w:p>
          <w:p w:rsidR="00000000" w:rsidP="008126E0">
            <w:pPr>
              <w:pStyle w:val="BodyText"/>
              <w:rPr>
                <w:lang w:val="en-NZ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WHS Acts and regulations</w:t>
            </w:r>
          </w:p>
          <w:p w:rsidR="00000000" w:rsidRPr="008126E0" w:rsidP="008126E0">
            <w:pPr>
              <w:pStyle w:val="ListBullet"/>
            </w:pPr>
            <w:r w:rsidRPr="008126E0">
              <w:t>Relevant standards</w:t>
            </w:r>
          </w:p>
          <w:p w:rsidR="00000000" w:rsidRPr="008126E0" w:rsidP="008126E0">
            <w:pPr>
              <w:pStyle w:val="ListBullet"/>
            </w:pPr>
            <w:r w:rsidRPr="008126E0">
              <w:t>Industry codes of practice</w:t>
            </w:r>
          </w:p>
          <w:p w:rsidR="00000000" w:rsidRPr="008126E0" w:rsidP="008126E0">
            <w:pPr>
              <w:pStyle w:val="ListBullet"/>
            </w:pPr>
            <w:r w:rsidRPr="008126E0">
              <w:t>Risk assessments</w:t>
            </w:r>
          </w:p>
          <w:p w:rsidR="00000000" w:rsidRPr="008126E0" w:rsidP="008126E0">
            <w:pPr>
              <w:pStyle w:val="ListBullet"/>
            </w:pPr>
            <w:r w:rsidRPr="008126E0">
              <w:t xml:space="preserve">Registration requirements </w:t>
            </w:r>
          </w:p>
          <w:p w:rsidR="00000000" w:rsidRPr="008126E0" w:rsidP="008126E0">
            <w:pPr>
              <w:pStyle w:val="ListBullet"/>
            </w:pPr>
            <w:r w:rsidRPr="008126E0">
              <w:t>Safe work practices</w:t>
            </w:r>
          </w:p>
          <w:p w:rsidR="00000000" w:rsidRPr="008126E0" w:rsidP="008126E0">
            <w:pPr>
              <w:pStyle w:val="ListBullet"/>
            </w:pPr>
            <w:r w:rsidRPr="008126E0">
              <w:t>State and territory regulatory requirements applying to electrical work</w:t>
            </w:r>
          </w:p>
          <w:p w:rsidR="00000000" w:rsidRPr="008126E0" w:rsidP="008126E0">
            <w:pPr>
              <w:pStyle w:val="ListBullet"/>
            </w:pPr>
            <w:r w:rsidRPr="008126E0">
              <w:t>Civil Aviation Safety Regulations (CASRs)</w:t>
            </w:r>
          </w:p>
          <w:p w:rsidR="00000000" w:rsidRPr="008126E0" w:rsidP="008126E0">
            <w:pPr>
              <w:pStyle w:val="ListBullet"/>
            </w:pPr>
            <w:r w:rsidRPr="008126E0">
              <w:t>AAP7001.053 ADF Technical Airworthiness Management Manual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Overseas airworthiness authorities where applicable e.g. Federal Aviation Administration, Transport Canada, European Aviation Safety Agency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BodyText"/>
            </w:pPr>
            <w:r w:rsidRPr="008126E0">
              <w:rPr>
                <w:rStyle w:val="SpecialBold"/>
              </w:rPr>
              <w:t>Relevant standards include:</w:t>
            </w:r>
          </w:p>
          <w:p w:rsidR="00000000" w:rsidP="008126E0">
            <w:pPr>
              <w:pStyle w:val="BodyText"/>
              <w:rPr>
                <w:lang w:val="en-NZ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 xml:space="preserve">AS 1100.101-1992 Technical </w:t>
            </w:r>
            <w:r w:rsidRPr="008126E0">
              <w:t>drawing – General principles</w:t>
            </w:r>
          </w:p>
          <w:p w:rsidR="00000000" w:rsidRPr="008126E0" w:rsidP="008126E0">
            <w:pPr>
              <w:pStyle w:val="ListBullet"/>
            </w:pPr>
            <w:r w:rsidRPr="008126E0">
              <w:t>AS 1102.101-1989 Graphical symbols for electrotechnical documentation - General information and general index</w:t>
            </w:r>
          </w:p>
          <w:p w:rsidR="00000000" w:rsidRPr="008126E0" w:rsidP="008126E0">
            <w:pPr>
              <w:pStyle w:val="ListBullet"/>
            </w:pPr>
            <w:r w:rsidRPr="008126E0">
              <w:t xml:space="preserve">AS/NZS ISO 31000 Set:2013 Risk Management Set </w:t>
            </w:r>
          </w:p>
          <w:p w:rsidR="00000000" w:rsidRPr="008126E0" w:rsidP="008126E0">
            <w:pPr>
              <w:pStyle w:val="ListBullet"/>
            </w:pPr>
            <w:r w:rsidRPr="008126E0">
              <w:t>British Defence Standard 00-970 Design and Airworthiness Requirements for Service Aircraft</w:t>
            </w:r>
          </w:p>
          <w:p w:rsidR="00000000" w:rsidRPr="008126E0" w:rsidP="008126E0">
            <w:pPr>
              <w:pStyle w:val="ListBullet"/>
            </w:pPr>
            <w:r w:rsidRPr="008126E0">
              <w:t>US Military Specifications and Standards relevant to aircraft design</w:t>
            </w:r>
          </w:p>
          <w:p w:rsidR="00000000" w:rsidRPr="008126E0" w:rsidP="008126E0">
            <w:pPr>
              <w:pStyle w:val="ListBullet"/>
            </w:pPr>
            <w:r w:rsidRPr="008126E0">
              <w:t>ADF AAP7001.054 Airworthiness Design Requirements Manual</w:t>
            </w:r>
          </w:p>
          <w:p w:rsidR="00000000" w:rsidRPr="008126E0" w:rsidP="008126E0">
            <w:pPr>
              <w:pStyle w:val="ListBullet"/>
            </w:pPr>
            <w:r w:rsidRPr="008126E0">
              <w:t>FAR Part 23 Airworthiness Standards for</w:t>
            </w:r>
            <w:r w:rsidRPr="008126E0">
              <w:t xml:space="preserve"> Airplanes in the Normal, Utility, Aerobatic or Commuter Categories </w:t>
            </w:r>
          </w:p>
          <w:p w:rsidR="00000000" w:rsidRPr="008126E0" w:rsidP="008126E0">
            <w:pPr>
              <w:pStyle w:val="ListBullet"/>
            </w:pPr>
            <w:r w:rsidRPr="008126E0">
              <w:t xml:space="preserve">FAR Part 25 Airworthiness Standards for Airplanes in the Transport Category </w:t>
            </w:r>
          </w:p>
          <w:p w:rsidR="00000000" w:rsidRPr="008126E0" w:rsidP="008126E0">
            <w:pPr>
              <w:pStyle w:val="ListBullet"/>
            </w:pPr>
            <w:r w:rsidRPr="008126E0">
              <w:t>EASA CS-23 Certification Specifications for Aeroplanes in the Normal, Utility, Aerobatic or Commuter Categorie</w:t>
            </w:r>
            <w:r w:rsidRPr="008126E0">
              <w:t>s</w:t>
            </w:r>
          </w:p>
          <w:p w:rsidR="00000000" w:rsidRPr="008126E0" w:rsidP="008126E0">
            <w:pPr>
              <w:pStyle w:val="ListBullet"/>
            </w:pPr>
            <w:r w:rsidRPr="008126E0">
              <w:t>EASA CS-25 Certification Specifications for Airplanes in the Transport Category</w:t>
            </w:r>
          </w:p>
          <w:p w:rsidR="00000000" w:rsidRPr="008126E0" w:rsidP="008126E0">
            <w:pPr>
              <w:pStyle w:val="ListBullet"/>
            </w:pPr>
            <w:r w:rsidRPr="008126E0">
              <w:t>CASA AC 21-99 Aircraft Wiring and Bonding</w:t>
            </w:r>
          </w:p>
          <w:p w:rsidR="00000000" w:rsidP="008126E0">
            <w:pPr>
              <w:pStyle w:val="ListBullet"/>
              <w:rPr>
                <w:lang w:val="en-NZ"/>
              </w:rPr>
            </w:pPr>
            <w:r w:rsidRPr="008126E0">
              <w:t>FAA AC 43-13-1B Acceptable Methods, Techniques and Practices – Aircraft Inspection and Repair</w:t>
            </w:r>
          </w:p>
        </w:tc>
      </w:tr>
      <w:tr w:rsidTr="00812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E0">
            <w:pPr>
              <w:pStyle w:val="BodyText"/>
              <w:rPr>
                <w:lang w:val="en-NZ"/>
              </w:rPr>
            </w:pPr>
            <w:r w:rsidRPr="008126E0">
              <w:rPr>
                <w:rStyle w:val="SpecialBold"/>
              </w:rPr>
              <w:t>Modelling and related software includ</w:t>
            </w:r>
            <w:r w:rsidRPr="008126E0">
              <w:rPr>
                <w:rStyle w:val="SpecialBold"/>
              </w:rPr>
              <w:t>es:</w:t>
            </w:r>
          </w:p>
        </w:tc>
        <w:tc>
          <w:tcPr>
            <w:tcW w:w="5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E0" w:rsidP="008126E0">
            <w:pPr>
              <w:pStyle w:val="ListBullet"/>
            </w:pPr>
            <w:r w:rsidRPr="008126E0">
              <w:t>Lumped parameter model</w:t>
            </w:r>
          </w:p>
          <w:p w:rsidR="00000000" w:rsidRPr="008126E0" w:rsidP="008126E0">
            <w:pPr>
              <w:pStyle w:val="ListBullet"/>
            </w:pPr>
            <w:r w:rsidRPr="008126E0">
              <w:t>Empirical, random data tested model</w:t>
            </w:r>
          </w:p>
          <w:p w:rsidR="00000000" w:rsidRPr="008126E0" w:rsidP="008126E0">
            <w:pPr>
              <w:pStyle w:val="ListBullet"/>
            </w:pPr>
            <w:r w:rsidRPr="008126E0">
              <w:t>Finite element analysis (FEA) software</w:t>
            </w:r>
          </w:p>
          <w:p w:rsidR="00000000" w:rsidRPr="008126E0" w:rsidP="008126E0">
            <w:pPr>
              <w:pStyle w:val="ListBullet"/>
            </w:pPr>
            <w:r w:rsidRPr="008126E0">
              <w:t>Model based design</w:t>
            </w:r>
          </w:p>
        </w:tc>
      </w:tr>
    </w:tbl>
    <w:p w:rsidR="00000000" w:rsidRPr="008126E0" w:rsidP="008126E0">
      <w:pPr>
        <w:pStyle w:val="BodyText"/>
      </w:pPr>
    </w:p>
    <w:p w:rsidR="00000000" w:rsidRPr="008126E0" w:rsidP="008126E0">
      <w:pPr>
        <w:pStyle w:val="AllowPageBreak"/>
      </w:pPr>
    </w:p>
    <w:p w:rsidR="00000000" w:rsidRPr="008126E0" w:rsidP="008126E0">
      <w:pPr>
        <w:pStyle w:val="Heading1"/>
      </w:pPr>
      <w:bookmarkStart w:id="9" w:name="O_723917"/>
      <w:bookmarkEnd w:id="9"/>
      <w:r w:rsidRPr="008126E0">
        <w:t>Unit Mapping Information</w:t>
      </w:r>
    </w:p>
    <w:p w:rsidR="00000000" w:rsidRPr="008126E0" w:rsidP="008922B8">
      <w:pPr>
        <w:pStyle w:val="BodyText"/>
      </w:pPr>
      <w:r w:rsidRPr="008126E0">
        <w:t>Release 1 – new unit based on and equivalent to MEM09153A Apply computer-aided modellin</w:t>
      </w:r>
      <w:r w:rsidRPr="008126E0">
        <w:t>g and data management techniques to aeronautical engineering designs</w:t>
      </w:r>
    </w:p>
    <w:p w:rsidR="00000000" w:rsidRPr="008126E0" w:rsidP="008126E0">
      <w:pPr>
        <w:pStyle w:val="Heading1"/>
      </w:pPr>
      <w:bookmarkStart w:id="10" w:name="O_723910"/>
      <w:bookmarkEnd w:id="10"/>
      <w:r w:rsidRPr="008126E0">
        <w:t>Links</w:t>
      </w:r>
    </w:p>
    <w:p w:rsidR="00000000" w:rsidRPr="008126E0" w:rsidP="008922B8">
      <w:pPr>
        <w:pStyle w:val="BodyText"/>
      </w:pPr>
      <w:r w:rsidRPr="00812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9169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126E0" w:rsidP="008126E0"/>
    <w:sectPr w:rsidSect="00812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 w:rsidP="00812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2B8" w:rsidP="00812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22B8" w:rsidP="00812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6E0" w:rsidRPr="008922B8" w:rsidP="00892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B8" w:rsidRPr="002D2AF8" w:rsidP="00812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MEA703 Apply aeronautical modelling for computer-aided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22B8" w:rsidP="00812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C26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26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CE4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6E0"/>
  </w:style>
  <w:style w:type="character" w:customStyle="1" w:styleId="Heading1Char">
    <w:name w:val="Heading 1 Char"/>
    <w:basedOn w:val="DefaultParagraphFont"/>
    <w:link w:val="Heading1"/>
    <w:rsid w:val="00812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6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6E0"/>
    <w:rPr>
      <w:b/>
      <w:spacing w:val="0"/>
    </w:rPr>
  </w:style>
  <w:style w:type="paragraph" w:styleId="ListBullet2">
    <w:name w:val="List Bullet 2"/>
    <w:basedOn w:val="List2"/>
    <w:rsid w:val="008126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6E0"/>
    <w:rPr>
      <w:i/>
    </w:rPr>
  </w:style>
  <w:style w:type="paragraph" w:styleId="Caption">
    <w:name w:val="caption"/>
    <w:basedOn w:val="BodyText"/>
    <w:next w:val="Normal"/>
    <w:qFormat/>
    <w:rsid w:val="00812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6E0"/>
  </w:style>
  <w:style w:type="paragraph" w:styleId="TableofFigures">
    <w:name w:val="table of figures"/>
    <w:basedOn w:val="Normal"/>
    <w:next w:val="Normal"/>
    <w:semiHidden/>
    <w:rsid w:val="00812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6E0"/>
    <w:rPr>
      <w:rFonts w:ascii="Wingdings" w:hAnsi="Wingdings"/>
    </w:rPr>
  </w:style>
  <w:style w:type="paragraph" w:customStyle="1" w:styleId="TableHeading">
    <w:name w:val="Table Heading"/>
    <w:basedOn w:val="HeadingBase"/>
    <w:rsid w:val="00812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6E0"/>
    <w:rPr>
      <w:color w:val="0033CC"/>
      <w:u w:val="none"/>
    </w:rPr>
  </w:style>
  <w:style w:type="paragraph" w:customStyle="1" w:styleId="BodyTextRight">
    <w:name w:val="Body Text Right"/>
    <w:basedOn w:val="BodyText"/>
    <w:rsid w:val="00812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6E0"/>
    <w:rPr>
      <w:sz w:val="32"/>
    </w:rPr>
  </w:style>
  <w:style w:type="paragraph" w:customStyle="1" w:styleId="HeadingProcedure">
    <w:name w:val="Heading Procedure"/>
    <w:basedOn w:val="HeadingBase"/>
    <w:next w:val="Normal"/>
    <w:rsid w:val="00812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6E0"/>
    <w:pPr>
      <w:spacing w:before="60" w:after="60"/>
    </w:pPr>
  </w:style>
  <w:style w:type="paragraph" w:styleId="ListContinue">
    <w:name w:val="List Continue"/>
    <w:basedOn w:val="List"/>
    <w:rsid w:val="008126E0"/>
    <w:pPr>
      <w:ind w:firstLine="0"/>
    </w:pPr>
  </w:style>
  <w:style w:type="paragraph" w:customStyle="1" w:styleId="ListNote">
    <w:name w:val="List Note"/>
    <w:basedOn w:val="List"/>
    <w:rsid w:val="00812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6E0"/>
    <w:rPr>
      <w:rFonts w:ascii="Courier New" w:hAnsi="Courier New"/>
    </w:rPr>
  </w:style>
  <w:style w:type="paragraph" w:customStyle="1" w:styleId="NoteBullet">
    <w:name w:val="Note Bullet"/>
    <w:basedOn w:val="Note"/>
    <w:rsid w:val="00812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6E0"/>
    <w:rPr>
      <w:b/>
      <w:smallCaps/>
    </w:rPr>
  </w:style>
  <w:style w:type="paragraph" w:customStyle="1" w:styleId="TableListNumber">
    <w:name w:val="Table List Number"/>
    <w:basedOn w:val="ListNumber"/>
    <w:rsid w:val="00812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6E0"/>
    <w:pPr>
      <w:numPr>
        <w:numId w:val="9"/>
      </w:numPr>
    </w:pPr>
  </w:style>
  <w:style w:type="paragraph" w:customStyle="1" w:styleId="ListAlpha2">
    <w:name w:val="List Alpha 2"/>
    <w:basedOn w:val="List2"/>
    <w:rsid w:val="008126E0"/>
    <w:pPr>
      <w:numPr>
        <w:numId w:val="8"/>
      </w:numPr>
    </w:pPr>
  </w:style>
  <w:style w:type="paragraph" w:styleId="List2">
    <w:name w:val="List 2"/>
    <w:basedOn w:val="BodyText"/>
    <w:rsid w:val="00812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6E0"/>
    <w:pPr>
      <w:numPr>
        <w:numId w:val="4"/>
      </w:numPr>
    </w:pPr>
  </w:style>
  <w:style w:type="paragraph" w:styleId="ListContinue2">
    <w:name w:val="List Continue 2"/>
    <w:basedOn w:val="List2"/>
    <w:rsid w:val="008126E0"/>
    <w:pPr>
      <w:ind w:firstLine="0"/>
    </w:pPr>
  </w:style>
  <w:style w:type="paragraph" w:styleId="ListContinue3">
    <w:name w:val="List Continue 3"/>
    <w:basedOn w:val="List3"/>
    <w:rsid w:val="008126E0"/>
    <w:pPr>
      <w:ind w:left="1021" w:firstLine="0"/>
    </w:pPr>
  </w:style>
  <w:style w:type="paragraph" w:styleId="ListContinue4">
    <w:name w:val="List Continue 4"/>
    <w:basedOn w:val="List4"/>
    <w:rsid w:val="008126E0"/>
    <w:pPr>
      <w:ind w:firstLine="0"/>
    </w:pPr>
  </w:style>
  <w:style w:type="paragraph" w:styleId="ListContinue5">
    <w:name w:val="List Continue 5"/>
    <w:basedOn w:val="List5"/>
    <w:rsid w:val="008126E0"/>
    <w:pPr>
      <w:ind w:firstLine="0"/>
    </w:pPr>
  </w:style>
  <w:style w:type="paragraph" w:styleId="ListNumber3">
    <w:name w:val="List Number 3"/>
    <w:basedOn w:val="List3"/>
    <w:rsid w:val="008126E0"/>
    <w:pPr>
      <w:numPr>
        <w:numId w:val="5"/>
      </w:numPr>
    </w:pPr>
  </w:style>
  <w:style w:type="paragraph" w:styleId="ListNumber4">
    <w:name w:val="List Number 4"/>
    <w:basedOn w:val="List4"/>
    <w:rsid w:val="008126E0"/>
    <w:pPr>
      <w:numPr>
        <w:numId w:val="6"/>
      </w:numPr>
    </w:pPr>
  </w:style>
  <w:style w:type="paragraph" w:styleId="ListNumber5">
    <w:name w:val="List Number 5"/>
    <w:basedOn w:val="List5"/>
    <w:rsid w:val="008126E0"/>
    <w:pPr>
      <w:numPr>
        <w:numId w:val="7"/>
      </w:numPr>
    </w:pPr>
  </w:style>
  <w:style w:type="paragraph" w:styleId="BlockText">
    <w:name w:val="Block Text"/>
    <w:basedOn w:val="Normal"/>
    <w:rsid w:val="00812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6E0"/>
    <w:rPr>
      <w:sz w:val="16"/>
      <w:vertAlign w:val="superscript"/>
    </w:rPr>
  </w:style>
  <w:style w:type="character" w:customStyle="1" w:styleId="Symbols">
    <w:name w:val="Symbols"/>
    <w:basedOn w:val="DefaultParagraphFont"/>
    <w:rsid w:val="008126E0"/>
    <w:rPr>
      <w:rFonts w:ascii="Symbol" w:hAnsi="Symbol"/>
    </w:rPr>
  </w:style>
  <w:style w:type="character" w:customStyle="1" w:styleId="MenuOptions">
    <w:name w:val="Menu Options"/>
    <w:basedOn w:val="DefaultParagraphFont"/>
    <w:rsid w:val="00812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6E0"/>
    <w:rPr>
      <w:b/>
    </w:rPr>
  </w:style>
  <w:style w:type="character" w:customStyle="1" w:styleId="Underlined">
    <w:name w:val="Underlined"/>
    <w:basedOn w:val="DefaultParagraphFont"/>
    <w:rsid w:val="008126E0"/>
    <w:rPr>
      <w:u w:val="single"/>
    </w:rPr>
  </w:style>
  <w:style w:type="paragraph" w:customStyle="1" w:styleId="TableBodyTextRight">
    <w:name w:val="Table Body Text Right"/>
    <w:basedOn w:val="TableBodyText"/>
    <w:rsid w:val="00812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6E0"/>
    <w:rPr>
      <w:sz w:val="18"/>
    </w:rPr>
  </w:style>
  <w:style w:type="paragraph" w:customStyle="1" w:styleId="BodySmallRight">
    <w:name w:val="Body Small Right"/>
    <w:basedOn w:val="BodyTextRight"/>
    <w:rsid w:val="008126E0"/>
    <w:rPr>
      <w:sz w:val="18"/>
      <w:szCs w:val="18"/>
    </w:rPr>
  </w:style>
  <w:style w:type="paragraph" w:customStyle="1" w:styleId="MarginEdition">
    <w:name w:val="Margin Edition"/>
    <w:basedOn w:val="MarginNote"/>
    <w:rsid w:val="00812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6E0"/>
    <w:rPr>
      <w:sz w:val="2"/>
      <w:szCs w:val="2"/>
    </w:rPr>
  </w:style>
  <w:style w:type="character" w:customStyle="1" w:styleId="Small">
    <w:name w:val="Small"/>
    <w:basedOn w:val="DefaultParagraphFont"/>
    <w:rsid w:val="008126E0"/>
    <w:rPr>
      <w:sz w:val="16"/>
    </w:rPr>
  </w:style>
  <w:style w:type="paragraph" w:customStyle="1" w:styleId="WideTable">
    <w:name w:val="Wide Table"/>
    <w:basedOn w:val="Normal"/>
    <w:rsid w:val="00812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6E0"/>
  </w:style>
  <w:style w:type="paragraph" w:styleId="Quote">
    <w:name w:val="Quote"/>
    <w:basedOn w:val="Heading1"/>
    <w:link w:val="QuoteChar"/>
    <w:qFormat/>
    <w:rsid w:val="00812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6E0"/>
    <w:pPr>
      <w:pageBreakBefore/>
    </w:pPr>
  </w:style>
  <w:style w:type="paragraph" w:customStyle="1" w:styleId="Border">
    <w:name w:val="Border"/>
    <w:basedOn w:val="Normal"/>
    <w:qFormat/>
    <w:rsid w:val="00812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6E0"/>
    <w:rPr>
      <w:u w:val="single"/>
    </w:rPr>
  </w:style>
  <w:style w:type="character" w:customStyle="1" w:styleId="BoldandItalics">
    <w:name w:val="Bold and Italics"/>
    <w:qFormat/>
    <w:rsid w:val="008126E0"/>
    <w:rPr>
      <w:b/>
      <w:i/>
      <w:u w:val="none"/>
    </w:rPr>
  </w:style>
  <w:style w:type="paragraph" w:styleId="BalloonText">
    <w:name w:val="Balloon Text"/>
    <w:basedOn w:val="Normal"/>
    <w:link w:val="BalloonTextChar"/>
    <w:rsid w:val="00812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6E0"/>
    <w:pPr>
      <w:spacing w:before="0" w:after="0"/>
    </w:pPr>
  </w:style>
  <w:style w:type="paragraph" w:customStyle="1" w:styleId="BodyTextBold">
    <w:name w:val="Body Text Bold"/>
    <w:basedOn w:val="BodyText"/>
    <w:qFormat/>
    <w:rsid w:val="008126E0"/>
    <w:rPr>
      <w:b/>
    </w:rPr>
  </w:style>
  <w:style w:type="character" w:styleId="Hyperlink">
    <w:name w:val="Hyperlink"/>
    <w:basedOn w:val="DefaultParagraphFont"/>
    <w:uiPriority w:val="99"/>
    <w:unhideWhenUsed/>
    <w:rsid w:val="00892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6838</Characters>
  <Application>Microsoft Office Word</Application>
  <DocSecurity>0</DocSecurity>
  <Lines>273</Lines>
  <Paragraphs>156</Paragraphs>
  <ScaleCrop>false</ScaleCrop>
  <Company>Author-it Software Corporation Ltd.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MEA703 Apply aeronautical modelling for computer-aided engineering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