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235" w:rsidP="001C0235">
      <w:pPr>
        <w:pStyle w:val="Title"/>
      </w:pPr>
      <w:r>
        <w:fldChar w:fldCharType="begin"/>
      </w:r>
      <w:r>
        <w:instrText xml:space="preserve"> TITLE   \* MERGEFORMAT </w:instrText>
      </w:r>
      <w:r>
        <w:fldChar w:fldCharType="separate"/>
      </w:r>
      <w:r>
        <w:t>MEA507 Maintain, pack and fit survival inflatable buoyancy vests</w:t>
      </w:r>
      <w:r>
        <w:fldChar w:fldCharType="end"/>
      </w:r>
    </w:p>
    <w:p w:rsidR="001C0235" w:rsidP="001C0235">
      <w:pPr>
        <w:pStyle w:val="Version"/>
        <w:sectPr w:rsidSect="007D6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0EA" w:rsidP="007D60EA">
      <w:pPr>
        <w:pStyle w:val="SuperHeading"/>
      </w:pPr>
      <w:r w:rsidRPr="007D60EA">
        <w:t>MEA507 Mainta</w:t>
      </w:r>
      <w:r w:rsidRPr="007D60EA">
        <w:t>in, pack and fit survival inflatable buoyancy vests</w:t>
      </w:r>
    </w:p>
    <w:p w:rsidR="00000000" w:rsidRPr="007D60EA" w:rsidP="007D60EA">
      <w:pPr>
        <w:pStyle w:val="Heading1"/>
      </w:pPr>
      <w:bookmarkStart w:id="1" w:name="O_999270"/>
      <w:bookmarkEnd w:id="1"/>
      <w:r w:rsidRPr="007D60EA">
        <w:t>Modification History</w:t>
      </w:r>
    </w:p>
    <w:p w:rsidR="00000000" w:rsidRPr="007D60EA" w:rsidP="001C0235">
      <w:pPr>
        <w:pStyle w:val="BodyText"/>
      </w:pPr>
      <w:r w:rsidRPr="007D60EA">
        <w:t>Release 2. Equivalent to MEA507 Maintain, pack and fit survival inflatable buoyancy vests with amended prerequisite codes.</w:t>
      </w:r>
    </w:p>
    <w:p w:rsidR="00000000" w:rsidRPr="007D60EA" w:rsidP="007D60EA">
      <w:pPr>
        <w:pStyle w:val="Heading1"/>
      </w:pPr>
      <w:bookmarkStart w:id="2" w:name="O_999269"/>
      <w:bookmarkEnd w:id="2"/>
      <w:r w:rsidRPr="007D60EA">
        <w:t>Application</w:t>
      </w:r>
    </w:p>
    <w:p w:rsidR="00000000" w:rsidRPr="007D60EA" w:rsidP="001C0235">
      <w:pPr>
        <w:pStyle w:val="BodyText"/>
      </w:pPr>
      <w:r w:rsidRPr="007D60EA">
        <w:t>This unit of competency requires application of skills and knowledge relating to the maintenance, packing and fitting of survival inflatable buoyancy vests. Maintenance includes inspecting, testing, isolating faults, replacing components and cleaning prior</w:t>
      </w:r>
      <w:r w:rsidRPr="007D60EA">
        <w:t xml:space="preserve"> to packing, during the performance of scheduled or unscheduled maintenance. Maintenance may be performed individually or as part of a team.</w:t>
      </w:r>
    </w:p>
    <w:p w:rsidR="00000000" w:rsidRPr="007D60EA" w:rsidP="001C0235">
      <w:pPr>
        <w:pStyle w:val="BodyText"/>
      </w:pPr>
      <w:r w:rsidRPr="007D60EA">
        <w:t>The unit does not include repairing buoyancy vests.</w:t>
      </w:r>
    </w:p>
    <w:p w:rsidR="00000000" w:rsidRPr="007D60EA" w:rsidP="001C0235">
      <w:pPr>
        <w:pStyle w:val="BodyText"/>
      </w:pPr>
      <w:r w:rsidRPr="007D60EA">
        <w:t>The Unit is part of the Aeroskills Life Support and Furnishin</w:t>
      </w:r>
      <w:r w:rsidRPr="007D60EA">
        <w:t>g Certificate III and IV training pathways. It is used in workplaces that operate under the airworthiness regulatory systems of the Australian Defence Force (ADF) and the Civil Aviation Safety Authority (CASA).</w:t>
      </w:r>
    </w:p>
    <w:p w:rsidR="00000000" w:rsidRPr="007D60EA" w:rsidP="007D60EA">
      <w:pPr>
        <w:pStyle w:val="Heading1"/>
      </w:pPr>
      <w:bookmarkStart w:id="3" w:name="O_999268"/>
      <w:bookmarkEnd w:id="3"/>
      <w:r w:rsidRPr="007D60EA">
        <w:t>Pre-requisite Unit</w:t>
      </w:r>
    </w:p>
    <w:tbl>
      <w:tblPr>
        <w:tblW w:w="0" w:type="auto"/>
        <w:tblLayout w:type="fixed"/>
        <w:tblCellMar>
          <w:left w:w="62" w:type="dxa"/>
          <w:right w:w="62" w:type="dxa"/>
        </w:tblCellMar>
        <w:tblLook w:val="0000"/>
      </w:tblPr>
      <w:tblGrid>
        <w:gridCol w:w="1853"/>
        <w:gridCol w:w="6762"/>
      </w:tblGrid>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MEA107</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In</w:t>
            </w:r>
            <w:r w:rsidRPr="007D60EA">
              <w:t>terpret and use aviation maintenance industry manuals and specifications</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MEA118</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Conduct self in the aviation maintenance environment</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MEA154</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Apply work health and safety practices in aviation maintenance</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MEA155</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Plan and organise aviation maintenance work activities</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MEA156</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Apply quality standards during aviation maintenance activities</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MEA157</w:t>
            </w:r>
          </w:p>
        </w:tc>
        <w:tc>
          <w:tcPr>
            <w:tcW w:w="6762"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Complete aviation maintenance industry documentation</w:t>
            </w:r>
          </w:p>
        </w:tc>
      </w:tr>
      <w:tr w:rsidTr="007D60EA">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MEA158</w:t>
            </w:r>
          </w:p>
        </w:tc>
        <w:tc>
          <w:tcPr>
            <w:tcW w:w="6762" w:type="dxa"/>
            <w:tcBorders>
              <w:top w:val="nil"/>
              <w:left w:val="nil"/>
              <w:bottom w:val="nil"/>
              <w:right w:val="nil"/>
            </w:tcBorders>
            <w:tcMar>
              <w:top w:w="0" w:type="dxa"/>
              <w:left w:w="62" w:type="dxa"/>
              <w:bottom w:w="0" w:type="dxa"/>
              <w:right w:w="62" w:type="dxa"/>
            </w:tcMar>
          </w:tcPr>
          <w:p w:rsidR="00000000" w:rsidRPr="007D60EA" w:rsidP="007D60EA">
            <w:pPr>
              <w:pStyle w:val="BodyText"/>
            </w:pPr>
            <w:r w:rsidRPr="007D60EA">
              <w:t>Perform basic hand skills, standard trade practices and funda</w:t>
            </w:r>
            <w:r w:rsidRPr="007D60EA">
              <w:t>mentals in aviation maintenance</w:t>
            </w:r>
          </w:p>
        </w:tc>
      </w:tr>
    </w:tbl>
    <w:p w:rsidR="00000000" w:rsidRPr="007D60EA" w:rsidP="007D60EA">
      <w:pPr>
        <w:pStyle w:val="BodyText"/>
      </w:pPr>
    </w:p>
    <w:p w:rsidR="00000000" w:rsidRPr="007D60EA" w:rsidP="007D60EA">
      <w:pPr>
        <w:pStyle w:val="AllowPageBreak"/>
      </w:pPr>
    </w:p>
    <w:p w:rsidR="00000000" w:rsidRPr="007D60EA" w:rsidP="007D60EA">
      <w:pPr>
        <w:pStyle w:val="Heading1"/>
      </w:pPr>
      <w:bookmarkStart w:id="4" w:name="O_999267"/>
      <w:bookmarkEnd w:id="4"/>
      <w:r w:rsidRPr="007D60EA">
        <w:t>Competency Field</w:t>
      </w:r>
    </w:p>
    <w:p w:rsidR="00000000" w:rsidRPr="007D60EA" w:rsidP="001C0235">
      <w:pPr>
        <w:pStyle w:val="BodyText"/>
      </w:pPr>
      <w:r w:rsidRPr="007D60EA">
        <w:t>Aircraft life support</w:t>
      </w:r>
    </w:p>
    <w:p w:rsidR="00000000" w:rsidRPr="007D60EA" w:rsidP="007D60EA">
      <w:pPr>
        <w:pStyle w:val="Heading1"/>
      </w:pPr>
      <w:bookmarkStart w:id="5" w:name="O_999266"/>
      <w:bookmarkEnd w:id="5"/>
      <w:r w:rsidRPr="007D60EA">
        <w:t>Unit Sector</w:t>
      </w:r>
    </w:p>
    <w:p w:rsidR="00000000" w:rsidRPr="007D60EA" w:rsidP="007D60EA">
      <w:pPr>
        <w:pStyle w:val="Heading1"/>
      </w:pPr>
      <w:bookmarkStart w:id="6" w:name="O_999265"/>
      <w:bookmarkEnd w:id="6"/>
      <w:r w:rsidRPr="007D60EA">
        <w:t>Elements and Performance Criteria</w:t>
      </w:r>
    </w:p>
    <w:tbl>
      <w:tblPr>
        <w:tblW w:w="9386" w:type="dxa"/>
        <w:tblLayout w:type="fixed"/>
        <w:tblCellMar>
          <w:left w:w="62" w:type="dxa"/>
          <w:right w:w="62" w:type="dxa"/>
        </w:tblCellMar>
        <w:tblLook w:val="0000"/>
      </w:tblPr>
      <w:tblGrid>
        <w:gridCol w:w="683"/>
        <w:gridCol w:w="2197"/>
        <w:gridCol w:w="810"/>
        <w:gridCol w:w="5696"/>
      </w:tblGrid>
      <w:tr w:rsidTr="007D60EA">
        <w:tblPrEx>
          <w:tblW w:w="938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Elements describe the essential outcomes.</w:t>
            </w:r>
          </w:p>
        </w:tc>
        <w:tc>
          <w:tcPr>
            <w:tcW w:w="6506" w:type="dxa"/>
            <w:gridSpan w:val="2"/>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Performance criteria describe the performanc</w:t>
            </w:r>
            <w:r w:rsidRPr="007D60EA">
              <w:t xml:space="preserve">e needed to demonstrate achievement of the element. </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w:t>
            </w:r>
          </w:p>
        </w:tc>
        <w:tc>
          <w:tcPr>
            <w:tcW w:w="2197"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Maintain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1.1</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vests and associated ancillary equipment are inspected for serviceability in accordance with standard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1.2</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Identified faults beyond own authority to rectify are reported to supervisor and faulty survival inflatable buoyancy vest and/or ancillary equipment is quarantined</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1.3</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Unserviceable parts of the survival inflatable buoyancy vest and/or ancillary equipme</w:t>
            </w:r>
            <w:r w:rsidRPr="007D60EA">
              <w:t>nt are replaced in accordance with standard procedures while observing all relevant work health and safety (WHS) requirements, including the use of material safety data sheets (MSDS) and items of personal protective equipment (PPE)</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1.4</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is tested for serviceability in accordance with standard procedures and manufacturer’s specifications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1.5</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is cleaned in accordance with standard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1.6</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w:t>
            </w:r>
            <w:r w:rsidRPr="007D60EA">
              <w:t>oyancy vest is presented for inspection by supervisor in accordance with standard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1.7</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Maintenance documentation is completed and processed in accordance with standard enterprise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2.</w:t>
            </w:r>
          </w:p>
        </w:tc>
        <w:tc>
          <w:tcPr>
            <w:tcW w:w="2197"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Pack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2.1</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is packed for use in accordance with standard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2.2</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Ancillary equipment is packed for use in accordance with standard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2.3</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is presented for inspection by superviso</w:t>
            </w:r>
            <w:r w:rsidRPr="007D60EA">
              <w:t>r in accordance with standard enterprise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2.4</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Relevant documentation is completed and processed in accordance with standard enterprise procedures</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w:t>
            </w:r>
          </w:p>
        </w:tc>
        <w:tc>
          <w:tcPr>
            <w:tcW w:w="2197"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Fit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3.1</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Fitting process is explained to the participant so that optimal fit can be achieved through relevant feedback</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3.2</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Participant is measured to select appropriate size survival inflatable buoyancy vest</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3.3</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is adjusted t</w:t>
            </w:r>
            <w:r w:rsidRPr="007D60EA">
              <w:t>o optimise fit</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3.4</w:t>
            </w:r>
          </w:p>
        </w:tc>
        <w:tc>
          <w:tcPr>
            <w:tcW w:w="5696"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Survival inflatable buoyancy vest fit is verified through participant feedback and supervisor approval</w:t>
            </w:r>
          </w:p>
        </w:tc>
      </w:tr>
      <w:tr w:rsidTr="007D60EA">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3.5</w:t>
            </w:r>
          </w:p>
        </w:tc>
        <w:tc>
          <w:tcPr>
            <w:tcW w:w="5696" w:type="dxa"/>
            <w:tcBorders>
              <w:top w:val="nil"/>
              <w:left w:val="nil"/>
              <w:bottom w:val="nil"/>
              <w:right w:val="nil"/>
            </w:tcBorders>
            <w:tcMar>
              <w:top w:w="0" w:type="dxa"/>
              <w:left w:w="62" w:type="dxa"/>
              <w:bottom w:w="0" w:type="dxa"/>
              <w:right w:w="62" w:type="dxa"/>
            </w:tcMar>
          </w:tcPr>
          <w:p w:rsidR="00000000" w:rsidRPr="007D60EA" w:rsidP="007D60EA">
            <w:pPr>
              <w:pStyle w:val="BodyText"/>
            </w:pPr>
            <w:r w:rsidRPr="007D60EA">
              <w:t>Relevant documentation is completed and processed in accordance with standard enterprise procedures</w:t>
            </w:r>
          </w:p>
        </w:tc>
      </w:tr>
    </w:tbl>
    <w:p w:rsidR="00000000" w:rsidRPr="007D60EA" w:rsidP="007D60EA">
      <w:pPr>
        <w:pStyle w:val="BodyText"/>
      </w:pPr>
    </w:p>
    <w:p w:rsidR="00000000" w:rsidRPr="007D60EA" w:rsidP="007D60EA">
      <w:pPr>
        <w:pStyle w:val="AllowPageBreak"/>
      </w:pPr>
    </w:p>
    <w:p w:rsidR="00000000" w:rsidRPr="007D60EA" w:rsidP="007D60EA">
      <w:pPr>
        <w:pStyle w:val="Heading1"/>
      </w:pPr>
      <w:bookmarkStart w:id="7" w:name="O_999264"/>
      <w:bookmarkEnd w:id="7"/>
      <w:r w:rsidRPr="007D60EA">
        <w:t>Foundation Skills</w:t>
      </w:r>
    </w:p>
    <w:p w:rsidR="00000000" w:rsidRPr="007D60EA" w:rsidP="001C0235">
      <w:pPr>
        <w:pStyle w:val="BodyText"/>
      </w:pPr>
      <w:r w:rsidRPr="007D60EA">
        <w:t>Foundation skills essential to performance are explicit in the performance criteria of this unit of competency.</w:t>
      </w:r>
    </w:p>
    <w:p w:rsidR="00000000" w:rsidRPr="007D60EA" w:rsidP="007D60EA">
      <w:pPr>
        <w:pStyle w:val="Heading1"/>
      </w:pPr>
      <w:bookmarkStart w:id="8" w:name="O_999263"/>
      <w:bookmarkEnd w:id="8"/>
      <w:r w:rsidRPr="007D60EA">
        <w:t>Range of Conditions</w:t>
      </w:r>
    </w:p>
    <w:tbl>
      <w:tblPr>
        <w:tblW w:w="0" w:type="auto"/>
        <w:tblLayout w:type="fixed"/>
        <w:tblCellMar>
          <w:left w:w="62" w:type="dxa"/>
          <w:right w:w="62" w:type="dxa"/>
        </w:tblCellMar>
        <w:tblLook w:val="0000"/>
      </w:tblPr>
      <w:tblGrid>
        <w:gridCol w:w="3150"/>
        <w:gridCol w:w="5922"/>
      </w:tblGrid>
      <w:tr w:rsidTr="007D6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t>This field allows for different work environments and conditions that may affect performa</w:t>
            </w:r>
            <w:r w:rsidRPr="007D60EA">
              <w:t>nce. Essential operating conditions that may be present (depending on the work situation, needs of the candidate, accessibility of the item, and local industry and regional contexts) are included.</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Applicable survival inflatable buoyancy vests include:</w:t>
            </w:r>
          </w:p>
        </w:tc>
        <w:tc>
          <w:tcPr>
            <w:tcW w:w="5922" w:type="dxa"/>
            <w:tcBorders>
              <w:top w:val="nil"/>
              <w:left w:val="nil"/>
              <w:bottom w:val="nil"/>
              <w:right w:val="nil"/>
            </w:tcBorders>
            <w:tcMar>
              <w:top w:w="0" w:type="dxa"/>
              <w:left w:w="62" w:type="dxa"/>
              <w:bottom w:w="0" w:type="dxa"/>
              <w:right w:w="62" w:type="dxa"/>
            </w:tcMar>
          </w:tcPr>
          <w:p w:rsidR="00000000" w:rsidP="007D60EA">
            <w:pPr>
              <w:pStyle w:val="ListBullet"/>
              <w:rPr>
                <w:lang w:val="en-NZ"/>
              </w:rPr>
            </w:pPr>
            <w:r w:rsidRPr="007D60EA">
              <w:t>S</w:t>
            </w:r>
            <w:r w:rsidRPr="007D60EA">
              <w:t>ecumar AUS2</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Ancillary equipment includes:</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Electronic locating devices</w:t>
            </w:r>
          </w:p>
          <w:p w:rsidR="00000000" w:rsidRPr="007D60EA" w:rsidP="007D60EA">
            <w:pPr>
              <w:pStyle w:val="ListBullet"/>
            </w:pPr>
            <w:r w:rsidRPr="007D60EA">
              <w:t>Lighting devices</w:t>
            </w:r>
          </w:p>
          <w:p w:rsidR="00000000" w:rsidRPr="007D60EA" w:rsidP="007D60EA">
            <w:pPr>
              <w:pStyle w:val="ListBullet"/>
            </w:pPr>
            <w:r w:rsidRPr="007D60EA">
              <w:t>Pyrotechnics</w:t>
            </w:r>
          </w:p>
          <w:p w:rsidR="00000000" w:rsidRPr="007D60EA" w:rsidP="007D60EA">
            <w:pPr>
              <w:pStyle w:val="ListBullet"/>
            </w:pPr>
            <w:r w:rsidRPr="007D60EA">
              <w:t>Rations</w:t>
            </w:r>
          </w:p>
          <w:p w:rsidR="00000000" w:rsidRPr="007D60EA" w:rsidP="007D60EA">
            <w:pPr>
              <w:pStyle w:val="ListBullet"/>
            </w:pPr>
            <w:r w:rsidRPr="007D60EA">
              <w:t>Survival/location aids</w:t>
            </w:r>
          </w:p>
          <w:p w:rsidR="00000000" w:rsidP="007D60EA">
            <w:pPr>
              <w:pStyle w:val="ListBullet"/>
              <w:rPr>
                <w:lang w:val="en-NZ"/>
              </w:rPr>
            </w:pPr>
            <w:r w:rsidRPr="007D60EA">
              <w:t>Water</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Commonwealth/state/territory WHS legislation, regulations and codes</w:t>
            </w:r>
          </w:p>
          <w:p w:rsidR="00000000" w:rsidRPr="007D60EA" w:rsidP="007D60EA">
            <w:pPr>
              <w:pStyle w:val="ListBullet"/>
            </w:pPr>
            <w:r w:rsidRPr="007D60EA">
              <w:t>Australian Standards</w:t>
            </w:r>
          </w:p>
          <w:p w:rsidR="00000000" w:rsidRPr="007D60EA" w:rsidP="007D60EA">
            <w:pPr>
              <w:pStyle w:val="ListBullet"/>
            </w:pPr>
            <w:r w:rsidRPr="007D60EA">
              <w:t>Equipment manufacturers’ specifications and procedures</w:t>
            </w:r>
          </w:p>
          <w:p w:rsidR="00000000" w:rsidRPr="007D60EA" w:rsidP="007D60EA">
            <w:pPr>
              <w:pStyle w:val="ListBullet"/>
            </w:pPr>
            <w:r w:rsidRPr="007D60EA">
              <w:t>Industry practices</w:t>
            </w:r>
          </w:p>
          <w:p w:rsidR="00000000" w:rsidRPr="007D60EA" w:rsidP="007D60EA">
            <w:pPr>
              <w:pStyle w:val="ListBullet"/>
            </w:pPr>
            <w:r w:rsidRPr="007D60EA">
              <w:t>Safety manuals</w:t>
            </w:r>
          </w:p>
          <w:p w:rsidR="00000000" w:rsidRPr="007D60EA" w:rsidP="007D60EA">
            <w:pPr>
              <w:pStyle w:val="ListBullet"/>
            </w:pPr>
            <w:r w:rsidRPr="007D60EA">
              <w:t>Maintenance schedules</w:t>
            </w:r>
          </w:p>
          <w:p w:rsidR="00000000" w:rsidRPr="007D60EA" w:rsidP="007D60EA">
            <w:pPr>
              <w:pStyle w:val="ListBullet"/>
            </w:pPr>
            <w:r w:rsidRPr="007D60EA">
              <w:t>Work instructions</w:t>
            </w:r>
          </w:p>
          <w:p w:rsidR="00000000" w:rsidRPr="007D60EA" w:rsidP="007D60EA">
            <w:pPr>
              <w:pStyle w:val="ListBullet"/>
            </w:pPr>
            <w:r w:rsidRPr="007D60EA">
              <w:t>Maintenance organisation manuals</w:t>
            </w:r>
          </w:p>
          <w:p w:rsidR="00000000" w:rsidRPr="007D60EA" w:rsidP="007D60EA">
            <w:pPr>
              <w:pStyle w:val="ListBullet"/>
            </w:pPr>
            <w:r w:rsidRPr="007D60EA">
              <w:t>MSDS</w:t>
            </w:r>
          </w:p>
          <w:p w:rsidR="00000000" w:rsidRPr="007D60EA" w:rsidP="007D60EA">
            <w:pPr>
              <w:pStyle w:val="ListBullet"/>
            </w:pPr>
            <w:r w:rsidRPr="007D60EA">
              <w:t>Defence regulations and instructions</w:t>
            </w:r>
          </w:p>
          <w:p w:rsidR="00000000" w:rsidRPr="007D60EA" w:rsidP="007D60EA">
            <w:pPr>
              <w:pStyle w:val="ListBullet"/>
            </w:pPr>
            <w:r w:rsidRPr="007D60EA">
              <w:t>Civil Aviation Safety Regulations (CASRs) and advisory material</w:t>
            </w:r>
          </w:p>
          <w:p w:rsidR="00000000" w:rsidP="007D60EA">
            <w:pPr>
              <w:pStyle w:val="ListBullet"/>
              <w:rPr>
                <w:lang w:val="en-NZ"/>
              </w:rPr>
            </w:pPr>
            <w:r w:rsidRPr="007D60EA">
              <w:t>Standing instructions</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Abrasion</w:t>
            </w:r>
          </w:p>
          <w:p w:rsidR="00000000" w:rsidRPr="007D60EA" w:rsidP="007D60EA">
            <w:pPr>
              <w:pStyle w:val="ListBullet"/>
            </w:pPr>
            <w:r w:rsidRPr="007D60EA">
              <w:t>Broken stitching</w:t>
            </w:r>
          </w:p>
          <w:p w:rsidR="00000000" w:rsidRPr="007D60EA" w:rsidP="007D60EA">
            <w:pPr>
              <w:pStyle w:val="ListBullet"/>
            </w:pPr>
            <w:r w:rsidRPr="007D60EA">
              <w:t>Contamination</w:t>
            </w:r>
          </w:p>
          <w:p w:rsidR="00000000" w:rsidRPr="007D60EA" w:rsidP="007D60EA">
            <w:pPr>
              <w:pStyle w:val="ListBullet"/>
            </w:pPr>
            <w:r w:rsidRPr="007D60EA">
              <w:t xml:space="preserve">Corrosion of metal parts </w:t>
            </w:r>
          </w:p>
          <w:p w:rsidR="00000000" w:rsidRPr="007D60EA" w:rsidP="007D60EA">
            <w:pPr>
              <w:pStyle w:val="ListBullet"/>
            </w:pPr>
            <w:r w:rsidRPr="007D60EA">
              <w:t>Damaged hardware</w:t>
            </w:r>
          </w:p>
          <w:p w:rsidR="00000000" w:rsidRPr="007D60EA" w:rsidP="007D60EA">
            <w:pPr>
              <w:pStyle w:val="ListBullet"/>
            </w:pPr>
            <w:r w:rsidRPr="007D60EA">
              <w:t>Delamination/porosity</w:t>
            </w:r>
          </w:p>
          <w:p w:rsidR="00000000" w:rsidRPr="007D60EA" w:rsidP="007D60EA">
            <w:pPr>
              <w:pStyle w:val="ListBullet"/>
            </w:pPr>
            <w:r w:rsidRPr="007D60EA">
              <w:t>Expired components or equipment</w:t>
            </w:r>
          </w:p>
          <w:p w:rsidR="00000000" w:rsidRPr="007D60EA" w:rsidP="007D60EA">
            <w:pPr>
              <w:pStyle w:val="ListBullet"/>
            </w:pPr>
            <w:r w:rsidRPr="007D60EA">
              <w:t>Faulty valves</w:t>
            </w:r>
          </w:p>
          <w:p w:rsidR="00000000" w:rsidRPr="007D60EA" w:rsidP="007D60EA">
            <w:pPr>
              <w:pStyle w:val="ListBullet"/>
            </w:pPr>
            <w:r w:rsidRPr="007D60EA">
              <w:t>Frayed lines</w:t>
            </w:r>
          </w:p>
          <w:p w:rsidR="00000000" w:rsidRPr="007D60EA" w:rsidP="007D60EA">
            <w:pPr>
              <w:pStyle w:val="ListBullet"/>
            </w:pPr>
            <w:r w:rsidRPr="007D60EA">
              <w:t>Holes</w:t>
            </w:r>
          </w:p>
          <w:p w:rsidR="00000000" w:rsidRPr="007D60EA" w:rsidP="007D60EA">
            <w:pPr>
              <w:pStyle w:val="ListBullet"/>
            </w:pPr>
            <w:r w:rsidRPr="007D60EA">
              <w:t>Incorrect manufacture</w:t>
            </w:r>
          </w:p>
          <w:p w:rsidR="00000000" w:rsidRPr="007D60EA" w:rsidP="007D60EA">
            <w:pPr>
              <w:pStyle w:val="ListBullet"/>
            </w:pPr>
            <w:r w:rsidRPr="007D60EA">
              <w:t>Lifting tapes</w:t>
            </w:r>
          </w:p>
          <w:p w:rsidR="00000000" w:rsidP="007D60EA">
            <w:pPr>
              <w:pStyle w:val="ListBullet"/>
              <w:rPr>
                <w:lang w:val="en-NZ"/>
              </w:rPr>
            </w:pPr>
            <w:r w:rsidRPr="007D60EA">
              <w:t>Ultraviolet (UV) degradation</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Buoyancy chambers</w:t>
            </w:r>
          </w:p>
          <w:p w:rsidR="00000000" w:rsidRPr="007D60EA" w:rsidP="007D60EA">
            <w:pPr>
              <w:pStyle w:val="ListBullet"/>
            </w:pPr>
            <w:r w:rsidRPr="007D60EA">
              <w:t>Cylinders</w:t>
            </w:r>
          </w:p>
          <w:p w:rsidR="00000000" w:rsidRPr="007D60EA" w:rsidP="007D60EA">
            <w:pPr>
              <w:pStyle w:val="ListBullet"/>
            </w:pPr>
            <w:r w:rsidRPr="007D60EA">
              <w:t>Hardware</w:t>
            </w:r>
          </w:p>
          <w:p w:rsidR="00000000" w:rsidRPr="007D60EA" w:rsidP="007D60EA">
            <w:pPr>
              <w:pStyle w:val="ListBullet"/>
            </w:pPr>
            <w:r w:rsidRPr="007D60EA">
              <w:t>Operating head</w:t>
            </w:r>
          </w:p>
          <w:p w:rsidR="00000000" w:rsidRPr="007D60EA" w:rsidP="007D60EA">
            <w:pPr>
              <w:pStyle w:val="ListBullet"/>
            </w:pPr>
            <w:r w:rsidRPr="007D60EA">
              <w:t>Valves</w:t>
            </w:r>
          </w:p>
          <w:p w:rsidR="00000000" w:rsidRPr="007D60EA" w:rsidP="007D60EA">
            <w:pPr>
              <w:pStyle w:val="ListBullet"/>
            </w:pPr>
            <w:r w:rsidRPr="007D60EA">
              <w:t>Valise</w:t>
            </w:r>
          </w:p>
          <w:p w:rsidR="00000000" w:rsidP="007D60EA">
            <w:pPr>
              <w:pStyle w:val="ListBullet"/>
              <w:rPr>
                <w:lang w:val="en-NZ"/>
              </w:rPr>
            </w:pPr>
            <w:r w:rsidRPr="007D60EA">
              <w:t>Zippers</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Checking ancillary equipment (e.g. electronic locating devices and survival/location aids</w:t>
            </w:r>
          </w:p>
          <w:p w:rsidR="00000000" w:rsidRPr="007D60EA" w:rsidP="007D60EA">
            <w:pPr>
              <w:pStyle w:val="ListBullet"/>
            </w:pPr>
            <w:r w:rsidRPr="007D60EA">
              <w:t>Cylinder weight tolerance</w:t>
            </w:r>
          </w:p>
          <w:p w:rsidR="00000000" w:rsidRPr="007D60EA" w:rsidP="007D60EA">
            <w:pPr>
              <w:pStyle w:val="ListBullet"/>
            </w:pPr>
            <w:r w:rsidRPr="007D60EA">
              <w:t>Inflation tests</w:t>
            </w:r>
          </w:p>
          <w:p w:rsidR="00000000" w:rsidP="007D60EA">
            <w:pPr>
              <w:pStyle w:val="ListBullet"/>
              <w:rPr>
                <w:lang w:val="en-NZ"/>
              </w:rPr>
            </w:pPr>
            <w:r w:rsidRPr="007D60EA">
              <w:t>Light and battery test</w:t>
            </w:r>
          </w:p>
        </w:tc>
      </w:tr>
      <w:tr w:rsidTr="007D60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D60EA">
            <w:pPr>
              <w:pStyle w:val="BodyText"/>
              <w:rPr>
                <w:lang w:val="en-NZ"/>
              </w:rPr>
            </w:pPr>
            <w:r w:rsidRPr="007D60EA">
              <w:rPr>
                <w:rStyle w:val="SpecialBold"/>
              </w:rPr>
              <w:t>Adjustment to vest includes:</w:t>
            </w:r>
          </w:p>
        </w:tc>
        <w:tc>
          <w:tcPr>
            <w:tcW w:w="5922" w:type="dxa"/>
            <w:tcBorders>
              <w:top w:val="nil"/>
              <w:left w:val="nil"/>
              <w:bottom w:val="nil"/>
              <w:right w:val="nil"/>
            </w:tcBorders>
            <w:tcMar>
              <w:top w:w="0" w:type="dxa"/>
              <w:left w:w="62" w:type="dxa"/>
              <w:bottom w:w="0" w:type="dxa"/>
              <w:right w:w="62" w:type="dxa"/>
            </w:tcMar>
          </w:tcPr>
          <w:p w:rsidR="00000000" w:rsidRPr="007D60EA" w:rsidP="007D60EA">
            <w:pPr>
              <w:pStyle w:val="ListBullet"/>
            </w:pPr>
            <w:r w:rsidRPr="007D60EA">
              <w:t>Breast height</w:t>
            </w:r>
          </w:p>
          <w:p w:rsidR="00000000" w:rsidRPr="007D60EA" w:rsidP="007D60EA">
            <w:pPr>
              <w:pStyle w:val="ListBullet"/>
            </w:pPr>
            <w:r w:rsidRPr="007D60EA">
              <w:t>Chest</w:t>
            </w:r>
          </w:p>
          <w:p w:rsidR="00000000" w:rsidRPr="007D60EA" w:rsidP="007D60EA">
            <w:pPr>
              <w:pStyle w:val="ListBullet"/>
            </w:pPr>
            <w:r w:rsidRPr="007D60EA">
              <w:t>Waist</w:t>
            </w:r>
          </w:p>
        </w:tc>
      </w:tr>
    </w:tbl>
    <w:p w:rsidR="00000000" w:rsidRPr="007D60EA" w:rsidP="007D60EA">
      <w:pPr>
        <w:pStyle w:val="BodyText"/>
      </w:pPr>
    </w:p>
    <w:p w:rsidR="00000000" w:rsidRPr="007D60EA" w:rsidP="007D60EA">
      <w:pPr>
        <w:pStyle w:val="AllowPageBreak"/>
      </w:pPr>
    </w:p>
    <w:p w:rsidR="00000000" w:rsidRPr="007D60EA" w:rsidP="007D60EA">
      <w:pPr>
        <w:pStyle w:val="Heading1"/>
      </w:pPr>
      <w:bookmarkStart w:id="9" w:name="O_999262"/>
      <w:bookmarkEnd w:id="9"/>
      <w:r w:rsidRPr="007D60EA">
        <w:t>Unit Mapping Information</w:t>
      </w:r>
    </w:p>
    <w:p w:rsidR="00000000" w:rsidRPr="007D60EA" w:rsidP="001C0235">
      <w:pPr>
        <w:pStyle w:val="BodyText"/>
      </w:pPr>
      <w:r w:rsidRPr="007D60EA">
        <w:t>Release 2. Equivalent to MEA507 Maintain, pack and fit survival inflatable buoyancy vests</w:t>
      </w:r>
    </w:p>
    <w:p w:rsidR="00000000" w:rsidRPr="007D60EA" w:rsidP="007D60EA">
      <w:pPr>
        <w:pStyle w:val="Heading1"/>
      </w:pPr>
      <w:bookmarkStart w:id="10" w:name="O_999271"/>
      <w:bookmarkEnd w:id="10"/>
      <w:r w:rsidRPr="007D60EA">
        <w:t>Links</w:t>
      </w:r>
    </w:p>
    <w:p w:rsidR="00000000" w:rsidRPr="007D60EA" w:rsidP="001C0235">
      <w:pPr>
        <w:pStyle w:val="BodyText"/>
      </w:pPr>
      <w:r w:rsidRPr="007D60E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F1A2F">
        <w:rPr>
          <w:rStyle w:val="Hyperlink"/>
        </w:rPr>
        <w:t>https://vetnet.education.gov.au/Pages/TrainingDocs.aspx?q=ce216c9c-04d5-4b3b-9bcf-4e81d0950371</w:t>
      </w:r>
      <w:r>
        <w:fldChar w:fldCharType="end"/>
      </w:r>
    </w:p>
    <w:p w:rsidR="00000000" w:rsidRPr="007D60EA" w:rsidP="007D60EA"/>
    <w:sectPr w:rsidSect="007D6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EA" w:rsidRPr="001C0235" w:rsidP="001C0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35" w:rsidP="007D6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235" w:rsidP="007D60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0235" w:rsidP="007D6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0EA" w:rsidRPr="001C0235" w:rsidP="001C0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35" w:rsidRPr="002D2AF8" w:rsidP="007D60EA">
    <w:pPr>
      <w:pStyle w:val="Header"/>
      <w:framePr w:wrap="around"/>
    </w:pPr>
    <w:r>
      <w:fldChar w:fldCharType="begin"/>
    </w:r>
    <w:r>
      <w:instrText xml:space="preserve"> TITLE   \* MERGEFORMAT </w:instrText>
    </w:r>
    <w:r>
      <w:fldChar w:fldCharType="separate"/>
    </w:r>
    <w:r>
      <w:t>MEA507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C0235" w:rsidP="007D6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662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41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0EA"/>
    <w:pPr>
      <w:spacing w:before="360" w:after="60"/>
      <w:outlineLvl w:val="0"/>
    </w:pPr>
    <w:rPr>
      <w:sz w:val="32"/>
    </w:rPr>
  </w:style>
  <w:style w:type="paragraph" w:styleId="Heading2">
    <w:name w:val="heading 2"/>
    <w:basedOn w:val="HeadingBase"/>
    <w:next w:val="BodyText"/>
    <w:link w:val="Heading2Char"/>
    <w:qFormat/>
    <w:rsid w:val="007D60EA"/>
    <w:pPr>
      <w:keepLines/>
      <w:spacing w:before="240" w:after="120"/>
      <w:outlineLvl w:val="1"/>
    </w:pPr>
    <w:rPr>
      <w:sz w:val="28"/>
      <w:szCs w:val="40"/>
    </w:rPr>
  </w:style>
  <w:style w:type="paragraph" w:styleId="Heading3">
    <w:name w:val="heading 3"/>
    <w:basedOn w:val="HeadingBase"/>
    <w:next w:val="BodyText"/>
    <w:link w:val="Heading3Char"/>
    <w:qFormat/>
    <w:rsid w:val="007D60EA"/>
    <w:pPr>
      <w:spacing w:before="180" w:after="120"/>
      <w:outlineLvl w:val="2"/>
    </w:pPr>
    <w:rPr>
      <w:spacing w:val="-10"/>
      <w:kern w:val="32"/>
    </w:rPr>
  </w:style>
  <w:style w:type="paragraph" w:styleId="Heading4">
    <w:name w:val="heading 4"/>
    <w:basedOn w:val="HeadingBase"/>
    <w:next w:val="BodyText"/>
    <w:link w:val="Heading4Char"/>
    <w:qFormat/>
    <w:rsid w:val="007D60EA"/>
    <w:pPr>
      <w:spacing w:before="160" w:after="120"/>
      <w:outlineLvl w:val="3"/>
    </w:pPr>
    <w:rPr>
      <w:sz w:val="22"/>
    </w:rPr>
  </w:style>
  <w:style w:type="paragraph" w:styleId="Heading5">
    <w:name w:val="heading 5"/>
    <w:basedOn w:val="HeadingBase"/>
    <w:next w:val="Normal"/>
    <w:link w:val="Heading5Char"/>
    <w:qFormat/>
    <w:rsid w:val="007D60EA"/>
    <w:pPr>
      <w:spacing w:before="80"/>
      <w:outlineLvl w:val="4"/>
    </w:pPr>
    <w:rPr>
      <w:color w:val="918585"/>
      <w:sz w:val="20"/>
    </w:rPr>
  </w:style>
  <w:style w:type="paragraph" w:styleId="Heading6">
    <w:name w:val="heading 6"/>
    <w:basedOn w:val="HeadingBase"/>
    <w:next w:val="Normal"/>
    <w:link w:val="Heading6Char"/>
    <w:qFormat/>
    <w:rsid w:val="007D60EA"/>
    <w:pPr>
      <w:spacing w:before="60"/>
      <w:outlineLvl w:val="5"/>
    </w:pPr>
    <w:rPr>
      <w:color w:val="918585"/>
      <w:sz w:val="20"/>
    </w:rPr>
  </w:style>
  <w:style w:type="paragraph" w:styleId="Heading7">
    <w:name w:val="heading 7"/>
    <w:basedOn w:val="Normal"/>
    <w:next w:val="Normal"/>
    <w:link w:val="Heading7Char"/>
    <w:qFormat/>
    <w:rsid w:val="007D60EA"/>
    <w:pPr>
      <w:ind w:left="720"/>
      <w:outlineLvl w:val="6"/>
    </w:pPr>
    <w:rPr>
      <w:i/>
    </w:rPr>
  </w:style>
  <w:style w:type="paragraph" w:styleId="Heading8">
    <w:name w:val="heading 8"/>
    <w:basedOn w:val="Normal"/>
    <w:next w:val="Normal"/>
    <w:link w:val="Heading8Char"/>
    <w:qFormat/>
    <w:rsid w:val="007D60EA"/>
    <w:pPr>
      <w:ind w:left="720"/>
      <w:outlineLvl w:val="7"/>
    </w:pPr>
    <w:rPr>
      <w:i/>
    </w:rPr>
  </w:style>
  <w:style w:type="paragraph" w:styleId="Heading9">
    <w:name w:val="heading 9"/>
    <w:basedOn w:val="Normal"/>
    <w:next w:val="Normal"/>
    <w:link w:val="Heading9Char"/>
    <w:qFormat/>
    <w:rsid w:val="007D60EA"/>
    <w:pPr>
      <w:ind w:left="720"/>
      <w:outlineLvl w:val="8"/>
    </w:pPr>
    <w:rPr>
      <w:i/>
    </w:rPr>
  </w:style>
  <w:style w:type="character" w:default="1" w:styleId="DefaultParagraphFont">
    <w:name w:val="Default Paragraph Font"/>
    <w:uiPriority w:val="1"/>
    <w:unhideWhenUsed/>
    <w:rsid w:val="007D6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0EA"/>
  </w:style>
  <w:style w:type="character" w:customStyle="1" w:styleId="Heading1Char">
    <w:name w:val="Heading 1 Char"/>
    <w:basedOn w:val="DefaultParagraphFont"/>
    <w:link w:val="Heading1"/>
    <w:rsid w:val="007D60EA"/>
    <w:rPr>
      <w:rFonts w:ascii="Times New Roman" w:eastAsia="Times New Roman" w:hAnsi="Times New Roman" w:cs="Times New Roman"/>
      <w:b/>
      <w:sz w:val="32"/>
      <w:szCs w:val="20"/>
      <w:lang w:eastAsia="en-US"/>
    </w:rPr>
  </w:style>
  <w:style w:type="paragraph" w:styleId="BodyText">
    <w:name w:val="Body Text"/>
    <w:basedOn w:val="Normal"/>
    <w:link w:val="BodyTextChar"/>
    <w:rsid w:val="007D6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0EA"/>
    <w:rPr>
      <w:rFonts w:ascii="Times New Roman" w:eastAsia="Times New Roman" w:hAnsi="Times New Roman" w:cs="Times New Roman"/>
      <w:sz w:val="24"/>
      <w:lang w:eastAsia="en-US"/>
    </w:rPr>
  </w:style>
  <w:style w:type="paragraph" w:styleId="ListBullet">
    <w:name w:val="List Bullet"/>
    <w:basedOn w:val="List"/>
    <w:rsid w:val="007D60EA"/>
    <w:pPr>
      <w:numPr>
        <w:numId w:val="11"/>
      </w:numPr>
      <w:tabs>
        <w:tab w:val="clear" w:pos="340"/>
      </w:tabs>
      <w:spacing w:before="40" w:after="40"/>
    </w:pPr>
  </w:style>
  <w:style w:type="character" w:customStyle="1" w:styleId="SpecialBold">
    <w:name w:val="Special Bold"/>
    <w:basedOn w:val="DefaultParagraphFont"/>
    <w:rsid w:val="007D60EA"/>
    <w:rPr>
      <w:b/>
      <w:spacing w:val="0"/>
    </w:rPr>
  </w:style>
  <w:style w:type="paragraph" w:customStyle="1" w:styleId="SuperHeading">
    <w:name w:val="SuperHeading"/>
    <w:basedOn w:val="Normal"/>
    <w:rsid w:val="007D60EA"/>
    <w:pPr>
      <w:spacing w:before="240" w:after="120"/>
      <w:outlineLvl w:val="0"/>
    </w:pPr>
    <w:rPr>
      <w:rFonts w:ascii="Times New Roman" w:hAnsi="Times New Roman"/>
      <w:b/>
      <w:sz w:val="32"/>
    </w:rPr>
  </w:style>
  <w:style w:type="paragraph" w:customStyle="1" w:styleId="AllowPageBreak">
    <w:name w:val="AllowPageBreak"/>
    <w:rsid w:val="007D6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0EA"/>
    <w:rPr>
      <w:rFonts w:ascii="Courier New" w:eastAsia="Times New Roman" w:hAnsi="Courier New" w:cs="Times New Roman"/>
      <w:i/>
      <w:szCs w:val="20"/>
      <w:lang w:eastAsia="en-US"/>
    </w:rPr>
  </w:style>
  <w:style w:type="paragraph" w:customStyle="1" w:styleId="HeadingBase">
    <w:name w:val="Heading Base"/>
    <w:rsid w:val="007D6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0EA"/>
    <w:pPr>
      <w:tabs>
        <w:tab w:val="right" w:leader="dot" w:pos="9072"/>
      </w:tabs>
      <w:ind w:left="567"/>
    </w:pPr>
    <w:rPr>
      <w:szCs w:val="22"/>
    </w:rPr>
  </w:style>
  <w:style w:type="paragraph" w:customStyle="1" w:styleId="TOCBase">
    <w:name w:val="TOC Base"/>
    <w:rsid w:val="007D6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0EA"/>
    <w:pPr>
      <w:tabs>
        <w:tab w:val="right" w:leader="dot" w:pos="9072"/>
      </w:tabs>
      <w:spacing w:before="40" w:after="40"/>
      <w:ind w:left="284"/>
    </w:pPr>
    <w:rPr>
      <w:rFonts w:ascii="Times New Roman" w:hAnsi="Times New Roman"/>
    </w:rPr>
  </w:style>
  <w:style w:type="paragraph" w:styleId="TOC1">
    <w:name w:val="toc 1"/>
    <w:basedOn w:val="TOCBase"/>
    <w:next w:val="Normal"/>
    <w:rsid w:val="007D6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0EA"/>
    <w:rPr>
      <w:rFonts w:ascii="Times New Roman" w:eastAsia="Times New Roman" w:hAnsi="Times New Roman" w:cs="Times New Roman"/>
      <w:sz w:val="16"/>
      <w:lang w:eastAsia="en-US"/>
    </w:rPr>
  </w:style>
  <w:style w:type="paragraph" w:styleId="Title">
    <w:name w:val="Title"/>
    <w:basedOn w:val="HeadingBase"/>
    <w:link w:val="TitleChar"/>
    <w:qFormat/>
    <w:rsid w:val="007D60EA"/>
    <w:pPr>
      <w:spacing w:before="5040"/>
      <w:jc w:val="center"/>
    </w:pPr>
    <w:rPr>
      <w:sz w:val="48"/>
      <w:szCs w:val="72"/>
      <w:lang w:val="en-US"/>
    </w:rPr>
  </w:style>
  <w:style w:type="character" w:customStyle="1" w:styleId="TitleChar">
    <w:name w:val="Title Char"/>
    <w:basedOn w:val="DefaultParagraphFont"/>
    <w:link w:val="Title"/>
    <w:rsid w:val="007D6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0EA"/>
    <w:pPr>
      <w:tabs>
        <w:tab w:val="left" w:pos="3600"/>
        <w:tab w:val="left" w:pos="3958"/>
      </w:tabs>
    </w:pPr>
  </w:style>
  <w:style w:type="paragraph" w:styleId="List">
    <w:name w:val="List"/>
    <w:basedOn w:val="BodyText"/>
    <w:next w:val="BodyText"/>
    <w:rsid w:val="007D60EA"/>
    <w:pPr>
      <w:tabs>
        <w:tab w:val="left" w:pos="340"/>
      </w:tabs>
      <w:spacing w:before="60" w:after="60"/>
      <w:ind w:left="340" w:hanging="340"/>
    </w:pPr>
  </w:style>
  <w:style w:type="paragraph" w:customStyle="1" w:styleId="Note">
    <w:name w:val="Note"/>
    <w:basedOn w:val="BodyText"/>
    <w:rsid w:val="007D6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0EA"/>
    <w:pPr>
      <w:framePr w:wrap="auto" w:hAnchor="text" w:y="6049"/>
    </w:pPr>
    <w:rPr>
      <w:color w:val="000000"/>
      <w:sz w:val="40"/>
    </w:rPr>
  </w:style>
  <w:style w:type="paragraph" w:customStyle="1" w:styleId="TOCTitle">
    <w:name w:val="TOCTitle"/>
    <w:basedOn w:val="Heading1"/>
    <w:rsid w:val="007D60EA"/>
    <w:pPr>
      <w:spacing w:after="240"/>
      <w:jc w:val="center"/>
      <w:outlineLvl w:val="9"/>
    </w:pPr>
    <w:rPr>
      <w:caps/>
    </w:rPr>
  </w:style>
  <w:style w:type="paragraph" w:customStyle="1" w:styleId="Version">
    <w:name w:val="Version"/>
    <w:rsid w:val="007D6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0EA"/>
    <w:pPr>
      <w:numPr>
        <w:numId w:val="12"/>
      </w:numPr>
      <w:tabs>
        <w:tab w:val="clear" w:pos="680"/>
      </w:tabs>
    </w:pPr>
  </w:style>
  <w:style w:type="paragraph" w:styleId="Index1">
    <w:name w:val="index 1"/>
    <w:basedOn w:val="Normal"/>
    <w:next w:val="Normal"/>
    <w:semiHidden/>
    <w:rsid w:val="007D60EA"/>
    <w:pPr>
      <w:keepNext w:val="0"/>
      <w:tabs>
        <w:tab w:val="right" w:pos="4176"/>
      </w:tabs>
      <w:ind w:left="198" w:hanging="198"/>
    </w:pPr>
    <w:rPr>
      <w:rFonts w:ascii="Garamond" w:hAnsi="Garamond"/>
    </w:rPr>
  </w:style>
  <w:style w:type="paragraph" w:styleId="IndexHeading">
    <w:name w:val="index heading"/>
    <w:basedOn w:val="Normal"/>
    <w:next w:val="Index1"/>
    <w:semiHidden/>
    <w:rsid w:val="007D60EA"/>
    <w:pPr>
      <w:spacing w:before="120" w:after="120"/>
    </w:pPr>
    <w:rPr>
      <w:rFonts w:ascii="Arial" w:hAnsi="Arial"/>
      <w:b/>
      <w:color w:val="918585"/>
      <w:sz w:val="24"/>
    </w:rPr>
  </w:style>
  <w:style w:type="paragraph" w:styleId="Header">
    <w:name w:val="header"/>
    <w:basedOn w:val="Normal"/>
    <w:link w:val="HeaderChar"/>
    <w:rsid w:val="007D6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0EA"/>
    <w:rPr>
      <w:rFonts w:ascii="Times New Roman" w:eastAsia="Times New Roman" w:hAnsi="Times New Roman" w:cs="Times New Roman"/>
      <w:sz w:val="16"/>
      <w:szCs w:val="20"/>
      <w:lang w:val="en-GB" w:eastAsia="en-US"/>
    </w:rPr>
  </w:style>
  <w:style w:type="paragraph" w:customStyle="1" w:styleId="Chapter">
    <w:name w:val="Chapter"/>
    <w:basedOn w:val="Normal"/>
    <w:rsid w:val="007D60EA"/>
    <w:pPr>
      <w:spacing w:before="240"/>
    </w:pPr>
    <w:rPr>
      <w:rFonts w:ascii="Times New Roman" w:hAnsi="Times New Roman"/>
      <w:smallCaps/>
      <w:spacing w:val="80"/>
      <w:sz w:val="28"/>
    </w:rPr>
  </w:style>
  <w:style w:type="paragraph" w:customStyle="1" w:styleId="InChapter">
    <w:name w:val="InChapter"/>
    <w:basedOn w:val="Heading3"/>
    <w:rsid w:val="007D60EA"/>
    <w:pPr>
      <w:spacing w:after="240"/>
      <w:outlineLvl w:val="9"/>
    </w:pPr>
    <w:rPr>
      <w:noProof/>
    </w:rPr>
  </w:style>
  <w:style w:type="paragraph" w:styleId="Index2">
    <w:name w:val="index 2"/>
    <w:basedOn w:val="Normal"/>
    <w:next w:val="Normal"/>
    <w:semiHidden/>
    <w:rsid w:val="007D60EA"/>
    <w:pPr>
      <w:tabs>
        <w:tab w:val="right" w:pos="4176"/>
      </w:tabs>
      <w:ind w:left="568" w:hanging="284"/>
    </w:pPr>
    <w:rPr>
      <w:rFonts w:ascii="Garamond" w:hAnsi="Garamond"/>
    </w:rPr>
  </w:style>
  <w:style w:type="paragraph" w:customStyle="1" w:styleId="Byline">
    <w:name w:val="Byline"/>
    <w:rsid w:val="007D6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0EA"/>
    <w:pPr>
      <w:tabs>
        <w:tab w:val="clear" w:pos="3600"/>
        <w:tab w:val="clear" w:pos="3958"/>
      </w:tabs>
      <w:jc w:val="right"/>
    </w:pPr>
  </w:style>
  <w:style w:type="character" w:styleId="Emphasis">
    <w:name w:val="Emphasis"/>
    <w:basedOn w:val="DefaultParagraphFont"/>
    <w:qFormat/>
    <w:rsid w:val="007D60EA"/>
    <w:rPr>
      <w:i/>
    </w:rPr>
  </w:style>
  <w:style w:type="paragraph" w:styleId="Caption">
    <w:name w:val="caption"/>
    <w:basedOn w:val="BodyText"/>
    <w:next w:val="Normal"/>
    <w:qFormat/>
    <w:rsid w:val="007D60EA"/>
    <w:pPr>
      <w:framePr w:w="2268" w:hSpace="181" w:vSpace="181" w:wrap="around" w:vAnchor="text" w:hAnchor="page" w:x="1135" w:y="285" w:anchorLock="1"/>
    </w:pPr>
    <w:rPr>
      <w:i/>
    </w:rPr>
  </w:style>
  <w:style w:type="paragraph" w:customStyle="1" w:styleId="MiniTOCTitle">
    <w:name w:val="MiniTOCTitle"/>
    <w:basedOn w:val="Heading4"/>
    <w:rsid w:val="007D60EA"/>
    <w:pPr>
      <w:spacing w:before="240"/>
      <w:outlineLvl w:val="9"/>
    </w:pPr>
    <w:rPr>
      <w:noProof/>
      <w:sz w:val="24"/>
    </w:rPr>
  </w:style>
  <w:style w:type="paragraph" w:customStyle="1" w:styleId="MiniTOCItem">
    <w:name w:val="MiniTOCItem"/>
    <w:basedOn w:val="ListBullet"/>
    <w:rsid w:val="007D60EA"/>
    <w:pPr>
      <w:numPr>
        <w:numId w:val="0"/>
      </w:numPr>
      <w:tabs>
        <w:tab w:val="right" w:leader="dot" w:pos="6521"/>
      </w:tabs>
      <w:spacing w:before="0" w:after="0"/>
    </w:pPr>
  </w:style>
  <w:style w:type="paragraph" w:customStyle="1" w:styleId="TOFTitle">
    <w:name w:val="TOFTitle"/>
    <w:basedOn w:val="TOCTitle"/>
    <w:rsid w:val="007D60EA"/>
  </w:style>
  <w:style w:type="paragraph" w:styleId="TableofFigures">
    <w:name w:val="table of figures"/>
    <w:basedOn w:val="Normal"/>
    <w:next w:val="Normal"/>
    <w:semiHidden/>
    <w:rsid w:val="007D60EA"/>
    <w:pPr>
      <w:tabs>
        <w:tab w:val="right" w:leader="dot" w:pos="9072"/>
      </w:tabs>
      <w:ind w:left="970" w:hanging="403"/>
    </w:pPr>
    <w:rPr>
      <w:rFonts w:ascii="Times New Roman" w:hAnsi="Times New Roman"/>
      <w:b/>
    </w:rPr>
  </w:style>
  <w:style w:type="paragraph" w:styleId="ListNumber">
    <w:name w:val="List Number"/>
    <w:basedOn w:val="List"/>
    <w:rsid w:val="007D60EA"/>
    <w:pPr>
      <w:numPr>
        <w:numId w:val="14"/>
      </w:numPr>
      <w:tabs>
        <w:tab w:val="clear" w:pos="340"/>
      </w:tabs>
    </w:pPr>
  </w:style>
  <w:style w:type="character" w:customStyle="1" w:styleId="WingdingSymbols">
    <w:name w:val="Wingding Symbols"/>
    <w:rsid w:val="007D60EA"/>
    <w:rPr>
      <w:rFonts w:ascii="Wingdings" w:hAnsi="Wingdings"/>
    </w:rPr>
  </w:style>
  <w:style w:type="paragraph" w:customStyle="1" w:styleId="TableHeading">
    <w:name w:val="Table Heading"/>
    <w:basedOn w:val="HeadingBase"/>
    <w:rsid w:val="007D60EA"/>
    <w:pPr>
      <w:keepLines/>
      <w:pBdr>
        <w:bottom w:val="single" w:sz="6" w:space="1" w:color="918585"/>
      </w:pBdr>
      <w:spacing w:before="240"/>
    </w:pPr>
  </w:style>
  <w:style w:type="character" w:customStyle="1" w:styleId="HotSpot">
    <w:name w:val="HotSpot"/>
    <w:rsid w:val="007D60EA"/>
    <w:rPr>
      <w:color w:val="0033CC"/>
      <w:u w:val="none"/>
    </w:rPr>
  </w:style>
  <w:style w:type="paragraph" w:customStyle="1" w:styleId="BodyTextRight">
    <w:name w:val="Body Text Right"/>
    <w:basedOn w:val="BodyText"/>
    <w:rsid w:val="007D60EA"/>
    <w:pPr>
      <w:spacing w:before="0" w:after="0"/>
      <w:jc w:val="right"/>
    </w:pPr>
  </w:style>
  <w:style w:type="paragraph" w:styleId="Index3">
    <w:name w:val="index 3"/>
    <w:basedOn w:val="ListNumber2"/>
    <w:next w:val="Normal"/>
    <w:semiHidden/>
    <w:rsid w:val="007D60EA"/>
    <w:pPr>
      <w:numPr>
        <w:numId w:val="0"/>
      </w:numPr>
      <w:tabs>
        <w:tab w:val="right" w:leader="dot" w:pos="4176"/>
      </w:tabs>
    </w:pPr>
  </w:style>
  <w:style w:type="paragraph" w:styleId="ListNumber2">
    <w:name w:val="List Number 2"/>
    <w:basedOn w:val="List2"/>
    <w:rsid w:val="007D60EA"/>
    <w:pPr>
      <w:numPr>
        <w:numId w:val="9"/>
      </w:numPr>
      <w:tabs>
        <w:tab w:val="clear" w:pos="1060"/>
      </w:tabs>
    </w:pPr>
  </w:style>
  <w:style w:type="paragraph" w:customStyle="1" w:styleId="MarginNote">
    <w:name w:val="Margin Note"/>
    <w:basedOn w:val="BodyText"/>
    <w:rsid w:val="007D6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0EA"/>
    <w:rPr>
      <w:sz w:val="32"/>
    </w:rPr>
  </w:style>
  <w:style w:type="paragraph" w:customStyle="1" w:styleId="HeadingProcedure">
    <w:name w:val="Heading Procedure"/>
    <w:basedOn w:val="HeadingBase"/>
    <w:next w:val="Normal"/>
    <w:rsid w:val="007D60EA"/>
    <w:pPr>
      <w:tabs>
        <w:tab w:val="left" w:pos="0"/>
      </w:tabs>
      <w:spacing w:before="120" w:after="60"/>
    </w:pPr>
    <w:rPr>
      <w:i/>
      <w:color w:val="918585"/>
      <w:sz w:val="22"/>
    </w:rPr>
  </w:style>
  <w:style w:type="paragraph" w:customStyle="1" w:styleId="TableBodyText">
    <w:name w:val="Table Body Text"/>
    <w:basedOn w:val="BodyText"/>
    <w:rsid w:val="007D60EA"/>
    <w:pPr>
      <w:spacing w:before="60" w:after="60"/>
    </w:pPr>
  </w:style>
  <w:style w:type="paragraph" w:styleId="ListContinue">
    <w:name w:val="List Continue"/>
    <w:basedOn w:val="List"/>
    <w:rsid w:val="007D60EA"/>
    <w:pPr>
      <w:ind w:firstLine="0"/>
    </w:pPr>
  </w:style>
  <w:style w:type="paragraph" w:customStyle="1" w:styleId="ListNote">
    <w:name w:val="List Note"/>
    <w:basedOn w:val="List"/>
    <w:rsid w:val="007D60EA"/>
    <w:pPr>
      <w:pBdr>
        <w:top w:val="single" w:sz="6" w:space="2" w:color="918585"/>
        <w:bottom w:val="single" w:sz="6" w:space="2" w:color="918585"/>
      </w:pBdr>
      <w:tabs>
        <w:tab w:val="left" w:pos="1021"/>
      </w:tabs>
      <w:ind w:firstLine="0"/>
    </w:pPr>
  </w:style>
  <w:style w:type="paragraph" w:customStyle="1" w:styleId="Warning">
    <w:name w:val="Warning"/>
    <w:basedOn w:val="BodyText"/>
    <w:rsid w:val="007D60EA"/>
    <w:pPr>
      <w:shd w:val="clear" w:color="auto" w:fill="D9D9D9"/>
      <w:tabs>
        <w:tab w:val="left" w:pos="992"/>
      </w:tabs>
      <w:ind w:left="119" w:right="119"/>
    </w:pPr>
    <w:rPr>
      <w:sz w:val="20"/>
    </w:rPr>
  </w:style>
  <w:style w:type="paragraph" w:customStyle="1" w:styleId="MarginIcons">
    <w:name w:val="Margin Icons"/>
    <w:basedOn w:val="BodyText"/>
    <w:rsid w:val="007D6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0EA"/>
    <w:rPr>
      <w:rFonts w:ascii="Courier New" w:hAnsi="Courier New"/>
    </w:rPr>
  </w:style>
  <w:style w:type="paragraph" w:customStyle="1" w:styleId="NoteBullet">
    <w:name w:val="Note Bullet"/>
    <w:basedOn w:val="Note"/>
    <w:rsid w:val="007D60EA"/>
    <w:pPr>
      <w:tabs>
        <w:tab w:val="clear" w:pos="680"/>
      </w:tabs>
      <w:spacing w:before="60" w:after="60"/>
    </w:pPr>
  </w:style>
  <w:style w:type="paragraph" w:customStyle="1" w:styleId="SubHeading2">
    <w:name w:val="SubHeading2"/>
    <w:basedOn w:val="HeadingBase"/>
    <w:rsid w:val="007D60EA"/>
    <w:pPr>
      <w:spacing w:before="240" w:after="60"/>
    </w:pPr>
    <w:rPr>
      <w:sz w:val="20"/>
    </w:rPr>
  </w:style>
  <w:style w:type="paragraph" w:customStyle="1" w:styleId="SubHeading1">
    <w:name w:val="SubHeading1"/>
    <w:basedOn w:val="HeadingBase"/>
    <w:rsid w:val="007D60EA"/>
    <w:pPr>
      <w:spacing w:before="240" w:after="60"/>
    </w:pPr>
    <w:rPr>
      <w:color w:val="918585"/>
      <w:sz w:val="22"/>
    </w:rPr>
  </w:style>
  <w:style w:type="paragraph" w:customStyle="1" w:styleId="SideHeading">
    <w:name w:val="Side Heading"/>
    <w:basedOn w:val="HeadingBase"/>
    <w:rsid w:val="007D6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0EA"/>
    <w:pPr>
      <w:numPr>
        <w:numId w:val="10"/>
      </w:numPr>
    </w:pPr>
  </w:style>
  <w:style w:type="paragraph" w:styleId="PlainText">
    <w:name w:val="Plain Text"/>
    <w:basedOn w:val="Normal"/>
    <w:link w:val="PlainTextChar"/>
    <w:rsid w:val="007D60EA"/>
    <w:rPr>
      <w:sz w:val="20"/>
    </w:rPr>
  </w:style>
  <w:style w:type="character" w:customStyle="1" w:styleId="PlainTextChar">
    <w:name w:val="Plain Text Char"/>
    <w:basedOn w:val="DefaultParagraphFont"/>
    <w:link w:val="PlainText"/>
    <w:rsid w:val="007D60EA"/>
    <w:rPr>
      <w:rFonts w:ascii="Courier New" w:eastAsia="Times New Roman" w:hAnsi="Courier New" w:cs="Times New Roman"/>
      <w:sz w:val="20"/>
      <w:szCs w:val="20"/>
      <w:lang w:eastAsia="en-US"/>
    </w:rPr>
  </w:style>
  <w:style w:type="character" w:customStyle="1" w:styleId="MenuOption">
    <w:name w:val="Menu Option"/>
    <w:basedOn w:val="DefaultParagraphFont"/>
    <w:rsid w:val="007D60EA"/>
    <w:rPr>
      <w:b/>
      <w:smallCaps/>
    </w:rPr>
  </w:style>
  <w:style w:type="paragraph" w:customStyle="1" w:styleId="TableListNumber">
    <w:name w:val="Table List Number"/>
    <w:basedOn w:val="ListNumber"/>
    <w:rsid w:val="007D60EA"/>
    <w:pPr>
      <w:numPr>
        <w:numId w:val="0"/>
      </w:numPr>
    </w:pPr>
  </w:style>
  <w:style w:type="paragraph" w:styleId="TOC4">
    <w:name w:val="toc 4"/>
    <w:basedOn w:val="TOCBase"/>
    <w:next w:val="Normal"/>
    <w:semiHidden/>
    <w:rsid w:val="007D60EA"/>
    <w:pPr>
      <w:tabs>
        <w:tab w:val="right" w:leader="dot" w:pos="9071"/>
      </w:tabs>
      <w:ind w:left="1701"/>
    </w:pPr>
  </w:style>
  <w:style w:type="paragraph" w:customStyle="1" w:styleId="ListAlpha">
    <w:name w:val="List Alpha"/>
    <w:basedOn w:val="List"/>
    <w:rsid w:val="007D60EA"/>
    <w:pPr>
      <w:numPr>
        <w:numId w:val="8"/>
      </w:numPr>
    </w:pPr>
  </w:style>
  <w:style w:type="paragraph" w:customStyle="1" w:styleId="ListAlpha2">
    <w:name w:val="List Alpha 2"/>
    <w:basedOn w:val="List2"/>
    <w:rsid w:val="007D60EA"/>
    <w:pPr>
      <w:numPr>
        <w:numId w:val="7"/>
      </w:numPr>
    </w:pPr>
  </w:style>
  <w:style w:type="paragraph" w:styleId="List2">
    <w:name w:val="List 2"/>
    <w:basedOn w:val="BodyText"/>
    <w:rsid w:val="007D60EA"/>
    <w:pPr>
      <w:tabs>
        <w:tab w:val="left" w:pos="680"/>
      </w:tabs>
      <w:spacing w:before="60" w:after="60"/>
      <w:ind w:left="680" w:hanging="340"/>
    </w:pPr>
  </w:style>
  <w:style w:type="paragraph" w:styleId="List3">
    <w:name w:val="List 3"/>
    <w:basedOn w:val="BodyText"/>
    <w:rsid w:val="007D60EA"/>
    <w:pPr>
      <w:tabs>
        <w:tab w:val="left" w:pos="1021"/>
      </w:tabs>
      <w:spacing w:before="60" w:after="60"/>
      <w:ind w:left="1020" w:hanging="340"/>
    </w:pPr>
  </w:style>
  <w:style w:type="paragraph" w:styleId="List4">
    <w:name w:val="List 4"/>
    <w:basedOn w:val="BodyText"/>
    <w:rsid w:val="007D60EA"/>
    <w:pPr>
      <w:tabs>
        <w:tab w:val="left" w:pos="1361"/>
      </w:tabs>
      <w:spacing w:before="60" w:after="60"/>
      <w:ind w:left="1361" w:hanging="340"/>
    </w:pPr>
  </w:style>
  <w:style w:type="paragraph" w:styleId="List5">
    <w:name w:val="List 5"/>
    <w:basedOn w:val="BodyText"/>
    <w:rsid w:val="007D60EA"/>
    <w:pPr>
      <w:tabs>
        <w:tab w:val="left" w:pos="1701"/>
      </w:tabs>
      <w:spacing w:before="60" w:after="60"/>
      <w:ind w:left="1701" w:hanging="340"/>
    </w:pPr>
  </w:style>
  <w:style w:type="paragraph" w:styleId="ListBullet3">
    <w:name w:val="List Bullet 3"/>
    <w:basedOn w:val="List3"/>
    <w:rsid w:val="007D60EA"/>
    <w:pPr>
      <w:numPr>
        <w:numId w:val="13"/>
      </w:numPr>
      <w:tabs>
        <w:tab w:val="clear" w:pos="1021"/>
      </w:tabs>
      <w:ind w:left="1037" w:hanging="357"/>
    </w:pPr>
  </w:style>
  <w:style w:type="paragraph" w:styleId="ListBullet4">
    <w:name w:val="List Bullet 4"/>
    <w:basedOn w:val="List4"/>
    <w:rsid w:val="007D60EA"/>
    <w:pPr>
      <w:numPr>
        <w:numId w:val="2"/>
      </w:numPr>
      <w:tabs>
        <w:tab w:val="clear" w:pos="1361"/>
      </w:tabs>
    </w:pPr>
  </w:style>
  <w:style w:type="paragraph" w:styleId="ListBullet5">
    <w:name w:val="List Bullet 5"/>
    <w:basedOn w:val="List5"/>
    <w:rsid w:val="007D60EA"/>
    <w:pPr>
      <w:numPr>
        <w:numId w:val="3"/>
      </w:numPr>
    </w:pPr>
  </w:style>
  <w:style w:type="paragraph" w:styleId="ListContinue2">
    <w:name w:val="List Continue 2"/>
    <w:basedOn w:val="List2"/>
    <w:rsid w:val="007D60EA"/>
    <w:pPr>
      <w:ind w:firstLine="0"/>
    </w:pPr>
  </w:style>
  <w:style w:type="paragraph" w:styleId="ListContinue3">
    <w:name w:val="List Continue 3"/>
    <w:basedOn w:val="List3"/>
    <w:rsid w:val="007D60EA"/>
    <w:pPr>
      <w:ind w:left="1021" w:firstLine="0"/>
    </w:pPr>
  </w:style>
  <w:style w:type="paragraph" w:styleId="ListContinue4">
    <w:name w:val="List Continue 4"/>
    <w:basedOn w:val="List4"/>
    <w:rsid w:val="007D60EA"/>
    <w:pPr>
      <w:ind w:firstLine="0"/>
    </w:pPr>
  </w:style>
  <w:style w:type="paragraph" w:styleId="ListContinue5">
    <w:name w:val="List Continue 5"/>
    <w:basedOn w:val="List5"/>
    <w:rsid w:val="007D60EA"/>
    <w:pPr>
      <w:ind w:firstLine="0"/>
    </w:pPr>
  </w:style>
  <w:style w:type="paragraph" w:styleId="ListNumber3">
    <w:name w:val="List Number 3"/>
    <w:basedOn w:val="List3"/>
    <w:rsid w:val="007D60EA"/>
    <w:pPr>
      <w:numPr>
        <w:numId w:val="4"/>
      </w:numPr>
    </w:pPr>
  </w:style>
  <w:style w:type="paragraph" w:styleId="ListNumber4">
    <w:name w:val="List Number 4"/>
    <w:basedOn w:val="List4"/>
    <w:rsid w:val="007D60EA"/>
    <w:pPr>
      <w:numPr>
        <w:numId w:val="5"/>
      </w:numPr>
    </w:pPr>
  </w:style>
  <w:style w:type="paragraph" w:styleId="ListNumber5">
    <w:name w:val="List Number 5"/>
    <w:basedOn w:val="List5"/>
    <w:rsid w:val="007D60EA"/>
    <w:pPr>
      <w:numPr>
        <w:numId w:val="6"/>
      </w:numPr>
    </w:pPr>
  </w:style>
  <w:style w:type="paragraph" w:styleId="BlockText">
    <w:name w:val="Block Text"/>
    <w:basedOn w:val="Normal"/>
    <w:rsid w:val="007D60EA"/>
    <w:pPr>
      <w:spacing w:after="120"/>
      <w:ind w:left="1440" w:right="1440"/>
    </w:pPr>
  </w:style>
  <w:style w:type="character" w:customStyle="1" w:styleId="Subscript">
    <w:name w:val="Subscript"/>
    <w:basedOn w:val="DefaultParagraphFont"/>
    <w:rsid w:val="007D60EA"/>
    <w:rPr>
      <w:sz w:val="16"/>
      <w:vertAlign w:val="subscript"/>
    </w:rPr>
  </w:style>
  <w:style w:type="character" w:customStyle="1" w:styleId="Superscript">
    <w:name w:val="Superscript"/>
    <w:basedOn w:val="DefaultParagraphFont"/>
    <w:rsid w:val="007D60EA"/>
    <w:rPr>
      <w:sz w:val="16"/>
      <w:vertAlign w:val="superscript"/>
    </w:rPr>
  </w:style>
  <w:style w:type="character" w:customStyle="1" w:styleId="Symbols">
    <w:name w:val="Symbols"/>
    <w:basedOn w:val="DefaultParagraphFont"/>
    <w:rsid w:val="007D60EA"/>
    <w:rPr>
      <w:rFonts w:ascii="Symbol" w:hAnsi="Symbol"/>
    </w:rPr>
  </w:style>
  <w:style w:type="character" w:customStyle="1" w:styleId="MenuOptions">
    <w:name w:val="Menu Options"/>
    <w:basedOn w:val="DefaultParagraphFont"/>
    <w:rsid w:val="007D60EA"/>
    <w:rPr>
      <w:rFonts w:ascii="Arial Narrow" w:hAnsi="Arial Narrow"/>
      <w:smallCaps/>
    </w:rPr>
  </w:style>
  <w:style w:type="character" w:customStyle="1" w:styleId="Buttons">
    <w:name w:val="Buttons"/>
    <w:basedOn w:val="DefaultParagraphFont"/>
    <w:rsid w:val="007D60EA"/>
    <w:rPr>
      <w:b/>
    </w:rPr>
  </w:style>
  <w:style w:type="character" w:customStyle="1" w:styleId="Underlined">
    <w:name w:val="Underlined"/>
    <w:basedOn w:val="DefaultParagraphFont"/>
    <w:rsid w:val="007D60EA"/>
    <w:rPr>
      <w:u w:val="single"/>
    </w:rPr>
  </w:style>
  <w:style w:type="paragraph" w:customStyle="1" w:styleId="TableBodyTextRight">
    <w:name w:val="Table Body Text Right"/>
    <w:basedOn w:val="TableBodyText"/>
    <w:rsid w:val="007D60EA"/>
    <w:pPr>
      <w:widowControl w:val="0"/>
      <w:autoSpaceDE w:val="0"/>
      <w:autoSpaceDN w:val="0"/>
      <w:adjustRightInd w:val="0"/>
      <w:jc w:val="right"/>
    </w:pPr>
    <w:rPr>
      <w:rFonts w:cs="Arial"/>
      <w:szCs w:val="18"/>
    </w:rPr>
  </w:style>
  <w:style w:type="paragraph" w:customStyle="1" w:styleId="CopyrightText">
    <w:name w:val="Copyright Text"/>
    <w:basedOn w:val="BodyText"/>
    <w:rsid w:val="007D60EA"/>
    <w:rPr>
      <w:sz w:val="18"/>
    </w:rPr>
  </w:style>
  <w:style w:type="paragraph" w:customStyle="1" w:styleId="BodySmallRight">
    <w:name w:val="Body Small Right"/>
    <w:basedOn w:val="BodyTextRight"/>
    <w:rsid w:val="007D60EA"/>
    <w:rPr>
      <w:sz w:val="18"/>
      <w:szCs w:val="18"/>
    </w:rPr>
  </w:style>
  <w:style w:type="paragraph" w:customStyle="1" w:styleId="MarginEdition">
    <w:name w:val="Margin Edition"/>
    <w:basedOn w:val="MarginNote"/>
    <w:rsid w:val="007D60EA"/>
    <w:pPr>
      <w:spacing w:before="0" w:after="0"/>
    </w:pPr>
    <w:rPr>
      <w:rFonts w:ascii="Times New Roman" w:hAnsi="Times New Roman"/>
      <w:color w:val="999999"/>
    </w:rPr>
  </w:style>
  <w:style w:type="paragraph" w:customStyle="1" w:styleId="Spacer">
    <w:name w:val="Spacer"/>
    <w:basedOn w:val="Normal"/>
    <w:rsid w:val="007D60EA"/>
    <w:rPr>
      <w:sz w:val="2"/>
      <w:szCs w:val="2"/>
    </w:rPr>
  </w:style>
  <w:style w:type="character" w:customStyle="1" w:styleId="Small">
    <w:name w:val="Small"/>
    <w:basedOn w:val="DefaultParagraphFont"/>
    <w:rsid w:val="007D60EA"/>
    <w:rPr>
      <w:sz w:val="16"/>
    </w:rPr>
  </w:style>
  <w:style w:type="paragraph" w:customStyle="1" w:styleId="WideTable">
    <w:name w:val="Wide Table"/>
    <w:basedOn w:val="Normal"/>
    <w:rsid w:val="007D60EA"/>
    <w:pPr>
      <w:ind w:left="-1418"/>
    </w:pPr>
    <w:rPr>
      <w:sz w:val="2"/>
      <w:szCs w:val="2"/>
    </w:rPr>
  </w:style>
  <w:style w:type="character" w:styleId="PageNumber">
    <w:name w:val="page number"/>
    <w:basedOn w:val="DefaultParagraphFont"/>
    <w:rsid w:val="007D60EA"/>
  </w:style>
  <w:style w:type="paragraph" w:styleId="Quote">
    <w:name w:val="Quote"/>
    <w:basedOn w:val="Heading1"/>
    <w:link w:val="QuoteChar"/>
    <w:qFormat/>
    <w:rsid w:val="007D60EA"/>
    <w:rPr>
      <w:b w:val="0"/>
      <w:sz w:val="72"/>
      <w:szCs w:val="72"/>
      <w:lang w:val="en-NZ"/>
    </w:rPr>
  </w:style>
  <w:style w:type="character" w:customStyle="1" w:styleId="QuoteChar">
    <w:name w:val="Quote Char"/>
    <w:basedOn w:val="DefaultParagraphFont"/>
    <w:link w:val="Quote"/>
    <w:rsid w:val="007D6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0EA"/>
    <w:pPr>
      <w:pageBreakBefore/>
    </w:pPr>
  </w:style>
  <w:style w:type="paragraph" w:customStyle="1" w:styleId="Border">
    <w:name w:val="Border"/>
    <w:basedOn w:val="Normal"/>
    <w:qFormat/>
    <w:rsid w:val="007D6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0EA"/>
    <w:rPr>
      <w:b/>
      <w:bCs/>
      <w:i/>
      <w:iCs/>
      <w:color w:val="auto"/>
    </w:rPr>
  </w:style>
  <w:style w:type="paragraph" w:styleId="IntenseQuote">
    <w:name w:val="Intense Quote"/>
    <w:basedOn w:val="Normal"/>
    <w:next w:val="Normal"/>
    <w:link w:val="IntenseQuoteChar"/>
    <w:uiPriority w:val="30"/>
    <w:qFormat/>
    <w:rsid w:val="007D6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0EA"/>
    <w:rPr>
      <w:smallCaps/>
      <w:color w:val="auto"/>
      <w:u w:val="single"/>
    </w:rPr>
  </w:style>
  <w:style w:type="character" w:styleId="IntenseReference">
    <w:name w:val="Intense Reference"/>
    <w:basedOn w:val="DefaultParagraphFont"/>
    <w:uiPriority w:val="32"/>
    <w:qFormat/>
    <w:rsid w:val="007D60EA"/>
    <w:rPr>
      <w:b/>
      <w:bCs/>
      <w:smallCaps/>
      <w:color w:val="auto"/>
      <w:spacing w:val="5"/>
      <w:u w:val="single"/>
    </w:rPr>
  </w:style>
  <w:style w:type="paragraph" w:customStyle="1" w:styleId="2ColumnHeading">
    <w:name w:val="2Column Heading"/>
    <w:basedOn w:val="BodyText"/>
    <w:qFormat/>
    <w:rsid w:val="007D60EA"/>
    <w:pPr>
      <w:spacing w:after="60"/>
      <w:ind w:left="-2268"/>
    </w:pPr>
    <w:rPr>
      <w:b/>
    </w:rPr>
  </w:style>
  <w:style w:type="paragraph" w:customStyle="1" w:styleId="Heading1TOC">
    <w:name w:val="Heading1 TOC"/>
    <w:basedOn w:val="Normal"/>
    <w:qFormat/>
    <w:rsid w:val="007D60EA"/>
    <w:pPr>
      <w:spacing w:before="240" w:after="120"/>
    </w:pPr>
    <w:rPr>
      <w:rFonts w:ascii="Times New Roman" w:hAnsi="Times New Roman"/>
      <w:b/>
      <w:sz w:val="32"/>
    </w:rPr>
  </w:style>
  <w:style w:type="paragraph" w:customStyle="1" w:styleId="Heading2TOC">
    <w:name w:val="Heading2 TOC"/>
    <w:basedOn w:val="Normal"/>
    <w:qFormat/>
    <w:rsid w:val="007D60EA"/>
    <w:pPr>
      <w:spacing w:before="240" w:after="60"/>
    </w:pPr>
    <w:rPr>
      <w:rFonts w:ascii="Times New Roman" w:hAnsi="Times New Roman"/>
      <w:b/>
      <w:sz w:val="28"/>
    </w:rPr>
  </w:style>
  <w:style w:type="character" w:customStyle="1" w:styleId="Underline">
    <w:name w:val="Underline"/>
    <w:basedOn w:val="DefaultParagraphFont"/>
    <w:qFormat/>
    <w:rsid w:val="007D60EA"/>
    <w:rPr>
      <w:u w:val="single"/>
    </w:rPr>
  </w:style>
  <w:style w:type="character" w:customStyle="1" w:styleId="BoldandItalics">
    <w:name w:val="Bold and Italics"/>
    <w:qFormat/>
    <w:rsid w:val="007D60EA"/>
    <w:rPr>
      <w:b/>
      <w:i/>
      <w:u w:val="none"/>
    </w:rPr>
  </w:style>
  <w:style w:type="paragraph" w:styleId="BalloonText">
    <w:name w:val="Balloon Text"/>
    <w:basedOn w:val="Normal"/>
    <w:link w:val="BalloonTextChar"/>
    <w:rsid w:val="007D60EA"/>
    <w:rPr>
      <w:rFonts w:ascii="Tahoma" w:hAnsi="Tahoma" w:cs="Tahoma"/>
      <w:sz w:val="16"/>
      <w:szCs w:val="16"/>
    </w:rPr>
  </w:style>
  <w:style w:type="character" w:customStyle="1" w:styleId="BalloonTextChar">
    <w:name w:val="Balloon Text Char"/>
    <w:basedOn w:val="DefaultParagraphFont"/>
    <w:link w:val="BalloonText"/>
    <w:rsid w:val="007D6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0EA"/>
    <w:rPr>
      <w:b/>
      <w:color w:val="660033"/>
      <w:spacing w:val="0"/>
    </w:rPr>
  </w:style>
  <w:style w:type="paragraph" w:customStyle="1" w:styleId="Nameditemlist">
    <w:name w:val="Named item list"/>
    <w:basedOn w:val="BodyText"/>
    <w:qFormat/>
    <w:rsid w:val="007D60EA"/>
    <w:pPr>
      <w:tabs>
        <w:tab w:val="left" w:pos="2835"/>
      </w:tabs>
      <w:ind w:left="2835" w:hanging="2835"/>
    </w:pPr>
  </w:style>
  <w:style w:type="paragraph" w:customStyle="1" w:styleId="BodyTextnopadding">
    <w:name w:val="Body Text no padding"/>
    <w:basedOn w:val="BodyText"/>
    <w:qFormat/>
    <w:rsid w:val="007D60EA"/>
    <w:pPr>
      <w:spacing w:before="0" w:after="0"/>
    </w:pPr>
  </w:style>
  <w:style w:type="paragraph" w:customStyle="1" w:styleId="BodyTextBold">
    <w:name w:val="Body Text Bold"/>
    <w:basedOn w:val="BodyText"/>
    <w:qFormat/>
    <w:rsid w:val="007D60EA"/>
    <w:rPr>
      <w:b/>
    </w:rPr>
  </w:style>
  <w:style w:type="character" w:styleId="Hyperlink">
    <w:name w:val="Hyperlink"/>
    <w:basedOn w:val="DefaultParagraphFont"/>
    <w:uiPriority w:val="99"/>
    <w:unhideWhenUsed/>
    <w:rsid w:val="001C0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5247</Characters>
  <Application>Microsoft Office Word</Application>
  <DocSecurity>0</DocSecurity>
  <Lines>238</Lines>
  <Paragraphs>150</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MEA507 Maintain, pack and fit survival inflatable buoyancy vests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