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8FD" w:rsidP="004628FD">
      <w:pPr>
        <w:pStyle w:val="Title"/>
      </w:pPr>
      <w:r>
        <w:fldChar w:fldCharType="begin"/>
      </w:r>
      <w:r>
        <w:instrText xml:space="preserve"> TITLE   \* MERGEFORMAT </w:instrText>
      </w:r>
      <w:r>
        <w:fldChar w:fldCharType="separate"/>
      </w:r>
      <w:r>
        <w:t>MEA503 Maintain and fit immersion suits</w:t>
      </w:r>
      <w:r>
        <w:fldChar w:fldCharType="end"/>
      </w:r>
    </w:p>
    <w:p w:rsidR="004628FD" w:rsidP="004628FD">
      <w:pPr>
        <w:pStyle w:val="Version"/>
        <w:sectPr w:rsidSect="00A979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7997" w:rsidP="00A97997">
      <w:pPr>
        <w:pStyle w:val="SuperHeading"/>
      </w:pPr>
      <w:r w:rsidRPr="00A97997">
        <w:t>MEA503 Maintain and fit immersion suits</w:t>
      </w:r>
    </w:p>
    <w:p w:rsidR="00000000" w:rsidRPr="00A97997" w:rsidP="00A97997">
      <w:pPr>
        <w:pStyle w:val="Heading1"/>
      </w:pPr>
      <w:bookmarkStart w:id="1" w:name="O_999216"/>
      <w:bookmarkEnd w:id="1"/>
      <w:r w:rsidRPr="00A97997">
        <w:t>Modification History</w:t>
      </w:r>
    </w:p>
    <w:p w:rsidR="00000000" w:rsidRPr="00A97997" w:rsidP="004628FD">
      <w:pPr>
        <w:pStyle w:val="BodyText"/>
      </w:pPr>
      <w:r w:rsidRPr="00A97997">
        <w:t>Release 2. Equivalent to MEA503 Maintain and fit immersion suits with amended prerequisite codes.</w:t>
      </w:r>
    </w:p>
    <w:p w:rsidR="00000000" w:rsidRPr="00A97997" w:rsidP="00A97997">
      <w:pPr>
        <w:pStyle w:val="Heading1"/>
      </w:pPr>
      <w:bookmarkStart w:id="2" w:name="O_999215"/>
      <w:bookmarkEnd w:id="2"/>
      <w:r w:rsidRPr="00A97997">
        <w:t>Application</w:t>
      </w:r>
    </w:p>
    <w:p w:rsidR="00000000" w:rsidRPr="00A97997" w:rsidP="004628FD">
      <w:pPr>
        <w:pStyle w:val="BodyText"/>
      </w:pPr>
      <w:r w:rsidRPr="00A97997">
        <w:t>This unit of competency requires application of skills and knowledge relating to the maintenance and fitment</w:t>
      </w:r>
      <w:r w:rsidRPr="00A97997">
        <w:t xml:space="preserve"> of immersion suits. Maintenance involves inspection, testing, fault diagnosis, replacement of parts and cleaning and may be performed individually or as part of a team.</w:t>
      </w:r>
    </w:p>
    <w:p w:rsidR="00000000" w:rsidRPr="00A97997" w:rsidP="004628FD">
      <w:pPr>
        <w:pStyle w:val="BodyText"/>
      </w:pPr>
      <w:r w:rsidRPr="00A97997">
        <w:t xml:space="preserve">Fitment involves adjusting the immersion suit to correctly fit an individual. </w:t>
      </w:r>
    </w:p>
    <w:p w:rsidR="00000000" w:rsidRPr="00A97997" w:rsidP="004628FD">
      <w:pPr>
        <w:pStyle w:val="BodyText"/>
      </w:pPr>
      <w:r w:rsidRPr="00A97997">
        <w:t>There</w:t>
      </w:r>
      <w:r w:rsidRPr="00A97997">
        <w:t xml:space="preserve"> are two types of immersion suits: quick don and constant wear. Quick don usually does not require fitting while constant wear is custom fitted to the individual.</w:t>
      </w:r>
    </w:p>
    <w:p w:rsidR="00000000" w:rsidRPr="00A97997" w:rsidP="004628FD">
      <w:pPr>
        <w:pStyle w:val="BodyText"/>
      </w:pPr>
      <w:r w:rsidRPr="00A97997">
        <w:t>This unit is part of the Aeroskills Life Support and Furnishing Certificate III and IV train</w:t>
      </w:r>
      <w:r w:rsidRPr="00A97997">
        <w:t>ing pathways.</w:t>
      </w:r>
    </w:p>
    <w:p w:rsidR="00000000" w:rsidRPr="00A97997" w:rsidP="004628FD">
      <w:pPr>
        <w:pStyle w:val="BodyText"/>
      </w:pPr>
      <w:r w:rsidRPr="00A97997">
        <w:t>The unit is used in workplaces that operate under the airworthiness regulatory systems of the Australian Defence Force (ADF) and the Civil Aviation Safety Authority (CASA).</w:t>
      </w:r>
    </w:p>
    <w:p w:rsidR="00000000" w:rsidRPr="00A97997" w:rsidP="00A97997">
      <w:pPr>
        <w:pStyle w:val="Heading1"/>
      </w:pPr>
      <w:bookmarkStart w:id="3" w:name="O_999214"/>
      <w:bookmarkEnd w:id="3"/>
      <w:r w:rsidRPr="00A97997">
        <w:t>Pre-requisite Unit</w:t>
      </w:r>
    </w:p>
    <w:tbl>
      <w:tblPr>
        <w:tblW w:w="0" w:type="auto"/>
        <w:tblLayout w:type="fixed"/>
        <w:tblCellMar>
          <w:left w:w="62" w:type="dxa"/>
          <w:right w:w="62" w:type="dxa"/>
        </w:tblCellMar>
        <w:tblLook w:val="0000"/>
      </w:tblPr>
      <w:tblGrid>
        <w:gridCol w:w="2372"/>
        <w:gridCol w:w="6622"/>
      </w:tblGrid>
      <w:tr w:rsidTr="00A97997">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MEA107</w:t>
            </w:r>
          </w:p>
        </w:tc>
        <w:tc>
          <w:tcPr>
            <w:tcW w:w="66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Interpret and use aviatio</w:t>
            </w:r>
            <w:r w:rsidRPr="00A97997">
              <w:t>n maintenance industry manuals and specifications</w:t>
            </w:r>
          </w:p>
        </w:tc>
      </w:tr>
      <w:tr w:rsidTr="00A97997">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MEA118</w:t>
            </w:r>
          </w:p>
        </w:tc>
        <w:tc>
          <w:tcPr>
            <w:tcW w:w="66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Conduct self in the aviation maintenance environment</w:t>
            </w:r>
          </w:p>
        </w:tc>
      </w:tr>
      <w:tr w:rsidTr="00A97997">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MEA154</w:t>
            </w:r>
          </w:p>
        </w:tc>
        <w:tc>
          <w:tcPr>
            <w:tcW w:w="66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Apply work health and safety practices in aviation maintenance</w:t>
            </w:r>
          </w:p>
        </w:tc>
      </w:tr>
      <w:tr w:rsidTr="00A97997">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MEA155</w:t>
            </w:r>
          </w:p>
        </w:tc>
        <w:tc>
          <w:tcPr>
            <w:tcW w:w="66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Plan and organise aviation maintenance work activities</w:t>
            </w:r>
          </w:p>
        </w:tc>
      </w:tr>
      <w:tr w:rsidTr="00A97997">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MEA156</w:t>
            </w:r>
          </w:p>
        </w:tc>
        <w:tc>
          <w:tcPr>
            <w:tcW w:w="66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Apply quality standards during aviation maintenance activities</w:t>
            </w:r>
          </w:p>
        </w:tc>
      </w:tr>
      <w:tr w:rsidTr="00A97997">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MEA157</w:t>
            </w:r>
          </w:p>
        </w:tc>
        <w:tc>
          <w:tcPr>
            <w:tcW w:w="66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Complete aviation maintenance industry documentation</w:t>
            </w:r>
          </w:p>
        </w:tc>
      </w:tr>
      <w:tr w:rsidTr="00A97997">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MEA158</w:t>
            </w:r>
          </w:p>
        </w:tc>
        <w:tc>
          <w:tcPr>
            <w:tcW w:w="66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Perform basic hand skills, standard trade practices and fundamentals in aviation maintenance</w:t>
            </w:r>
          </w:p>
        </w:tc>
      </w:tr>
      <w:tr w:rsidTr="00A97997">
        <w:tblPrEx>
          <w:tblW w:w="0" w:type="auto"/>
          <w:tblLayout w:type="fixed"/>
          <w:tblCellMar>
            <w:left w:w="62" w:type="dxa"/>
            <w:right w:w="62" w:type="dxa"/>
          </w:tblCellMar>
          <w:tblLook w:val="0000"/>
        </w:tblPrEx>
        <w:tc>
          <w:tcPr>
            <w:tcW w:w="237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MSTTF2008</w:t>
            </w:r>
          </w:p>
        </w:tc>
        <w:tc>
          <w:tcPr>
            <w:tcW w:w="6622" w:type="dxa"/>
            <w:tcBorders>
              <w:top w:val="nil"/>
              <w:left w:val="nil"/>
              <w:bottom w:val="nil"/>
              <w:right w:val="nil"/>
            </w:tcBorders>
            <w:tcMar>
              <w:top w:w="0" w:type="dxa"/>
              <w:left w:w="62" w:type="dxa"/>
              <w:bottom w:w="0" w:type="dxa"/>
              <w:right w:w="62" w:type="dxa"/>
            </w:tcMar>
          </w:tcPr>
          <w:p w:rsidR="00000000" w:rsidRPr="00A97997" w:rsidP="00A97997">
            <w:pPr>
              <w:pStyle w:val="BodyText"/>
            </w:pPr>
            <w:r w:rsidRPr="00A97997">
              <w:t>Use adhesives</w:t>
            </w:r>
          </w:p>
        </w:tc>
      </w:tr>
    </w:tbl>
    <w:p w:rsidR="00000000" w:rsidRPr="00A97997" w:rsidP="00A97997">
      <w:pPr>
        <w:pStyle w:val="BodyText"/>
      </w:pPr>
    </w:p>
    <w:p w:rsidR="00000000" w:rsidRPr="00A97997" w:rsidP="00A97997">
      <w:pPr>
        <w:pStyle w:val="AllowPageBreak"/>
      </w:pPr>
    </w:p>
    <w:p w:rsidR="00000000" w:rsidRPr="00A97997" w:rsidP="00A97997">
      <w:pPr>
        <w:pStyle w:val="Heading1"/>
      </w:pPr>
      <w:bookmarkStart w:id="4" w:name="O_999213"/>
      <w:bookmarkEnd w:id="4"/>
      <w:r w:rsidRPr="00A97997">
        <w:t>Competency Field</w:t>
      </w:r>
    </w:p>
    <w:p w:rsidR="00000000" w:rsidRPr="00A97997" w:rsidP="004628FD">
      <w:pPr>
        <w:pStyle w:val="BodyText"/>
      </w:pPr>
      <w:r w:rsidRPr="00A97997">
        <w:t>Aircraft life support</w:t>
      </w:r>
    </w:p>
    <w:p w:rsidR="00000000" w:rsidRPr="00A97997" w:rsidP="00A97997">
      <w:pPr>
        <w:pStyle w:val="Heading1"/>
      </w:pPr>
      <w:bookmarkStart w:id="5" w:name="O_999212"/>
      <w:bookmarkEnd w:id="5"/>
      <w:r w:rsidRPr="00A97997">
        <w:t>Unit Sector</w:t>
      </w:r>
    </w:p>
    <w:p w:rsidR="00000000" w:rsidRPr="00A97997" w:rsidP="00A97997">
      <w:pPr>
        <w:pStyle w:val="Heading1"/>
      </w:pPr>
      <w:bookmarkStart w:id="6" w:name="O_999211"/>
      <w:bookmarkEnd w:id="6"/>
      <w:r w:rsidRPr="00A97997">
        <w:t>Elements and Performance Criteria</w:t>
      </w:r>
    </w:p>
    <w:tbl>
      <w:tblPr>
        <w:tblW w:w="9402" w:type="dxa"/>
        <w:tblLayout w:type="fixed"/>
        <w:tblCellMar>
          <w:left w:w="62" w:type="dxa"/>
          <w:right w:w="62" w:type="dxa"/>
        </w:tblCellMar>
        <w:tblLook w:val="0000"/>
      </w:tblPr>
      <w:tblGrid>
        <w:gridCol w:w="734"/>
        <w:gridCol w:w="2400"/>
        <w:gridCol w:w="922"/>
        <w:gridCol w:w="5346"/>
      </w:tblGrid>
      <w:tr w:rsidTr="00A97997">
        <w:tblPrEx>
          <w:tblW w:w="9402" w:type="dxa"/>
          <w:tblLayout w:type="fixed"/>
          <w:tblCellMar>
            <w:left w:w="62" w:type="dxa"/>
            <w:right w:w="62" w:type="dxa"/>
          </w:tblCellMar>
          <w:tblLook w:val="0000"/>
        </w:tblPrEx>
        <w:tc>
          <w:tcPr>
            <w:tcW w:w="3134" w:type="dxa"/>
            <w:gridSpan w:val="2"/>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Elements describe the essential outcomes.</w:t>
            </w:r>
          </w:p>
        </w:tc>
        <w:tc>
          <w:tcPr>
            <w:tcW w:w="6268" w:type="dxa"/>
            <w:gridSpan w:val="2"/>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 xml:space="preserve">Performance criteria describe the performance needed to demonstrate achievement of the element. </w:t>
            </w:r>
          </w:p>
        </w:tc>
      </w:tr>
      <w:tr w:rsidTr="00A97997">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1.</w:t>
            </w:r>
          </w:p>
        </w:tc>
        <w:tc>
          <w:tcPr>
            <w:tcW w:w="2400"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Maintain immersion suit</w:t>
            </w:r>
          </w:p>
        </w:tc>
        <w:tc>
          <w:tcPr>
            <w:tcW w:w="9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1.1</w:t>
            </w:r>
          </w:p>
        </w:tc>
        <w:tc>
          <w:tcPr>
            <w:tcW w:w="5346"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Immersion suit is inspected for serviceability in accordance with standard procedures</w:t>
            </w:r>
          </w:p>
        </w:tc>
      </w:tr>
      <w:tr w:rsidTr="00A97997">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1.2</w:t>
            </w:r>
          </w:p>
        </w:tc>
        <w:tc>
          <w:tcPr>
            <w:tcW w:w="5346"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Immersion suit is tested for serviceability in accordance with standard procedures and manufacturer’s specifications</w:t>
            </w:r>
          </w:p>
        </w:tc>
      </w:tr>
      <w:tr w:rsidTr="00A97997">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1.3</w:t>
            </w:r>
          </w:p>
        </w:tc>
        <w:tc>
          <w:tcPr>
            <w:tcW w:w="5346"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Identified faults beyond own authority to rectify are reported to supervisor and faulty immersion suit is quarantined</w:t>
            </w:r>
          </w:p>
        </w:tc>
      </w:tr>
      <w:tr w:rsidTr="00A97997">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1.4</w:t>
            </w:r>
          </w:p>
        </w:tc>
        <w:tc>
          <w:tcPr>
            <w:tcW w:w="5346"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Unservi</w:t>
            </w:r>
            <w:r w:rsidRPr="00A97997">
              <w:t>ceable parts of the immersion suit are replaced while observing all relevant work health and safety (WHS) requirements, including the use of material safety data sheets (MSDS) and items of personal protective equipment (PPE)</w:t>
            </w:r>
          </w:p>
        </w:tc>
      </w:tr>
      <w:tr w:rsidTr="00A97997">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1.5</w:t>
            </w:r>
          </w:p>
        </w:tc>
        <w:tc>
          <w:tcPr>
            <w:tcW w:w="5346"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Immersion suit is cleane</w:t>
            </w:r>
            <w:r w:rsidRPr="00A97997">
              <w:t>d in accordance with standard procedures</w:t>
            </w:r>
          </w:p>
        </w:tc>
      </w:tr>
      <w:tr w:rsidTr="00A97997">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1.6</w:t>
            </w:r>
          </w:p>
        </w:tc>
        <w:tc>
          <w:tcPr>
            <w:tcW w:w="5346"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Immersion suit is re-packed in accordance with standard procedures</w:t>
            </w:r>
          </w:p>
        </w:tc>
      </w:tr>
      <w:tr w:rsidTr="00A97997">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1.7</w:t>
            </w:r>
          </w:p>
        </w:tc>
        <w:tc>
          <w:tcPr>
            <w:tcW w:w="5346"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Immersion suit is presented for inspection by supervisor in accordance with standard procedures</w:t>
            </w:r>
          </w:p>
        </w:tc>
      </w:tr>
      <w:tr w:rsidTr="00A97997">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1.8</w:t>
            </w:r>
          </w:p>
        </w:tc>
        <w:tc>
          <w:tcPr>
            <w:tcW w:w="5346"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Maintenance documentation is completed and processed in accordance with standard enterprise procedures</w:t>
            </w:r>
          </w:p>
        </w:tc>
      </w:tr>
      <w:tr w:rsidTr="00A97997">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2.</w:t>
            </w:r>
          </w:p>
        </w:tc>
        <w:tc>
          <w:tcPr>
            <w:tcW w:w="2400"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Fit immersion suit</w:t>
            </w:r>
          </w:p>
        </w:tc>
        <w:tc>
          <w:tcPr>
            <w:tcW w:w="9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2.1</w:t>
            </w:r>
          </w:p>
        </w:tc>
        <w:tc>
          <w:tcPr>
            <w:tcW w:w="5346"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Fitting process is explained to the participant so that optimal fit can be achieved</w:t>
            </w:r>
          </w:p>
        </w:tc>
      </w:tr>
      <w:tr w:rsidTr="00A97997">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2.2</w:t>
            </w:r>
          </w:p>
        </w:tc>
        <w:tc>
          <w:tcPr>
            <w:tcW w:w="5346"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Participant is measured and appropr</w:t>
            </w:r>
            <w:r w:rsidRPr="00A97997">
              <w:t>iate size immersion suit is selected</w:t>
            </w:r>
          </w:p>
        </w:tc>
      </w:tr>
      <w:tr w:rsidTr="00A97997">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2.3</w:t>
            </w:r>
          </w:p>
        </w:tc>
        <w:tc>
          <w:tcPr>
            <w:tcW w:w="5346"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Immersion suit is adjusted to optimise fit in conjunction with participant feedback</w:t>
            </w:r>
          </w:p>
        </w:tc>
      </w:tr>
      <w:tr w:rsidTr="00A97997">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2.4</w:t>
            </w:r>
          </w:p>
        </w:tc>
        <w:tc>
          <w:tcPr>
            <w:tcW w:w="5346"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Immersion suit fit is verified by the supervisor</w:t>
            </w:r>
          </w:p>
        </w:tc>
      </w:tr>
      <w:tr w:rsidTr="00A97997">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2.5</w:t>
            </w:r>
          </w:p>
        </w:tc>
        <w:tc>
          <w:tcPr>
            <w:tcW w:w="5346" w:type="dxa"/>
            <w:tcBorders>
              <w:top w:val="nil"/>
              <w:left w:val="nil"/>
              <w:bottom w:val="nil"/>
              <w:right w:val="nil"/>
            </w:tcBorders>
            <w:tcMar>
              <w:top w:w="0" w:type="dxa"/>
              <w:left w:w="62" w:type="dxa"/>
              <w:bottom w:w="0" w:type="dxa"/>
              <w:right w:w="62" w:type="dxa"/>
            </w:tcMar>
          </w:tcPr>
          <w:p w:rsidR="00000000" w:rsidRPr="00A97997" w:rsidP="00A97997">
            <w:pPr>
              <w:pStyle w:val="BodyText"/>
            </w:pPr>
            <w:r w:rsidRPr="00A97997">
              <w:t>Relevant documentation is completed and processed in accordance with standard enterprise procedures</w:t>
            </w:r>
          </w:p>
        </w:tc>
      </w:tr>
    </w:tbl>
    <w:p w:rsidR="00000000" w:rsidRPr="00A97997" w:rsidP="00A97997">
      <w:pPr>
        <w:pStyle w:val="BodyText"/>
      </w:pPr>
    </w:p>
    <w:p w:rsidR="00000000" w:rsidRPr="00A97997" w:rsidP="00A97997">
      <w:pPr>
        <w:pStyle w:val="AllowPageBreak"/>
      </w:pPr>
    </w:p>
    <w:p w:rsidR="00000000" w:rsidRPr="00A97997" w:rsidP="00A97997">
      <w:pPr>
        <w:pStyle w:val="Heading1"/>
      </w:pPr>
      <w:bookmarkStart w:id="7" w:name="O_999210"/>
      <w:bookmarkEnd w:id="7"/>
      <w:r w:rsidRPr="00A97997">
        <w:t>Foundation Skills</w:t>
      </w:r>
    </w:p>
    <w:p w:rsidR="00000000" w:rsidRPr="00A97997" w:rsidP="004628FD">
      <w:pPr>
        <w:pStyle w:val="BodyText"/>
      </w:pPr>
      <w:r w:rsidRPr="00A97997">
        <w:t>Foundation skills essential to performance are explicit in the performance criteria of this unit of competency.</w:t>
      </w:r>
    </w:p>
    <w:p w:rsidR="00000000" w:rsidRPr="00A97997" w:rsidP="00A97997">
      <w:pPr>
        <w:pStyle w:val="Heading1"/>
      </w:pPr>
      <w:bookmarkStart w:id="8" w:name="O_999209"/>
      <w:bookmarkEnd w:id="8"/>
      <w:r w:rsidRPr="00A97997">
        <w:t>Range of Conditions</w:t>
      </w:r>
    </w:p>
    <w:tbl>
      <w:tblPr>
        <w:tblW w:w="0" w:type="auto"/>
        <w:tblLayout w:type="fixed"/>
        <w:tblCellMar>
          <w:left w:w="62" w:type="dxa"/>
          <w:right w:w="62" w:type="dxa"/>
        </w:tblCellMar>
        <w:tblLook w:val="0000"/>
      </w:tblPr>
      <w:tblGrid>
        <w:gridCol w:w="3060"/>
        <w:gridCol w:w="6012"/>
      </w:tblGrid>
      <w:tr w:rsidTr="00A979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t xml:space="preserve">This field allows for different work environments and conditions that may affect performance. Essential operating conditions that may be present </w:t>
            </w:r>
            <w:r w:rsidRPr="00A97997">
              <w:t>(depending on the work situation, needs of the candidate, accessibility of the item, and local industry and regional contexts) are included.</w:t>
            </w:r>
          </w:p>
        </w:tc>
      </w:tr>
      <w:tr w:rsidTr="00A979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rPr>
                <w:rStyle w:val="SpecialBold"/>
              </w:rPr>
              <w:t>Standard procedures are found in any or all of:</w:t>
            </w:r>
          </w:p>
        </w:tc>
        <w:tc>
          <w:tcPr>
            <w:tcW w:w="6012" w:type="dxa"/>
            <w:tcBorders>
              <w:top w:val="nil"/>
              <w:left w:val="nil"/>
              <w:bottom w:val="nil"/>
              <w:right w:val="nil"/>
            </w:tcBorders>
            <w:tcMar>
              <w:top w:w="0" w:type="dxa"/>
              <w:left w:w="62" w:type="dxa"/>
              <w:bottom w:w="0" w:type="dxa"/>
              <w:right w:w="62" w:type="dxa"/>
            </w:tcMar>
          </w:tcPr>
          <w:p w:rsidR="00000000" w:rsidRPr="00A97997" w:rsidP="00A97997">
            <w:pPr>
              <w:pStyle w:val="ListBullet"/>
            </w:pPr>
            <w:r w:rsidRPr="00A97997">
              <w:t>Commonwealth/state/territory WHS legislation, regulations and co</w:t>
            </w:r>
            <w:r w:rsidRPr="00A97997">
              <w:t>des</w:t>
            </w:r>
          </w:p>
          <w:p w:rsidR="00000000" w:rsidRPr="00A97997" w:rsidP="00A97997">
            <w:pPr>
              <w:pStyle w:val="ListBullet"/>
            </w:pPr>
            <w:r w:rsidRPr="00A97997">
              <w:t>Australian Standards</w:t>
            </w:r>
          </w:p>
          <w:p w:rsidR="00000000" w:rsidRPr="00A97997" w:rsidP="00A97997">
            <w:pPr>
              <w:pStyle w:val="ListBullet"/>
            </w:pPr>
            <w:r w:rsidRPr="00A97997">
              <w:t>Equipment manufacturers’ specifications and procedures</w:t>
            </w:r>
          </w:p>
          <w:p w:rsidR="00000000" w:rsidRPr="00A97997" w:rsidP="00A97997">
            <w:pPr>
              <w:pStyle w:val="ListBullet"/>
            </w:pPr>
            <w:r w:rsidRPr="00A97997">
              <w:t>Industry practices</w:t>
            </w:r>
          </w:p>
          <w:p w:rsidR="00000000" w:rsidRPr="00A97997" w:rsidP="00A97997">
            <w:pPr>
              <w:pStyle w:val="ListBullet"/>
            </w:pPr>
            <w:r w:rsidRPr="00A97997">
              <w:t>Safety manuals</w:t>
            </w:r>
          </w:p>
          <w:p w:rsidR="00000000" w:rsidRPr="00A97997" w:rsidP="00A97997">
            <w:pPr>
              <w:pStyle w:val="ListBullet"/>
            </w:pPr>
            <w:r w:rsidRPr="00A97997">
              <w:t>Maintenance schedules</w:t>
            </w:r>
          </w:p>
          <w:p w:rsidR="00000000" w:rsidRPr="00A97997" w:rsidP="00A97997">
            <w:pPr>
              <w:pStyle w:val="ListBullet"/>
            </w:pPr>
            <w:r w:rsidRPr="00A97997">
              <w:t>Work instructions</w:t>
            </w:r>
          </w:p>
          <w:p w:rsidR="00000000" w:rsidRPr="00A97997" w:rsidP="00A97997">
            <w:pPr>
              <w:pStyle w:val="ListBullet"/>
            </w:pPr>
            <w:r w:rsidRPr="00A97997">
              <w:t>Maintenance organisation manuals</w:t>
            </w:r>
          </w:p>
          <w:p w:rsidR="00000000" w:rsidRPr="00A97997" w:rsidP="00A97997">
            <w:pPr>
              <w:pStyle w:val="ListBullet"/>
            </w:pPr>
            <w:r w:rsidRPr="00A97997">
              <w:t>MSDS</w:t>
            </w:r>
          </w:p>
          <w:p w:rsidR="00000000" w:rsidRPr="00A97997" w:rsidP="00A97997">
            <w:pPr>
              <w:pStyle w:val="ListBullet"/>
            </w:pPr>
            <w:r w:rsidRPr="00A97997">
              <w:t>Defence regulations and instructions</w:t>
            </w:r>
          </w:p>
          <w:p w:rsidR="00000000" w:rsidP="00A97997">
            <w:pPr>
              <w:pStyle w:val="ListBullet"/>
              <w:rPr>
                <w:lang w:val="en-NZ"/>
              </w:rPr>
            </w:pPr>
            <w:r w:rsidRPr="00A97997">
              <w:t>Standing instructions</w:t>
            </w:r>
          </w:p>
        </w:tc>
      </w:tr>
      <w:tr w:rsidTr="00A979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rPr>
                <w:rStyle w:val="SpecialBold"/>
              </w:rPr>
              <w:t>Faults include:</w:t>
            </w:r>
          </w:p>
        </w:tc>
        <w:tc>
          <w:tcPr>
            <w:tcW w:w="6012" w:type="dxa"/>
            <w:tcBorders>
              <w:top w:val="nil"/>
              <w:left w:val="nil"/>
              <w:bottom w:val="nil"/>
              <w:right w:val="nil"/>
            </w:tcBorders>
            <w:tcMar>
              <w:top w:w="0" w:type="dxa"/>
              <w:left w:w="62" w:type="dxa"/>
              <w:bottom w:w="0" w:type="dxa"/>
              <w:right w:w="62" w:type="dxa"/>
            </w:tcMar>
          </w:tcPr>
          <w:p w:rsidR="00000000" w:rsidRPr="00A97997" w:rsidP="00A97997">
            <w:pPr>
              <w:pStyle w:val="ListBullet"/>
            </w:pPr>
            <w:r w:rsidRPr="00A97997">
              <w:t>Contamination</w:t>
            </w:r>
          </w:p>
          <w:p w:rsidR="00000000" w:rsidRPr="00A97997" w:rsidP="00A97997">
            <w:pPr>
              <w:pStyle w:val="ListBullet"/>
            </w:pPr>
            <w:r w:rsidRPr="00A97997">
              <w:t>Corrosion of metal parts, such as zippers</w:t>
            </w:r>
          </w:p>
          <w:p w:rsidR="00000000" w:rsidRPr="00A97997" w:rsidP="00A97997">
            <w:pPr>
              <w:pStyle w:val="ListBullet"/>
            </w:pPr>
            <w:r w:rsidRPr="00A97997">
              <w:t>Delamination</w:t>
            </w:r>
          </w:p>
          <w:p w:rsidR="00000000" w:rsidRPr="00A97997" w:rsidP="00A97997">
            <w:pPr>
              <w:pStyle w:val="ListBullet"/>
            </w:pPr>
            <w:r w:rsidRPr="00A97997">
              <w:t>Incorrect manufacture</w:t>
            </w:r>
          </w:p>
          <w:p w:rsidR="00000000" w:rsidRPr="00A97997" w:rsidP="00A97997">
            <w:pPr>
              <w:pStyle w:val="ListBullet"/>
            </w:pPr>
            <w:r w:rsidRPr="00A97997">
              <w:t>Leaks</w:t>
            </w:r>
          </w:p>
          <w:p w:rsidR="00000000" w:rsidRPr="00A97997" w:rsidP="00A97997">
            <w:pPr>
              <w:pStyle w:val="ListBullet"/>
            </w:pPr>
            <w:r w:rsidRPr="00A97997">
              <w:t>Lifting of tapes</w:t>
            </w:r>
          </w:p>
          <w:p w:rsidR="00000000" w:rsidRPr="00A97997" w:rsidP="00A97997">
            <w:pPr>
              <w:pStyle w:val="ListBullet"/>
            </w:pPr>
            <w:r w:rsidRPr="00A97997">
              <w:t>Scuffing (e.g. boot)</w:t>
            </w:r>
          </w:p>
          <w:p w:rsidR="00000000" w:rsidP="00A97997">
            <w:pPr>
              <w:pStyle w:val="ListBullet"/>
              <w:rPr>
                <w:lang w:val="en-NZ"/>
              </w:rPr>
            </w:pPr>
            <w:r w:rsidRPr="00A97997">
              <w:t>Tears in suit and/or seals</w:t>
            </w:r>
          </w:p>
        </w:tc>
      </w:tr>
      <w:tr w:rsidTr="00A979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rPr>
                <w:rStyle w:val="SpecialBold"/>
              </w:rPr>
              <w:t>Parts of the immersion suit include:</w:t>
            </w:r>
          </w:p>
        </w:tc>
        <w:tc>
          <w:tcPr>
            <w:tcW w:w="6012" w:type="dxa"/>
            <w:tcBorders>
              <w:top w:val="nil"/>
              <w:left w:val="nil"/>
              <w:bottom w:val="nil"/>
              <w:right w:val="nil"/>
            </w:tcBorders>
            <w:tcMar>
              <w:top w:w="0" w:type="dxa"/>
              <w:left w:w="62" w:type="dxa"/>
              <w:bottom w:w="0" w:type="dxa"/>
              <w:right w:w="62" w:type="dxa"/>
            </w:tcMar>
          </w:tcPr>
          <w:p w:rsidR="00000000" w:rsidRPr="00A97997" w:rsidP="00A97997">
            <w:pPr>
              <w:pStyle w:val="ListBullet"/>
            </w:pPr>
            <w:r w:rsidRPr="00A97997">
              <w:t>Boots</w:t>
            </w:r>
          </w:p>
          <w:p w:rsidR="00000000" w:rsidRPr="00A97997" w:rsidP="00A97997">
            <w:pPr>
              <w:pStyle w:val="ListBullet"/>
            </w:pPr>
            <w:r w:rsidRPr="00A97997">
              <w:t>Gloves</w:t>
            </w:r>
          </w:p>
          <w:p w:rsidR="00000000" w:rsidRPr="00A97997" w:rsidP="00A97997">
            <w:pPr>
              <w:pStyle w:val="ListBullet"/>
            </w:pPr>
            <w:r w:rsidRPr="00A97997">
              <w:t>Life line</w:t>
            </w:r>
          </w:p>
          <w:p w:rsidR="00000000" w:rsidRPr="00A97997" w:rsidP="00A97997">
            <w:pPr>
              <w:pStyle w:val="ListBullet"/>
            </w:pPr>
            <w:r w:rsidRPr="00A97997">
              <w:t>Light</w:t>
            </w:r>
          </w:p>
          <w:p w:rsidR="00000000" w:rsidRPr="00A97997" w:rsidP="00A97997">
            <w:pPr>
              <w:pStyle w:val="ListBullet"/>
            </w:pPr>
            <w:r w:rsidRPr="00A97997">
              <w:t>Seals (e.g. wrist, neck)</w:t>
            </w:r>
          </w:p>
          <w:p w:rsidR="00000000" w:rsidP="00A97997">
            <w:pPr>
              <w:pStyle w:val="ListBullet"/>
              <w:rPr>
                <w:lang w:val="en-NZ"/>
              </w:rPr>
            </w:pPr>
            <w:r w:rsidRPr="00A97997">
              <w:t>Whistle</w:t>
            </w:r>
          </w:p>
        </w:tc>
      </w:tr>
      <w:tr w:rsidTr="00A979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7997">
            <w:pPr>
              <w:pStyle w:val="BodyText"/>
              <w:rPr>
                <w:lang w:val="en-NZ"/>
              </w:rPr>
            </w:pPr>
            <w:r w:rsidRPr="00A97997">
              <w:rPr>
                <w:rStyle w:val="SpecialBold"/>
              </w:rPr>
              <w:t>Adjustment of the immersion suit includes:</w:t>
            </w:r>
          </w:p>
        </w:tc>
        <w:tc>
          <w:tcPr>
            <w:tcW w:w="6012" w:type="dxa"/>
            <w:tcBorders>
              <w:top w:val="nil"/>
              <w:left w:val="nil"/>
              <w:bottom w:val="nil"/>
              <w:right w:val="nil"/>
            </w:tcBorders>
            <w:tcMar>
              <w:top w:w="0" w:type="dxa"/>
              <w:left w:w="62" w:type="dxa"/>
              <w:bottom w:w="0" w:type="dxa"/>
              <w:right w:w="62" w:type="dxa"/>
            </w:tcMar>
          </w:tcPr>
          <w:p w:rsidR="00000000" w:rsidRPr="00A97997" w:rsidP="00A97997">
            <w:pPr>
              <w:pStyle w:val="ListBullet"/>
            </w:pPr>
            <w:r w:rsidRPr="00A97997">
              <w:t>Leg length</w:t>
            </w:r>
          </w:p>
          <w:p w:rsidR="00000000" w:rsidRPr="00A97997" w:rsidP="00A97997">
            <w:pPr>
              <w:pStyle w:val="ListBullet"/>
            </w:pPr>
            <w:r w:rsidRPr="00A97997">
              <w:t>Sleeve length</w:t>
            </w:r>
          </w:p>
          <w:p w:rsidR="00000000" w:rsidRPr="00A97997" w:rsidP="00A97997">
            <w:pPr>
              <w:pStyle w:val="ListBullet"/>
            </w:pPr>
            <w:r w:rsidRPr="00A97997">
              <w:t>Trimming seals</w:t>
            </w:r>
          </w:p>
        </w:tc>
      </w:tr>
    </w:tbl>
    <w:p w:rsidR="00000000" w:rsidRPr="00A97997" w:rsidP="00A97997">
      <w:pPr>
        <w:pStyle w:val="BodyText"/>
      </w:pPr>
    </w:p>
    <w:p w:rsidR="00000000" w:rsidRPr="00A97997" w:rsidP="00A97997">
      <w:pPr>
        <w:pStyle w:val="AllowPageBreak"/>
      </w:pPr>
    </w:p>
    <w:p w:rsidR="00000000" w:rsidRPr="00A97997" w:rsidP="00A97997">
      <w:pPr>
        <w:pStyle w:val="Heading1"/>
      </w:pPr>
      <w:bookmarkStart w:id="9" w:name="O_999208"/>
      <w:bookmarkEnd w:id="9"/>
      <w:r w:rsidRPr="00A97997">
        <w:t>Unit Mapping Information</w:t>
      </w:r>
    </w:p>
    <w:p w:rsidR="00000000" w:rsidRPr="00A97997" w:rsidP="004628FD">
      <w:pPr>
        <w:pStyle w:val="BodyText"/>
      </w:pPr>
      <w:r w:rsidRPr="00A97997">
        <w:t>Release 2. Equivalent to MEA503 Maintain and fit immersion suits</w:t>
      </w:r>
    </w:p>
    <w:p w:rsidR="00000000" w:rsidRPr="00A97997" w:rsidP="00A97997">
      <w:pPr>
        <w:pStyle w:val="Heading1"/>
      </w:pPr>
      <w:bookmarkStart w:id="10" w:name="O_999217"/>
      <w:bookmarkEnd w:id="10"/>
      <w:r w:rsidRPr="00A97997">
        <w:t>Links</w:t>
      </w:r>
    </w:p>
    <w:p w:rsidR="00000000" w:rsidRPr="00A97997" w:rsidP="004628FD">
      <w:pPr>
        <w:pStyle w:val="BodyText"/>
      </w:pPr>
      <w:r w:rsidRPr="00A97997">
        <w:t>Compan</w:t>
      </w:r>
      <w:r w:rsidRPr="00A97997">
        <w:t xml:space="preserve">ion Volume implementation guides are found in VETNet - </w:t>
      </w:r>
      <w:r>
        <w:fldChar w:fldCharType="begin"/>
      </w:r>
      <w:r>
        <w:instrText xml:space="preserve"> HYPERLINK "https://vetnet.education.gov.au/Pages/TrainingDocs.aspx?q=ce216c9c-04d5-4b3b-9bcf-4e81d0950371" </w:instrText>
      </w:r>
      <w:r>
        <w:fldChar w:fldCharType="separate"/>
      </w:r>
      <w:r w:rsidRPr="003D1F3C">
        <w:rPr>
          <w:rStyle w:val="Hyperlink"/>
        </w:rPr>
        <w:t>https://vetnet.education.gov.au/Pages/TrainingDocs.aspx?q=ce216c9c-04d5-4b3b-9bcf-4e81d0950371</w:t>
      </w:r>
      <w:r>
        <w:fldChar w:fldCharType="end"/>
      </w:r>
    </w:p>
    <w:p w:rsidR="00000000" w:rsidRPr="00A97997" w:rsidP="00A97997"/>
    <w:sectPr w:rsidSect="00A979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997" w:rsidRPr="004628FD" w:rsidP="004628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FD" w:rsidP="00A97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28FD" w:rsidP="00A9799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28FD" w:rsidP="00A979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7997" w:rsidRPr="004628FD" w:rsidP="004628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FD" w:rsidRPr="002D2AF8" w:rsidP="00A97997">
    <w:pPr>
      <w:pStyle w:val="Header"/>
      <w:framePr w:wrap="around"/>
    </w:pPr>
    <w:r>
      <w:fldChar w:fldCharType="begin"/>
    </w:r>
    <w:r>
      <w:instrText xml:space="preserve"> TITLE   \* MERGEFORMAT </w:instrText>
    </w:r>
    <w:r>
      <w:fldChar w:fldCharType="separate"/>
    </w:r>
    <w:r>
      <w:t>MEA503 Maintain and fit immersion suits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4628FD" w:rsidP="00A979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6AA8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44C1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9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997"/>
    <w:pPr>
      <w:spacing w:before="360" w:after="60"/>
      <w:outlineLvl w:val="0"/>
    </w:pPr>
    <w:rPr>
      <w:sz w:val="32"/>
    </w:rPr>
  </w:style>
  <w:style w:type="paragraph" w:styleId="Heading2">
    <w:name w:val="heading 2"/>
    <w:basedOn w:val="HeadingBase"/>
    <w:next w:val="BodyText"/>
    <w:link w:val="Heading2Char"/>
    <w:qFormat/>
    <w:rsid w:val="00A97997"/>
    <w:pPr>
      <w:keepLines/>
      <w:spacing w:before="240" w:after="120"/>
      <w:outlineLvl w:val="1"/>
    </w:pPr>
    <w:rPr>
      <w:sz w:val="28"/>
      <w:szCs w:val="40"/>
    </w:rPr>
  </w:style>
  <w:style w:type="paragraph" w:styleId="Heading3">
    <w:name w:val="heading 3"/>
    <w:basedOn w:val="HeadingBase"/>
    <w:next w:val="BodyText"/>
    <w:link w:val="Heading3Char"/>
    <w:qFormat/>
    <w:rsid w:val="00A97997"/>
    <w:pPr>
      <w:spacing w:before="180" w:after="120"/>
      <w:outlineLvl w:val="2"/>
    </w:pPr>
    <w:rPr>
      <w:spacing w:val="-10"/>
      <w:kern w:val="32"/>
    </w:rPr>
  </w:style>
  <w:style w:type="paragraph" w:styleId="Heading4">
    <w:name w:val="heading 4"/>
    <w:basedOn w:val="HeadingBase"/>
    <w:next w:val="BodyText"/>
    <w:link w:val="Heading4Char"/>
    <w:qFormat/>
    <w:rsid w:val="00A97997"/>
    <w:pPr>
      <w:spacing w:before="160" w:after="120"/>
      <w:outlineLvl w:val="3"/>
    </w:pPr>
    <w:rPr>
      <w:sz w:val="22"/>
    </w:rPr>
  </w:style>
  <w:style w:type="paragraph" w:styleId="Heading5">
    <w:name w:val="heading 5"/>
    <w:basedOn w:val="HeadingBase"/>
    <w:next w:val="Normal"/>
    <w:link w:val="Heading5Char"/>
    <w:qFormat/>
    <w:rsid w:val="00A97997"/>
    <w:pPr>
      <w:spacing w:before="80"/>
      <w:outlineLvl w:val="4"/>
    </w:pPr>
    <w:rPr>
      <w:color w:val="918585"/>
      <w:sz w:val="20"/>
    </w:rPr>
  </w:style>
  <w:style w:type="paragraph" w:styleId="Heading6">
    <w:name w:val="heading 6"/>
    <w:basedOn w:val="HeadingBase"/>
    <w:next w:val="Normal"/>
    <w:link w:val="Heading6Char"/>
    <w:qFormat/>
    <w:rsid w:val="00A97997"/>
    <w:pPr>
      <w:spacing w:before="60"/>
      <w:outlineLvl w:val="5"/>
    </w:pPr>
    <w:rPr>
      <w:color w:val="918585"/>
      <w:sz w:val="20"/>
    </w:rPr>
  </w:style>
  <w:style w:type="paragraph" w:styleId="Heading7">
    <w:name w:val="heading 7"/>
    <w:basedOn w:val="Normal"/>
    <w:next w:val="Normal"/>
    <w:link w:val="Heading7Char"/>
    <w:qFormat/>
    <w:rsid w:val="00A97997"/>
    <w:pPr>
      <w:ind w:left="720"/>
      <w:outlineLvl w:val="6"/>
    </w:pPr>
    <w:rPr>
      <w:i/>
    </w:rPr>
  </w:style>
  <w:style w:type="paragraph" w:styleId="Heading8">
    <w:name w:val="heading 8"/>
    <w:basedOn w:val="Normal"/>
    <w:next w:val="Normal"/>
    <w:link w:val="Heading8Char"/>
    <w:qFormat/>
    <w:rsid w:val="00A97997"/>
    <w:pPr>
      <w:ind w:left="720"/>
      <w:outlineLvl w:val="7"/>
    </w:pPr>
    <w:rPr>
      <w:i/>
    </w:rPr>
  </w:style>
  <w:style w:type="paragraph" w:styleId="Heading9">
    <w:name w:val="heading 9"/>
    <w:basedOn w:val="Normal"/>
    <w:next w:val="Normal"/>
    <w:link w:val="Heading9Char"/>
    <w:qFormat/>
    <w:rsid w:val="00A97997"/>
    <w:pPr>
      <w:ind w:left="720"/>
      <w:outlineLvl w:val="8"/>
    </w:pPr>
    <w:rPr>
      <w:i/>
    </w:rPr>
  </w:style>
  <w:style w:type="character" w:default="1" w:styleId="DefaultParagraphFont">
    <w:name w:val="Default Paragraph Font"/>
    <w:uiPriority w:val="1"/>
    <w:unhideWhenUsed/>
    <w:rsid w:val="00A97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997"/>
  </w:style>
  <w:style w:type="character" w:customStyle="1" w:styleId="Heading1Char">
    <w:name w:val="Heading 1 Char"/>
    <w:basedOn w:val="DefaultParagraphFont"/>
    <w:link w:val="Heading1"/>
    <w:rsid w:val="00A97997"/>
    <w:rPr>
      <w:rFonts w:ascii="Times New Roman" w:eastAsia="Times New Roman" w:hAnsi="Times New Roman" w:cs="Times New Roman"/>
      <w:b/>
      <w:sz w:val="32"/>
      <w:szCs w:val="20"/>
      <w:lang w:eastAsia="en-US"/>
    </w:rPr>
  </w:style>
  <w:style w:type="paragraph" w:styleId="BodyText">
    <w:name w:val="Body Text"/>
    <w:basedOn w:val="Normal"/>
    <w:link w:val="BodyTextChar"/>
    <w:rsid w:val="00A979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7997"/>
    <w:rPr>
      <w:rFonts w:ascii="Times New Roman" w:eastAsia="Times New Roman" w:hAnsi="Times New Roman" w:cs="Times New Roman"/>
      <w:sz w:val="24"/>
      <w:lang w:eastAsia="en-US"/>
    </w:rPr>
  </w:style>
  <w:style w:type="paragraph" w:styleId="ListBullet">
    <w:name w:val="List Bullet"/>
    <w:basedOn w:val="List"/>
    <w:rsid w:val="00A97997"/>
    <w:pPr>
      <w:numPr>
        <w:numId w:val="11"/>
      </w:numPr>
      <w:tabs>
        <w:tab w:val="clear" w:pos="340"/>
      </w:tabs>
      <w:spacing w:before="40" w:after="40"/>
    </w:pPr>
  </w:style>
  <w:style w:type="character" w:customStyle="1" w:styleId="SpecialBold">
    <w:name w:val="Special Bold"/>
    <w:basedOn w:val="DefaultParagraphFont"/>
    <w:rsid w:val="00A97997"/>
    <w:rPr>
      <w:b/>
      <w:spacing w:val="0"/>
    </w:rPr>
  </w:style>
  <w:style w:type="paragraph" w:customStyle="1" w:styleId="SuperHeading">
    <w:name w:val="SuperHeading"/>
    <w:basedOn w:val="Normal"/>
    <w:rsid w:val="00A97997"/>
    <w:pPr>
      <w:spacing w:before="240" w:after="120"/>
      <w:outlineLvl w:val="0"/>
    </w:pPr>
    <w:rPr>
      <w:rFonts w:ascii="Times New Roman" w:hAnsi="Times New Roman"/>
      <w:b/>
      <w:sz w:val="32"/>
    </w:rPr>
  </w:style>
  <w:style w:type="paragraph" w:customStyle="1" w:styleId="AllowPageBreak">
    <w:name w:val="AllowPageBreak"/>
    <w:rsid w:val="00A979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7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9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9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9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9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997"/>
    <w:rPr>
      <w:rFonts w:ascii="Courier New" w:eastAsia="Times New Roman" w:hAnsi="Courier New" w:cs="Times New Roman"/>
      <w:i/>
      <w:szCs w:val="20"/>
      <w:lang w:eastAsia="en-US"/>
    </w:rPr>
  </w:style>
  <w:style w:type="paragraph" w:customStyle="1" w:styleId="HeadingBase">
    <w:name w:val="Heading Base"/>
    <w:rsid w:val="00A97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997"/>
    <w:pPr>
      <w:tabs>
        <w:tab w:val="right" w:leader="dot" w:pos="9072"/>
      </w:tabs>
      <w:ind w:left="567"/>
    </w:pPr>
    <w:rPr>
      <w:szCs w:val="22"/>
    </w:rPr>
  </w:style>
  <w:style w:type="paragraph" w:customStyle="1" w:styleId="TOCBase">
    <w:name w:val="TOC Base"/>
    <w:rsid w:val="00A97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997"/>
    <w:pPr>
      <w:tabs>
        <w:tab w:val="right" w:leader="dot" w:pos="9072"/>
      </w:tabs>
      <w:spacing w:before="40" w:after="40"/>
      <w:ind w:left="284"/>
    </w:pPr>
    <w:rPr>
      <w:rFonts w:ascii="Times New Roman" w:hAnsi="Times New Roman"/>
    </w:rPr>
  </w:style>
  <w:style w:type="paragraph" w:styleId="TOC1">
    <w:name w:val="toc 1"/>
    <w:basedOn w:val="TOCBase"/>
    <w:next w:val="Normal"/>
    <w:rsid w:val="00A979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997"/>
    <w:rPr>
      <w:rFonts w:ascii="Times New Roman" w:eastAsia="Times New Roman" w:hAnsi="Times New Roman" w:cs="Times New Roman"/>
      <w:sz w:val="16"/>
      <w:lang w:eastAsia="en-US"/>
    </w:rPr>
  </w:style>
  <w:style w:type="paragraph" w:styleId="Title">
    <w:name w:val="Title"/>
    <w:basedOn w:val="HeadingBase"/>
    <w:link w:val="TitleChar"/>
    <w:qFormat/>
    <w:rsid w:val="00A97997"/>
    <w:pPr>
      <w:spacing w:before="5040"/>
      <w:jc w:val="center"/>
    </w:pPr>
    <w:rPr>
      <w:sz w:val="48"/>
      <w:szCs w:val="72"/>
      <w:lang w:val="en-US"/>
    </w:rPr>
  </w:style>
  <w:style w:type="character" w:customStyle="1" w:styleId="TitleChar">
    <w:name w:val="Title Char"/>
    <w:basedOn w:val="DefaultParagraphFont"/>
    <w:link w:val="Title"/>
    <w:rsid w:val="00A97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997"/>
    <w:pPr>
      <w:tabs>
        <w:tab w:val="left" w:pos="3600"/>
        <w:tab w:val="left" w:pos="3958"/>
      </w:tabs>
    </w:pPr>
  </w:style>
  <w:style w:type="paragraph" w:styleId="List">
    <w:name w:val="List"/>
    <w:basedOn w:val="BodyText"/>
    <w:next w:val="BodyText"/>
    <w:rsid w:val="00A97997"/>
    <w:pPr>
      <w:tabs>
        <w:tab w:val="left" w:pos="340"/>
      </w:tabs>
      <w:spacing w:before="60" w:after="60"/>
      <w:ind w:left="340" w:hanging="340"/>
    </w:pPr>
  </w:style>
  <w:style w:type="paragraph" w:customStyle="1" w:styleId="Note">
    <w:name w:val="Note"/>
    <w:basedOn w:val="BodyText"/>
    <w:rsid w:val="00A979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997"/>
    <w:pPr>
      <w:framePr w:wrap="auto" w:hAnchor="text" w:y="6049"/>
    </w:pPr>
    <w:rPr>
      <w:color w:val="000000"/>
      <w:sz w:val="40"/>
    </w:rPr>
  </w:style>
  <w:style w:type="paragraph" w:customStyle="1" w:styleId="TOCTitle">
    <w:name w:val="TOCTitle"/>
    <w:basedOn w:val="Heading1"/>
    <w:rsid w:val="00A97997"/>
    <w:pPr>
      <w:spacing w:after="240"/>
      <w:jc w:val="center"/>
      <w:outlineLvl w:val="9"/>
    </w:pPr>
    <w:rPr>
      <w:caps/>
    </w:rPr>
  </w:style>
  <w:style w:type="paragraph" w:customStyle="1" w:styleId="Version">
    <w:name w:val="Version"/>
    <w:rsid w:val="00A979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7997"/>
    <w:pPr>
      <w:numPr>
        <w:numId w:val="12"/>
      </w:numPr>
      <w:tabs>
        <w:tab w:val="clear" w:pos="680"/>
      </w:tabs>
    </w:pPr>
  </w:style>
  <w:style w:type="paragraph" w:styleId="Index1">
    <w:name w:val="index 1"/>
    <w:basedOn w:val="Normal"/>
    <w:next w:val="Normal"/>
    <w:semiHidden/>
    <w:rsid w:val="00A97997"/>
    <w:pPr>
      <w:keepNext w:val="0"/>
      <w:tabs>
        <w:tab w:val="right" w:pos="4176"/>
      </w:tabs>
      <w:ind w:left="198" w:hanging="198"/>
    </w:pPr>
    <w:rPr>
      <w:rFonts w:ascii="Garamond" w:hAnsi="Garamond"/>
    </w:rPr>
  </w:style>
  <w:style w:type="paragraph" w:styleId="IndexHeading">
    <w:name w:val="index heading"/>
    <w:basedOn w:val="Normal"/>
    <w:next w:val="Index1"/>
    <w:semiHidden/>
    <w:rsid w:val="00A97997"/>
    <w:pPr>
      <w:spacing w:before="120" w:after="120"/>
    </w:pPr>
    <w:rPr>
      <w:rFonts w:ascii="Arial" w:hAnsi="Arial"/>
      <w:b/>
      <w:color w:val="918585"/>
      <w:sz w:val="24"/>
    </w:rPr>
  </w:style>
  <w:style w:type="paragraph" w:styleId="Header">
    <w:name w:val="header"/>
    <w:basedOn w:val="Normal"/>
    <w:link w:val="HeaderChar"/>
    <w:rsid w:val="00A97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997"/>
    <w:rPr>
      <w:rFonts w:ascii="Times New Roman" w:eastAsia="Times New Roman" w:hAnsi="Times New Roman" w:cs="Times New Roman"/>
      <w:sz w:val="16"/>
      <w:szCs w:val="20"/>
      <w:lang w:val="en-GB" w:eastAsia="en-US"/>
    </w:rPr>
  </w:style>
  <w:style w:type="paragraph" w:customStyle="1" w:styleId="Chapter">
    <w:name w:val="Chapter"/>
    <w:basedOn w:val="Normal"/>
    <w:rsid w:val="00A97997"/>
    <w:pPr>
      <w:spacing w:before="240"/>
    </w:pPr>
    <w:rPr>
      <w:rFonts w:ascii="Times New Roman" w:hAnsi="Times New Roman"/>
      <w:smallCaps/>
      <w:spacing w:val="80"/>
      <w:sz w:val="28"/>
    </w:rPr>
  </w:style>
  <w:style w:type="paragraph" w:customStyle="1" w:styleId="InChapter">
    <w:name w:val="InChapter"/>
    <w:basedOn w:val="Heading3"/>
    <w:rsid w:val="00A97997"/>
    <w:pPr>
      <w:spacing w:after="240"/>
      <w:outlineLvl w:val="9"/>
    </w:pPr>
    <w:rPr>
      <w:noProof/>
    </w:rPr>
  </w:style>
  <w:style w:type="paragraph" w:styleId="Index2">
    <w:name w:val="index 2"/>
    <w:basedOn w:val="Normal"/>
    <w:next w:val="Normal"/>
    <w:semiHidden/>
    <w:rsid w:val="00A97997"/>
    <w:pPr>
      <w:tabs>
        <w:tab w:val="right" w:pos="4176"/>
      </w:tabs>
      <w:ind w:left="568" w:hanging="284"/>
    </w:pPr>
    <w:rPr>
      <w:rFonts w:ascii="Garamond" w:hAnsi="Garamond"/>
    </w:rPr>
  </w:style>
  <w:style w:type="paragraph" w:customStyle="1" w:styleId="Byline">
    <w:name w:val="Byline"/>
    <w:rsid w:val="00A97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997"/>
    <w:pPr>
      <w:tabs>
        <w:tab w:val="clear" w:pos="3600"/>
        <w:tab w:val="clear" w:pos="3958"/>
      </w:tabs>
      <w:jc w:val="right"/>
    </w:pPr>
  </w:style>
  <w:style w:type="character" w:styleId="Emphasis">
    <w:name w:val="Emphasis"/>
    <w:basedOn w:val="DefaultParagraphFont"/>
    <w:qFormat/>
    <w:rsid w:val="00A97997"/>
    <w:rPr>
      <w:i/>
    </w:rPr>
  </w:style>
  <w:style w:type="paragraph" w:styleId="Caption">
    <w:name w:val="caption"/>
    <w:basedOn w:val="BodyText"/>
    <w:next w:val="Normal"/>
    <w:qFormat/>
    <w:rsid w:val="00A97997"/>
    <w:pPr>
      <w:framePr w:w="2268" w:hSpace="181" w:vSpace="181" w:wrap="around" w:vAnchor="text" w:hAnchor="page" w:x="1135" w:y="285" w:anchorLock="1"/>
    </w:pPr>
    <w:rPr>
      <w:i/>
    </w:rPr>
  </w:style>
  <w:style w:type="paragraph" w:customStyle="1" w:styleId="MiniTOCTitle">
    <w:name w:val="MiniTOCTitle"/>
    <w:basedOn w:val="Heading4"/>
    <w:rsid w:val="00A97997"/>
    <w:pPr>
      <w:spacing w:before="240"/>
      <w:outlineLvl w:val="9"/>
    </w:pPr>
    <w:rPr>
      <w:noProof/>
      <w:sz w:val="24"/>
    </w:rPr>
  </w:style>
  <w:style w:type="paragraph" w:customStyle="1" w:styleId="MiniTOCItem">
    <w:name w:val="MiniTOCItem"/>
    <w:basedOn w:val="ListBullet"/>
    <w:rsid w:val="00A97997"/>
    <w:pPr>
      <w:numPr>
        <w:numId w:val="0"/>
      </w:numPr>
      <w:tabs>
        <w:tab w:val="right" w:leader="dot" w:pos="6521"/>
      </w:tabs>
      <w:spacing w:before="0" w:after="0"/>
    </w:pPr>
  </w:style>
  <w:style w:type="paragraph" w:customStyle="1" w:styleId="TOFTitle">
    <w:name w:val="TOFTitle"/>
    <w:basedOn w:val="TOCTitle"/>
    <w:rsid w:val="00A97997"/>
  </w:style>
  <w:style w:type="paragraph" w:styleId="TableofFigures">
    <w:name w:val="table of figures"/>
    <w:basedOn w:val="Normal"/>
    <w:next w:val="Normal"/>
    <w:semiHidden/>
    <w:rsid w:val="00A97997"/>
    <w:pPr>
      <w:tabs>
        <w:tab w:val="right" w:leader="dot" w:pos="9072"/>
      </w:tabs>
      <w:ind w:left="970" w:hanging="403"/>
    </w:pPr>
    <w:rPr>
      <w:rFonts w:ascii="Times New Roman" w:hAnsi="Times New Roman"/>
      <w:b/>
    </w:rPr>
  </w:style>
  <w:style w:type="paragraph" w:styleId="ListNumber">
    <w:name w:val="List Number"/>
    <w:basedOn w:val="List"/>
    <w:rsid w:val="00A97997"/>
    <w:pPr>
      <w:numPr>
        <w:numId w:val="14"/>
      </w:numPr>
      <w:tabs>
        <w:tab w:val="clear" w:pos="340"/>
      </w:tabs>
    </w:pPr>
  </w:style>
  <w:style w:type="character" w:customStyle="1" w:styleId="WingdingSymbols">
    <w:name w:val="Wingding Symbols"/>
    <w:rsid w:val="00A97997"/>
    <w:rPr>
      <w:rFonts w:ascii="Wingdings" w:hAnsi="Wingdings"/>
    </w:rPr>
  </w:style>
  <w:style w:type="paragraph" w:customStyle="1" w:styleId="TableHeading">
    <w:name w:val="Table Heading"/>
    <w:basedOn w:val="HeadingBase"/>
    <w:rsid w:val="00A97997"/>
    <w:pPr>
      <w:keepLines/>
      <w:pBdr>
        <w:bottom w:val="single" w:sz="6" w:space="1" w:color="918585"/>
      </w:pBdr>
      <w:spacing w:before="240"/>
    </w:pPr>
  </w:style>
  <w:style w:type="character" w:customStyle="1" w:styleId="HotSpot">
    <w:name w:val="HotSpot"/>
    <w:rsid w:val="00A97997"/>
    <w:rPr>
      <w:color w:val="0033CC"/>
      <w:u w:val="none"/>
    </w:rPr>
  </w:style>
  <w:style w:type="paragraph" w:customStyle="1" w:styleId="BodyTextRight">
    <w:name w:val="Body Text Right"/>
    <w:basedOn w:val="BodyText"/>
    <w:rsid w:val="00A97997"/>
    <w:pPr>
      <w:spacing w:before="0" w:after="0"/>
      <w:jc w:val="right"/>
    </w:pPr>
  </w:style>
  <w:style w:type="paragraph" w:styleId="Index3">
    <w:name w:val="index 3"/>
    <w:basedOn w:val="ListNumber2"/>
    <w:next w:val="Normal"/>
    <w:semiHidden/>
    <w:rsid w:val="00A97997"/>
    <w:pPr>
      <w:numPr>
        <w:numId w:val="0"/>
      </w:numPr>
      <w:tabs>
        <w:tab w:val="right" w:leader="dot" w:pos="4176"/>
      </w:tabs>
    </w:pPr>
  </w:style>
  <w:style w:type="paragraph" w:styleId="ListNumber2">
    <w:name w:val="List Number 2"/>
    <w:basedOn w:val="List2"/>
    <w:rsid w:val="00A97997"/>
    <w:pPr>
      <w:numPr>
        <w:numId w:val="9"/>
      </w:numPr>
      <w:tabs>
        <w:tab w:val="clear" w:pos="1060"/>
      </w:tabs>
    </w:pPr>
  </w:style>
  <w:style w:type="paragraph" w:customStyle="1" w:styleId="MarginNote">
    <w:name w:val="Margin Note"/>
    <w:basedOn w:val="BodyText"/>
    <w:rsid w:val="00A97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9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997"/>
    <w:rPr>
      <w:sz w:val="32"/>
    </w:rPr>
  </w:style>
  <w:style w:type="paragraph" w:customStyle="1" w:styleId="HeadingProcedure">
    <w:name w:val="Heading Procedure"/>
    <w:basedOn w:val="HeadingBase"/>
    <w:next w:val="Normal"/>
    <w:rsid w:val="00A97997"/>
    <w:pPr>
      <w:tabs>
        <w:tab w:val="left" w:pos="0"/>
      </w:tabs>
      <w:spacing w:before="120" w:after="60"/>
    </w:pPr>
    <w:rPr>
      <w:i/>
      <w:color w:val="918585"/>
      <w:sz w:val="22"/>
    </w:rPr>
  </w:style>
  <w:style w:type="paragraph" w:customStyle="1" w:styleId="TableBodyText">
    <w:name w:val="Table Body Text"/>
    <w:basedOn w:val="BodyText"/>
    <w:rsid w:val="00A97997"/>
    <w:pPr>
      <w:spacing w:before="60" w:after="60"/>
    </w:pPr>
  </w:style>
  <w:style w:type="paragraph" w:styleId="ListContinue">
    <w:name w:val="List Continue"/>
    <w:basedOn w:val="List"/>
    <w:rsid w:val="00A97997"/>
    <w:pPr>
      <w:ind w:firstLine="0"/>
    </w:pPr>
  </w:style>
  <w:style w:type="paragraph" w:customStyle="1" w:styleId="ListNote">
    <w:name w:val="List Note"/>
    <w:basedOn w:val="List"/>
    <w:rsid w:val="00A97997"/>
    <w:pPr>
      <w:pBdr>
        <w:top w:val="single" w:sz="6" w:space="2" w:color="918585"/>
        <w:bottom w:val="single" w:sz="6" w:space="2" w:color="918585"/>
      </w:pBdr>
      <w:tabs>
        <w:tab w:val="left" w:pos="1021"/>
      </w:tabs>
      <w:ind w:firstLine="0"/>
    </w:pPr>
  </w:style>
  <w:style w:type="paragraph" w:customStyle="1" w:styleId="Warning">
    <w:name w:val="Warning"/>
    <w:basedOn w:val="BodyText"/>
    <w:rsid w:val="00A97997"/>
    <w:pPr>
      <w:shd w:val="clear" w:color="auto" w:fill="D9D9D9"/>
      <w:tabs>
        <w:tab w:val="left" w:pos="992"/>
      </w:tabs>
      <w:ind w:left="119" w:right="119"/>
    </w:pPr>
    <w:rPr>
      <w:sz w:val="20"/>
    </w:rPr>
  </w:style>
  <w:style w:type="paragraph" w:customStyle="1" w:styleId="MarginIcons">
    <w:name w:val="Margin Icons"/>
    <w:basedOn w:val="BodyText"/>
    <w:rsid w:val="00A979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997"/>
    <w:rPr>
      <w:rFonts w:ascii="Courier New" w:hAnsi="Courier New"/>
    </w:rPr>
  </w:style>
  <w:style w:type="paragraph" w:customStyle="1" w:styleId="NoteBullet">
    <w:name w:val="Note Bullet"/>
    <w:basedOn w:val="Note"/>
    <w:rsid w:val="00A97997"/>
    <w:pPr>
      <w:tabs>
        <w:tab w:val="clear" w:pos="680"/>
      </w:tabs>
      <w:spacing w:before="60" w:after="60"/>
    </w:pPr>
  </w:style>
  <w:style w:type="paragraph" w:customStyle="1" w:styleId="SubHeading2">
    <w:name w:val="SubHeading2"/>
    <w:basedOn w:val="HeadingBase"/>
    <w:rsid w:val="00A97997"/>
    <w:pPr>
      <w:spacing w:before="240" w:after="60"/>
    </w:pPr>
    <w:rPr>
      <w:sz w:val="20"/>
    </w:rPr>
  </w:style>
  <w:style w:type="paragraph" w:customStyle="1" w:styleId="SubHeading1">
    <w:name w:val="SubHeading1"/>
    <w:basedOn w:val="HeadingBase"/>
    <w:rsid w:val="00A97997"/>
    <w:pPr>
      <w:spacing w:before="240" w:after="60"/>
    </w:pPr>
    <w:rPr>
      <w:color w:val="918585"/>
      <w:sz w:val="22"/>
    </w:rPr>
  </w:style>
  <w:style w:type="paragraph" w:customStyle="1" w:styleId="SideHeading">
    <w:name w:val="Side Heading"/>
    <w:basedOn w:val="HeadingBase"/>
    <w:rsid w:val="00A97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997"/>
    <w:pPr>
      <w:numPr>
        <w:numId w:val="10"/>
      </w:numPr>
    </w:pPr>
  </w:style>
  <w:style w:type="paragraph" w:styleId="PlainText">
    <w:name w:val="Plain Text"/>
    <w:basedOn w:val="Normal"/>
    <w:link w:val="PlainTextChar"/>
    <w:rsid w:val="00A97997"/>
    <w:rPr>
      <w:sz w:val="20"/>
    </w:rPr>
  </w:style>
  <w:style w:type="character" w:customStyle="1" w:styleId="PlainTextChar">
    <w:name w:val="Plain Text Char"/>
    <w:basedOn w:val="DefaultParagraphFont"/>
    <w:link w:val="PlainText"/>
    <w:rsid w:val="00A97997"/>
    <w:rPr>
      <w:rFonts w:ascii="Courier New" w:eastAsia="Times New Roman" w:hAnsi="Courier New" w:cs="Times New Roman"/>
      <w:sz w:val="20"/>
      <w:szCs w:val="20"/>
      <w:lang w:eastAsia="en-US"/>
    </w:rPr>
  </w:style>
  <w:style w:type="character" w:customStyle="1" w:styleId="MenuOption">
    <w:name w:val="Menu Option"/>
    <w:basedOn w:val="DefaultParagraphFont"/>
    <w:rsid w:val="00A97997"/>
    <w:rPr>
      <w:b/>
      <w:smallCaps/>
    </w:rPr>
  </w:style>
  <w:style w:type="paragraph" w:customStyle="1" w:styleId="TableListNumber">
    <w:name w:val="Table List Number"/>
    <w:basedOn w:val="ListNumber"/>
    <w:rsid w:val="00A97997"/>
    <w:pPr>
      <w:numPr>
        <w:numId w:val="0"/>
      </w:numPr>
    </w:pPr>
  </w:style>
  <w:style w:type="paragraph" w:styleId="TOC4">
    <w:name w:val="toc 4"/>
    <w:basedOn w:val="TOCBase"/>
    <w:next w:val="Normal"/>
    <w:semiHidden/>
    <w:rsid w:val="00A97997"/>
    <w:pPr>
      <w:tabs>
        <w:tab w:val="right" w:leader="dot" w:pos="9071"/>
      </w:tabs>
      <w:ind w:left="1701"/>
    </w:pPr>
  </w:style>
  <w:style w:type="paragraph" w:customStyle="1" w:styleId="ListAlpha">
    <w:name w:val="List Alpha"/>
    <w:basedOn w:val="List"/>
    <w:rsid w:val="00A97997"/>
    <w:pPr>
      <w:numPr>
        <w:numId w:val="8"/>
      </w:numPr>
    </w:pPr>
  </w:style>
  <w:style w:type="paragraph" w:customStyle="1" w:styleId="ListAlpha2">
    <w:name w:val="List Alpha 2"/>
    <w:basedOn w:val="List2"/>
    <w:rsid w:val="00A97997"/>
    <w:pPr>
      <w:numPr>
        <w:numId w:val="7"/>
      </w:numPr>
    </w:pPr>
  </w:style>
  <w:style w:type="paragraph" w:styleId="List2">
    <w:name w:val="List 2"/>
    <w:basedOn w:val="BodyText"/>
    <w:rsid w:val="00A97997"/>
    <w:pPr>
      <w:tabs>
        <w:tab w:val="left" w:pos="680"/>
      </w:tabs>
      <w:spacing w:before="60" w:after="60"/>
      <w:ind w:left="680" w:hanging="340"/>
    </w:pPr>
  </w:style>
  <w:style w:type="paragraph" w:styleId="List3">
    <w:name w:val="List 3"/>
    <w:basedOn w:val="BodyText"/>
    <w:rsid w:val="00A97997"/>
    <w:pPr>
      <w:tabs>
        <w:tab w:val="left" w:pos="1021"/>
      </w:tabs>
      <w:spacing w:before="60" w:after="60"/>
      <w:ind w:left="1020" w:hanging="340"/>
    </w:pPr>
  </w:style>
  <w:style w:type="paragraph" w:styleId="List4">
    <w:name w:val="List 4"/>
    <w:basedOn w:val="BodyText"/>
    <w:rsid w:val="00A97997"/>
    <w:pPr>
      <w:tabs>
        <w:tab w:val="left" w:pos="1361"/>
      </w:tabs>
      <w:spacing w:before="60" w:after="60"/>
      <w:ind w:left="1361" w:hanging="340"/>
    </w:pPr>
  </w:style>
  <w:style w:type="paragraph" w:styleId="List5">
    <w:name w:val="List 5"/>
    <w:basedOn w:val="BodyText"/>
    <w:rsid w:val="00A97997"/>
    <w:pPr>
      <w:tabs>
        <w:tab w:val="left" w:pos="1701"/>
      </w:tabs>
      <w:spacing w:before="60" w:after="60"/>
      <w:ind w:left="1701" w:hanging="340"/>
    </w:pPr>
  </w:style>
  <w:style w:type="paragraph" w:styleId="ListBullet3">
    <w:name w:val="List Bullet 3"/>
    <w:basedOn w:val="List3"/>
    <w:rsid w:val="00A97997"/>
    <w:pPr>
      <w:numPr>
        <w:numId w:val="13"/>
      </w:numPr>
      <w:tabs>
        <w:tab w:val="clear" w:pos="1021"/>
      </w:tabs>
      <w:ind w:left="1037" w:hanging="357"/>
    </w:pPr>
  </w:style>
  <w:style w:type="paragraph" w:styleId="ListBullet4">
    <w:name w:val="List Bullet 4"/>
    <w:basedOn w:val="List4"/>
    <w:rsid w:val="00A97997"/>
    <w:pPr>
      <w:numPr>
        <w:numId w:val="2"/>
      </w:numPr>
      <w:tabs>
        <w:tab w:val="clear" w:pos="1361"/>
      </w:tabs>
    </w:pPr>
  </w:style>
  <w:style w:type="paragraph" w:styleId="ListBullet5">
    <w:name w:val="List Bullet 5"/>
    <w:basedOn w:val="List5"/>
    <w:rsid w:val="00A97997"/>
    <w:pPr>
      <w:numPr>
        <w:numId w:val="3"/>
      </w:numPr>
    </w:pPr>
  </w:style>
  <w:style w:type="paragraph" w:styleId="ListContinue2">
    <w:name w:val="List Continue 2"/>
    <w:basedOn w:val="List2"/>
    <w:rsid w:val="00A97997"/>
    <w:pPr>
      <w:ind w:firstLine="0"/>
    </w:pPr>
  </w:style>
  <w:style w:type="paragraph" w:styleId="ListContinue3">
    <w:name w:val="List Continue 3"/>
    <w:basedOn w:val="List3"/>
    <w:rsid w:val="00A97997"/>
    <w:pPr>
      <w:ind w:left="1021" w:firstLine="0"/>
    </w:pPr>
  </w:style>
  <w:style w:type="paragraph" w:styleId="ListContinue4">
    <w:name w:val="List Continue 4"/>
    <w:basedOn w:val="List4"/>
    <w:rsid w:val="00A97997"/>
    <w:pPr>
      <w:ind w:firstLine="0"/>
    </w:pPr>
  </w:style>
  <w:style w:type="paragraph" w:styleId="ListContinue5">
    <w:name w:val="List Continue 5"/>
    <w:basedOn w:val="List5"/>
    <w:rsid w:val="00A97997"/>
    <w:pPr>
      <w:ind w:firstLine="0"/>
    </w:pPr>
  </w:style>
  <w:style w:type="paragraph" w:styleId="ListNumber3">
    <w:name w:val="List Number 3"/>
    <w:basedOn w:val="List3"/>
    <w:rsid w:val="00A97997"/>
    <w:pPr>
      <w:numPr>
        <w:numId w:val="4"/>
      </w:numPr>
    </w:pPr>
  </w:style>
  <w:style w:type="paragraph" w:styleId="ListNumber4">
    <w:name w:val="List Number 4"/>
    <w:basedOn w:val="List4"/>
    <w:rsid w:val="00A97997"/>
    <w:pPr>
      <w:numPr>
        <w:numId w:val="5"/>
      </w:numPr>
    </w:pPr>
  </w:style>
  <w:style w:type="paragraph" w:styleId="ListNumber5">
    <w:name w:val="List Number 5"/>
    <w:basedOn w:val="List5"/>
    <w:rsid w:val="00A97997"/>
    <w:pPr>
      <w:numPr>
        <w:numId w:val="6"/>
      </w:numPr>
    </w:pPr>
  </w:style>
  <w:style w:type="paragraph" w:styleId="BlockText">
    <w:name w:val="Block Text"/>
    <w:basedOn w:val="Normal"/>
    <w:rsid w:val="00A97997"/>
    <w:pPr>
      <w:spacing w:after="120"/>
      <w:ind w:left="1440" w:right="1440"/>
    </w:pPr>
  </w:style>
  <w:style w:type="character" w:customStyle="1" w:styleId="Subscript">
    <w:name w:val="Subscript"/>
    <w:basedOn w:val="DefaultParagraphFont"/>
    <w:rsid w:val="00A97997"/>
    <w:rPr>
      <w:sz w:val="16"/>
      <w:vertAlign w:val="subscript"/>
    </w:rPr>
  </w:style>
  <w:style w:type="character" w:customStyle="1" w:styleId="Superscript">
    <w:name w:val="Superscript"/>
    <w:basedOn w:val="DefaultParagraphFont"/>
    <w:rsid w:val="00A97997"/>
    <w:rPr>
      <w:sz w:val="16"/>
      <w:vertAlign w:val="superscript"/>
    </w:rPr>
  </w:style>
  <w:style w:type="character" w:customStyle="1" w:styleId="Symbols">
    <w:name w:val="Symbols"/>
    <w:basedOn w:val="DefaultParagraphFont"/>
    <w:rsid w:val="00A97997"/>
    <w:rPr>
      <w:rFonts w:ascii="Symbol" w:hAnsi="Symbol"/>
    </w:rPr>
  </w:style>
  <w:style w:type="character" w:customStyle="1" w:styleId="MenuOptions">
    <w:name w:val="Menu Options"/>
    <w:basedOn w:val="DefaultParagraphFont"/>
    <w:rsid w:val="00A97997"/>
    <w:rPr>
      <w:rFonts w:ascii="Arial Narrow" w:hAnsi="Arial Narrow"/>
      <w:smallCaps/>
    </w:rPr>
  </w:style>
  <w:style w:type="character" w:customStyle="1" w:styleId="Buttons">
    <w:name w:val="Buttons"/>
    <w:basedOn w:val="DefaultParagraphFont"/>
    <w:rsid w:val="00A97997"/>
    <w:rPr>
      <w:b/>
    </w:rPr>
  </w:style>
  <w:style w:type="character" w:customStyle="1" w:styleId="Underlined">
    <w:name w:val="Underlined"/>
    <w:basedOn w:val="DefaultParagraphFont"/>
    <w:rsid w:val="00A97997"/>
    <w:rPr>
      <w:u w:val="single"/>
    </w:rPr>
  </w:style>
  <w:style w:type="paragraph" w:customStyle="1" w:styleId="TableBodyTextRight">
    <w:name w:val="Table Body Text Right"/>
    <w:basedOn w:val="TableBodyText"/>
    <w:rsid w:val="00A97997"/>
    <w:pPr>
      <w:widowControl w:val="0"/>
      <w:autoSpaceDE w:val="0"/>
      <w:autoSpaceDN w:val="0"/>
      <w:adjustRightInd w:val="0"/>
      <w:jc w:val="right"/>
    </w:pPr>
    <w:rPr>
      <w:rFonts w:cs="Arial"/>
      <w:szCs w:val="18"/>
    </w:rPr>
  </w:style>
  <w:style w:type="paragraph" w:customStyle="1" w:styleId="CopyrightText">
    <w:name w:val="Copyright Text"/>
    <w:basedOn w:val="BodyText"/>
    <w:rsid w:val="00A97997"/>
    <w:rPr>
      <w:sz w:val="18"/>
    </w:rPr>
  </w:style>
  <w:style w:type="paragraph" w:customStyle="1" w:styleId="BodySmallRight">
    <w:name w:val="Body Small Right"/>
    <w:basedOn w:val="BodyTextRight"/>
    <w:rsid w:val="00A97997"/>
    <w:rPr>
      <w:sz w:val="18"/>
      <w:szCs w:val="18"/>
    </w:rPr>
  </w:style>
  <w:style w:type="paragraph" w:customStyle="1" w:styleId="MarginEdition">
    <w:name w:val="Margin Edition"/>
    <w:basedOn w:val="MarginNote"/>
    <w:rsid w:val="00A97997"/>
    <w:pPr>
      <w:spacing w:before="0" w:after="0"/>
    </w:pPr>
    <w:rPr>
      <w:rFonts w:ascii="Times New Roman" w:hAnsi="Times New Roman"/>
      <w:color w:val="999999"/>
    </w:rPr>
  </w:style>
  <w:style w:type="paragraph" w:customStyle="1" w:styleId="Spacer">
    <w:name w:val="Spacer"/>
    <w:basedOn w:val="Normal"/>
    <w:rsid w:val="00A97997"/>
    <w:rPr>
      <w:sz w:val="2"/>
      <w:szCs w:val="2"/>
    </w:rPr>
  </w:style>
  <w:style w:type="character" w:customStyle="1" w:styleId="Small">
    <w:name w:val="Small"/>
    <w:basedOn w:val="DefaultParagraphFont"/>
    <w:rsid w:val="00A97997"/>
    <w:rPr>
      <w:sz w:val="16"/>
    </w:rPr>
  </w:style>
  <w:style w:type="paragraph" w:customStyle="1" w:styleId="WideTable">
    <w:name w:val="Wide Table"/>
    <w:basedOn w:val="Normal"/>
    <w:rsid w:val="00A97997"/>
    <w:pPr>
      <w:ind w:left="-1418"/>
    </w:pPr>
    <w:rPr>
      <w:sz w:val="2"/>
      <w:szCs w:val="2"/>
    </w:rPr>
  </w:style>
  <w:style w:type="character" w:styleId="PageNumber">
    <w:name w:val="page number"/>
    <w:basedOn w:val="DefaultParagraphFont"/>
    <w:rsid w:val="00A97997"/>
  </w:style>
  <w:style w:type="paragraph" w:styleId="Quote">
    <w:name w:val="Quote"/>
    <w:basedOn w:val="Heading1"/>
    <w:link w:val="QuoteChar"/>
    <w:qFormat/>
    <w:rsid w:val="00A97997"/>
    <w:rPr>
      <w:b w:val="0"/>
      <w:sz w:val="72"/>
      <w:szCs w:val="72"/>
      <w:lang w:val="en-NZ"/>
    </w:rPr>
  </w:style>
  <w:style w:type="character" w:customStyle="1" w:styleId="QuoteChar">
    <w:name w:val="Quote Char"/>
    <w:basedOn w:val="DefaultParagraphFont"/>
    <w:link w:val="Quote"/>
    <w:rsid w:val="00A97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997"/>
    <w:pPr>
      <w:pageBreakBefore/>
    </w:pPr>
  </w:style>
  <w:style w:type="paragraph" w:customStyle="1" w:styleId="Border">
    <w:name w:val="Border"/>
    <w:basedOn w:val="Normal"/>
    <w:qFormat/>
    <w:rsid w:val="00A97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997"/>
    <w:rPr>
      <w:b/>
      <w:bCs/>
      <w:i/>
      <w:iCs/>
      <w:color w:val="auto"/>
    </w:rPr>
  </w:style>
  <w:style w:type="paragraph" w:styleId="IntenseQuote">
    <w:name w:val="Intense Quote"/>
    <w:basedOn w:val="Normal"/>
    <w:next w:val="Normal"/>
    <w:link w:val="IntenseQuoteChar"/>
    <w:uiPriority w:val="30"/>
    <w:qFormat/>
    <w:rsid w:val="00A97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9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997"/>
    <w:rPr>
      <w:smallCaps/>
      <w:color w:val="auto"/>
      <w:u w:val="single"/>
    </w:rPr>
  </w:style>
  <w:style w:type="character" w:styleId="IntenseReference">
    <w:name w:val="Intense Reference"/>
    <w:basedOn w:val="DefaultParagraphFont"/>
    <w:uiPriority w:val="32"/>
    <w:qFormat/>
    <w:rsid w:val="00A97997"/>
    <w:rPr>
      <w:b/>
      <w:bCs/>
      <w:smallCaps/>
      <w:color w:val="auto"/>
      <w:spacing w:val="5"/>
      <w:u w:val="single"/>
    </w:rPr>
  </w:style>
  <w:style w:type="paragraph" w:customStyle="1" w:styleId="2ColumnHeading">
    <w:name w:val="2Column Heading"/>
    <w:basedOn w:val="BodyText"/>
    <w:qFormat/>
    <w:rsid w:val="00A97997"/>
    <w:pPr>
      <w:spacing w:after="60"/>
      <w:ind w:left="-2268"/>
    </w:pPr>
    <w:rPr>
      <w:b/>
    </w:rPr>
  </w:style>
  <w:style w:type="paragraph" w:customStyle="1" w:styleId="Heading1TOC">
    <w:name w:val="Heading1 TOC"/>
    <w:basedOn w:val="Normal"/>
    <w:qFormat/>
    <w:rsid w:val="00A97997"/>
    <w:pPr>
      <w:spacing w:before="240" w:after="120"/>
    </w:pPr>
    <w:rPr>
      <w:rFonts w:ascii="Times New Roman" w:hAnsi="Times New Roman"/>
      <w:b/>
      <w:sz w:val="32"/>
    </w:rPr>
  </w:style>
  <w:style w:type="paragraph" w:customStyle="1" w:styleId="Heading2TOC">
    <w:name w:val="Heading2 TOC"/>
    <w:basedOn w:val="Normal"/>
    <w:qFormat/>
    <w:rsid w:val="00A97997"/>
    <w:pPr>
      <w:spacing w:before="240" w:after="60"/>
    </w:pPr>
    <w:rPr>
      <w:rFonts w:ascii="Times New Roman" w:hAnsi="Times New Roman"/>
      <w:b/>
      <w:sz w:val="28"/>
    </w:rPr>
  </w:style>
  <w:style w:type="character" w:customStyle="1" w:styleId="Underline">
    <w:name w:val="Underline"/>
    <w:basedOn w:val="DefaultParagraphFont"/>
    <w:qFormat/>
    <w:rsid w:val="00A97997"/>
    <w:rPr>
      <w:u w:val="single"/>
    </w:rPr>
  </w:style>
  <w:style w:type="character" w:customStyle="1" w:styleId="BoldandItalics">
    <w:name w:val="Bold and Italics"/>
    <w:qFormat/>
    <w:rsid w:val="00A97997"/>
    <w:rPr>
      <w:b/>
      <w:i/>
      <w:u w:val="none"/>
    </w:rPr>
  </w:style>
  <w:style w:type="paragraph" w:styleId="BalloonText">
    <w:name w:val="Balloon Text"/>
    <w:basedOn w:val="Normal"/>
    <w:link w:val="BalloonTextChar"/>
    <w:rsid w:val="00A97997"/>
    <w:rPr>
      <w:rFonts w:ascii="Tahoma" w:hAnsi="Tahoma" w:cs="Tahoma"/>
      <w:sz w:val="16"/>
      <w:szCs w:val="16"/>
    </w:rPr>
  </w:style>
  <w:style w:type="character" w:customStyle="1" w:styleId="BalloonTextChar">
    <w:name w:val="Balloon Text Char"/>
    <w:basedOn w:val="DefaultParagraphFont"/>
    <w:link w:val="BalloonText"/>
    <w:rsid w:val="00A979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9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79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997"/>
    <w:rPr>
      <w:b/>
      <w:color w:val="660033"/>
      <w:spacing w:val="0"/>
    </w:rPr>
  </w:style>
  <w:style w:type="paragraph" w:customStyle="1" w:styleId="Nameditemlist">
    <w:name w:val="Named item list"/>
    <w:basedOn w:val="BodyText"/>
    <w:qFormat/>
    <w:rsid w:val="00A97997"/>
    <w:pPr>
      <w:tabs>
        <w:tab w:val="left" w:pos="2835"/>
      </w:tabs>
      <w:ind w:left="2835" w:hanging="2835"/>
    </w:pPr>
  </w:style>
  <w:style w:type="paragraph" w:customStyle="1" w:styleId="BodyTextnopadding">
    <w:name w:val="Body Text no padding"/>
    <w:basedOn w:val="BodyText"/>
    <w:qFormat/>
    <w:rsid w:val="00A97997"/>
    <w:pPr>
      <w:spacing w:before="0" w:after="0"/>
    </w:pPr>
  </w:style>
  <w:style w:type="paragraph" w:customStyle="1" w:styleId="BodyTextBold">
    <w:name w:val="Body Text Bold"/>
    <w:basedOn w:val="BodyText"/>
    <w:qFormat/>
    <w:rsid w:val="00A97997"/>
    <w:rPr>
      <w:b/>
    </w:rPr>
  </w:style>
  <w:style w:type="character" w:styleId="Hyperlink">
    <w:name w:val="Hyperlink"/>
    <w:basedOn w:val="DefaultParagraphFont"/>
    <w:uiPriority w:val="99"/>
    <w:unhideWhenUsed/>
    <w:rsid w:val="004628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4165</Characters>
  <Application>Microsoft Office Word</Application>
  <DocSecurity>0</DocSecurity>
  <Lines>198</Lines>
  <Paragraphs>123</Paragraphs>
  <ScaleCrop>false</ScaleCrop>
  <Company>Author-it Software Corporation Ltd.</Company>
  <LinksUpToDate>false</LinksUpToDate>
  <CharactersWithSpaces>4695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MEA503 Maintain and fit immersion suits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2019-09-30T08:37:00Z</dcterms:created>
  <dcterms:modified xsi:type="dcterms:W3CDTF">2019-09-30T08:37:00Z</dcterms:modified>
</cp:coreProperties>
</file>