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8C3" w:rsidP="000778C3">
      <w:pPr>
        <w:pStyle w:val="Title"/>
      </w:pPr>
      <w:r>
        <w:fldChar w:fldCharType="begin"/>
      </w:r>
      <w:r>
        <w:instrText xml:space="preserve"> TITLE   \* MERGEFORMAT </w:instrText>
      </w:r>
      <w:r>
        <w:fldChar w:fldCharType="separate"/>
      </w:r>
      <w:r>
        <w:t>MEA501 Maintain and fit anti-G suits</w:t>
      </w:r>
      <w:r>
        <w:fldChar w:fldCharType="end"/>
      </w:r>
    </w:p>
    <w:p w:rsidR="000778C3" w:rsidP="000778C3">
      <w:pPr>
        <w:pStyle w:val="Version"/>
        <w:sectPr w:rsidSect="00A768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7681D" w:rsidP="00A7681D">
      <w:pPr>
        <w:pStyle w:val="SuperHeading"/>
      </w:pPr>
      <w:r w:rsidRPr="00A7681D">
        <w:t>MEA501 Maintain and fit anti-G suits</w:t>
      </w:r>
    </w:p>
    <w:p w:rsidR="00000000" w:rsidRPr="00A7681D" w:rsidP="00A7681D">
      <w:pPr>
        <w:pStyle w:val="Heading1"/>
      </w:pPr>
      <w:bookmarkStart w:id="1" w:name="O_999180"/>
      <w:bookmarkEnd w:id="1"/>
      <w:r w:rsidRPr="00A7681D">
        <w:t>Modification History</w:t>
      </w:r>
    </w:p>
    <w:p w:rsidR="00000000" w:rsidRPr="00A7681D" w:rsidP="000778C3">
      <w:pPr>
        <w:pStyle w:val="BodyText"/>
      </w:pPr>
      <w:r w:rsidRPr="00A7681D">
        <w:t>Release 2. Equivalent to MEA501 Maintain and fit anti-G suits with amended prerequisite codes.</w:t>
      </w:r>
    </w:p>
    <w:p w:rsidR="00000000" w:rsidRPr="00A7681D" w:rsidP="00A7681D">
      <w:pPr>
        <w:pStyle w:val="Heading1"/>
      </w:pPr>
      <w:bookmarkStart w:id="2" w:name="O_999179"/>
      <w:bookmarkEnd w:id="2"/>
      <w:r w:rsidRPr="00A7681D">
        <w:t>Application</w:t>
      </w:r>
    </w:p>
    <w:p w:rsidR="00000000" w:rsidRPr="00A7681D" w:rsidP="000778C3">
      <w:pPr>
        <w:pStyle w:val="BodyText"/>
      </w:pPr>
      <w:r w:rsidRPr="00A7681D">
        <w:t>This unit of competency requires application of skills and knowledge relating to the maintenance and fitment of</w:t>
      </w:r>
      <w:r w:rsidRPr="00A7681D">
        <w:t xml:space="preserve"> anti-G suits worn by aircrew and passengers in high performance aircraft. Maintenance involves inspection, testing, fault diagnosis, replacement of parts, repairs to fabric and cleaning. Fitment involves adjusting the anti-G suit to correctly fit an indiv</w:t>
      </w:r>
      <w:r w:rsidRPr="00A7681D">
        <w:t>idual. Maintenance may be performed individually or as part of a team.</w:t>
      </w:r>
    </w:p>
    <w:p w:rsidR="00000000" w:rsidRPr="00A7681D" w:rsidP="000778C3">
      <w:pPr>
        <w:pStyle w:val="BodyText"/>
      </w:pPr>
      <w:r w:rsidRPr="00A7681D">
        <w:t>The scope of repairs excludes inflatable components of the anti-G suit.</w:t>
      </w:r>
    </w:p>
    <w:p w:rsidR="00000000" w:rsidRPr="00A7681D" w:rsidP="000778C3">
      <w:pPr>
        <w:pStyle w:val="BodyText"/>
      </w:pPr>
      <w:r w:rsidRPr="00A7681D">
        <w:t xml:space="preserve">This unit is part of the Aeroskills Life Support and Furnishing Certificate III and IV training pathways. </w:t>
      </w:r>
    </w:p>
    <w:p w:rsidR="00000000" w:rsidRPr="00A7681D" w:rsidP="000778C3">
      <w:pPr>
        <w:pStyle w:val="BodyText"/>
      </w:pPr>
      <w:r w:rsidRPr="00A7681D">
        <w:t>The</w:t>
      </w:r>
      <w:r w:rsidRPr="00A7681D">
        <w:t xml:space="preserve"> unit is used in workplaces that operate under the airworthiness regulatory systems of the Australian Defence Force (ADF) and the Civil Aviation Safety Authority (CASA).</w:t>
      </w:r>
    </w:p>
    <w:p w:rsidR="00000000" w:rsidRPr="00A7681D" w:rsidP="00A7681D">
      <w:pPr>
        <w:pStyle w:val="Heading1"/>
      </w:pPr>
      <w:bookmarkStart w:id="3" w:name="O_999178"/>
      <w:bookmarkEnd w:id="3"/>
      <w:r w:rsidRPr="00A7681D">
        <w:t>Pre-requisite Unit</w:t>
      </w:r>
    </w:p>
    <w:tbl>
      <w:tblPr>
        <w:tblW w:w="9326" w:type="dxa"/>
        <w:tblLayout w:type="fixed"/>
        <w:tblCellMar>
          <w:left w:w="62" w:type="dxa"/>
          <w:right w:w="62" w:type="dxa"/>
        </w:tblCellMar>
        <w:tblLook w:val="0000"/>
      </w:tblPr>
      <w:tblGrid>
        <w:gridCol w:w="2486"/>
        <w:gridCol w:w="6840"/>
      </w:tblGrid>
      <w:tr w:rsidTr="00A7681D">
        <w:tblPrEx>
          <w:tblW w:w="9326" w:type="dxa"/>
          <w:tblLayout w:type="fixed"/>
          <w:tblCellMar>
            <w:left w:w="62" w:type="dxa"/>
            <w:right w:w="62" w:type="dxa"/>
          </w:tblCellMar>
          <w:tblLook w:val="0000"/>
        </w:tblPrEx>
        <w:trPr>
          <w:trHeight w:val="466"/>
        </w:trPr>
        <w:tc>
          <w:tcPr>
            <w:tcW w:w="2486"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MEA107</w:t>
            </w:r>
          </w:p>
        </w:tc>
        <w:tc>
          <w:tcPr>
            <w:tcW w:w="684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Interpret and use aviation maintenance indu</w:t>
            </w:r>
            <w:r w:rsidRPr="00A7681D">
              <w:t>stry manuals and specifications</w:t>
            </w:r>
          </w:p>
        </w:tc>
      </w:tr>
      <w:tr w:rsidTr="00A7681D">
        <w:tblPrEx>
          <w:tblW w:w="9326" w:type="dxa"/>
          <w:tblLayout w:type="fixed"/>
          <w:tblCellMar>
            <w:left w:w="62" w:type="dxa"/>
            <w:right w:w="62" w:type="dxa"/>
          </w:tblCellMar>
          <w:tblLook w:val="0000"/>
        </w:tblPrEx>
        <w:trPr>
          <w:trHeight w:val="466"/>
        </w:trPr>
        <w:tc>
          <w:tcPr>
            <w:tcW w:w="2486"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MEA118</w:t>
            </w:r>
          </w:p>
        </w:tc>
        <w:tc>
          <w:tcPr>
            <w:tcW w:w="684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Conduct self in the aviation maintenance environment</w:t>
            </w:r>
          </w:p>
        </w:tc>
      </w:tr>
      <w:tr w:rsidTr="00A7681D">
        <w:tblPrEx>
          <w:tblW w:w="9326" w:type="dxa"/>
          <w:tblLayout w:type="fixed"/>
          <w:tblCellMar>
            <w:left w:w="62" w:type="dxa"/>
            <w:right w:w="62" w:type="dxa"/>
          </w:tblCellMar>
          <w:tblLook w:val="0000"/>
        </w:tblPrEx>
        <w:trPr>
          <w:trHeight w:val="466"/>
        </w:trPr>
        <w:tc>
          <w:tcPr>
            <w:tcW w:w="2486"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MEA154</w:t>
            </w:r>
          </w:p>
        </w:tc>
        <w:tc>
          <w:tcPr>
            <w:tcW w:w="684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Apply work health and safety practices in aviation maintenance</w:t>
            </w:r>
          </w:p>
        </w:tc>
      </w:tr>
      <w:tr w:rsidTr="00A7681D">
        <w:tblPrEx>
          <w:tblW w:w="9326" w:type="dxa"/>
          <w:tblLayout w:type="fixed"/>
          <w:tblCellMar>
            <w:left w:w="62" w:type="dxa"/>
            <w:right w:w="62" w:type="dxa"/>
          </w:tblCellMar>
          <w:tblLook w:val="0000"/>
        </w:tblPrEx>
        <w:trPr>
          <w:trHeight w:val="466"/>
        </w:trPr>
        <w:tc>
          <w:tcPr>
            <w:tcW w:w="2486"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MEA155</w:t>
            </w:r>
          </w:p>
        </w:tc>
        <w:tc>
          <w:tcPr>
            <w:tcW w:w="684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Plan and organise aviation maintenance work activities</w:t>
            </w:r>
          </w:p>
        </w:tc>
      </w:tr>
      <w:tr w:rsidTr="00A7681D">
        <w:tblPrEx>
          <w:tblW w:w="9326" w:type="dxa"/>
          <w:tblLayout w:type="fixed"/>
          <w:tblCellMar>
            <w:left w:w="62" w:type="dxa"/>
            <w:right w:w="62" w:type="dxa"/>
          </w:tblCellMar>
          <w:tblLook w:val="0000"/>
        </w:tblPrEx>
        <w:trPr>
          <w:trHeight w:val="466"/>
        </w:trPr>
        <w:tc>
          <w:tcPr>
            <w:tcW w:w="2486"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MEA156</w:t>
            </w:r>
          </w:p>
        </w:tc>
        <w:tc>
          <w:tcPr>
            <w:tcW w:w="684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Apply quality standards during aviation maintenance activities</w:t>
            </w:r>
          </w:p>
        </w:tc>
      </w:tr>
      <w:tr w:rsidTr="00A7681D">
        <w:tblPrEx>
          <w:tblW w:w="9326" w:type="dxa"/>
          <w:tblLayout w:type="fixed"/>
          <w:tblCellMar>
            <w:left w:w="62" w:type="dxa"/>
            <w:right w:w="62" w:type="dxa"/>
          </w:tblCellMar>
          <w:tblLook w:val="0000"/>
        </w:tblPrEx>
        <w:trPr>
          <w:trHeight w:val="466"/>
        </w:trPr>
        <w:tc>
          <w:tcPr>
            <w:tcW w:w="2486"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MEA157</w:t>
            </w:r>
          </w:p>
        </w:tc>
        <w:tc>
          <w:tcPr>
            <w:tcW w:w="684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Complete aviation maintenance industry documentation</w:t>
            </w:r>
          </w:p>
        </w:tc>
      </w:tr>
      <w:tr w:rsidTr="00A7681D">
        <w:tblPrEx>
          <w:tblW w:w="9326" w:type="dxa"/>
          <w:tblLayout w:type="fixed"/>
          <w:tblCellMar>
            <w:left w:w="62" w:type="dxa"/>
            <w:right w:w="62" w:type="dxa"/>
          </w:tblCellMar>
          <w:tblLook w:val="0000"/>
        </w:tblPrEx>
        <w:trPr>
          <w:trHeight w:val="466"/>
        </w:trPr>
        <w:tc>
          <w:tcPr>
            <w:tcW w:w="2486"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MEA158</w:t>
            </w:r>
          </w:p>
        </w:tc>
        <w:tc>
          <w:tcPr>
            <w:tcW w:w="684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Perform basic hand skills, standard trade practices and fundamentals in aviation maintenance</w:t>
            </w:r>
          </w:p>
        </w:tc>
      </w:tr>
      <w:tr w:rsidTr="00A7681D">
        <w:tblPrEx>
          <w:tblW w:w="9326" w:type="dxa"/>
          <w:tblLayout w:type="fixed"/>
          <w:tblCellMar>
            <w:left w:w="62" w:type="dxa"/>
            <w:right w:w="62" w:type="dxa"/>
          </w:tblCellMar>
          <w:tblLook w:val="0000"/>
        </w:tblPrEx>
        <w:trPr>
          <w:trHeight w:val="466"/>
        </w:trPr>
        <w:tc>
          <w:tcPr>
            <w:tcW w:w="2486"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MEA511</w:t>
            </w:r>
          </w:p>
        </w:tc>
        <w:tc>
          <w:tcPr>
            <w:tcW w:w="684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Operate and maintain se</w:t>
            </w:r>
            <w:r w:rsidRPr="00A7681D">
              <w:t>wing machines and overlockers</w:t>
            </w:r>
          </w:p>
        </w:tc>
      </w:tr>
      <w:tr w:rsidTr="00A7681D">
        <w:tblPrEx>
          <w:tblW w:w="9326" w:type="dxa"/>
          <w:tblLayout w:type="fixed"/>
          <w:tblCellMar>
            <w:left w:w="62" w:type="dxa"/>
            <w:right w:w="62" w:type="dxa"/>
          </w:tblCellMar>
          <w:tblLook w:val="0000"/>
        </w:tblPrEx>
        <w:trPr>
          <w:trHeight w:val="466"/>
        </w:trPr>
        <w:tc>
          <w:tcPr>
            <w:tcW w:w="2486"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MSFSF2002</w:t>
            </w:r>
          </w:p>
        </w:tc>
        <w:tc>
          <w:tcPr>
            <w:tcW w:w="6840" w:type="dxa"/>
            <w:tcBorders>
              <w:top w:val="nil"/>
              <w:left w:val="nil"/>
              <w:bottom w:val="nil"/>
              <w:right w:val="nil"/>
            </w:tcBorders>
            <w:tcMar>
              <w:top w:w="0" w:type="dxa"/>
              <w:left w:w="62" w:type="dxa"/>
              <w:bottom w:w="0" w:type="dxa"/>
              <w:right w:w="62" w:type="dxa"/>
            </w:tcMar>
          </w:tcPr>
          <w:p w:rsidR="00000000" w:rsidRPr="00A7681D" w:rsidP="00A7681D">
            <w:pPr>
              <w:pStyle w:val="BodyText"/>
            </w:pPr>
            <w:r w:rsidRPr="00A7681D">
              <w:t>Machine sew materials</w:t>
            </w:r>
          </w:p>
        </w:tc>
      </w:tr>
    </w:tbl>
    <w:p w:rsidR="00000000" w:rsidRPr="00A7681D" w:rsidP="00A7681D">
      <w:pPr>
        <w:pStyle w:val="BodyText"/>
      </w:pPr>
    </w:p>
    <w:p w:rsidR="00000000" w:rsidRPr="00A7681D" w:rsidP="00A7681D">
      <w:pPr>
        <w:pStyle w:val="AllowPageBreak"/>
      </w:pPr>
    </w:p>
    <w:p w:rsidR="00000000" w:rsidRPr="00A7681D" w:rsidP="00A7681D">
      <w:pPr>
        <w:pStyle w:val="Heading1"/>
      </w:pPr>
      <w:bookmarkStart w:id="4" w:name="O_999177"/>
      <w:bookmarkEnd w:id="4"/>
      <w:r w:rsidRPr="00A7681D">
        <w:t>Competency Field</w:t>
      </w:r>
    </w:p>
    <w:p w:rsidR="00000000" w:rsidRPr="00A7681D" w:rsidP="000778C3">
      <w:pPr>
        <w:pStyle w:val="BodyText"/>
      </w:pPr>
      <w:r w:rsidRPr="00A7681D">
        <w:t>Aircraft life support</w:t>
      </w:r>
    </w:p>
    <w:p w:rsidR="00000000" w:rsidRPr="00A7681D" w:rsidP="00A7681D">
      <w:pPr>
        <w:pStyle w:val="Heading1"/>
      </w:pPr>
      <w:bookmarkStart w:id="5" w:name="O_999176"/>
      <w:bookmarkEnd w:id="5"/>
      <w:r w:rsidRPr="00A7681D">
        <w:t>Unit Sector</w:t>
      </w:r>
    </w:p>
    <w:p w:rsidR="00000000" w:rsidRPr="00A7681D" w:rsidP="00A7681D">
      <w:pPr>
        <w:pStyle w:val="Heading1"/>
      </w:pPr>
      <w:bookmarkStart w:id="6" w:name="O_999175"/>
      <w:bookmarkEnd w:id="6"/>
      <w:r w:rsidRPr="00A7681D">
        <w:t>Elements and Performance Criteria</w:t>
      </w:r>
    </w:p>
    <w:tbl>
      <w:tblPr>
        <w:tblW w:w="9450" w:type="dxa"/>
        <w:tblLayout w:type="fixed"/>
        <w:tblCellMar>
          <w:left w:w="62" w:type="dxa"/>
          <w:right w:w="62" w:type="dxa"/>
        </w:tblCellMar>
        <w:tblLook w:val="0000"/>
      </w:tblPr>
      <w:tblGrid>
        <w:gridCol w:w="598"/>
        <w:gridCol w:w="2462"/>
        <w:gridCol w:w="900"/>
        <w:gridCol w:w="5490"/>
      </w:tblGrid>
      <w:tr w:rsidTr="00A7681D">
        <w:tblPrEx>
          <w:tblW w:w="9450" w:type="dxa"/>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Elements describe the essential outcomes.</w:t>
            </w:r>
          </w:p>
        </w:tc>
        <w:tc>
          <w:tcPr>
            <w:tcW w:w="6390" w:type="dxa"/>
            <w:gridSpan w:val="2"/>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 xml:space="preserve">Performance criteria describe the performance needed to demonstrate achievement of the element. </w:t>
            </w:r>
          </w:p>
        </w:tc>
      </w:tr>
      <w:tr w:rsidTr="00A7681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1.</w:t>
            </w:r>
          </w:p>
        </w:tc>
        <w:tc>
          <w:tcPr>
            <w:tcW w:w="2462"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Maintain anti-G suit</w:t>
            </w:r>
          </w:p>
        </w:tc>
        <w:tc>
          <w:tcPr>
            <w:tcW w:w="90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1.1</w:t>
            </w:r>
          </w:p>
        </w:tc>
        <w:tc>
          <w:tcPr>
            <w:tcW w:w="549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Anti-G suit is inspected for serviceability in accordance with standard procedures</w:t>
            </w:r>
          </w:p>
        </w:tc>
      </w:tr>
      <w:tr w:rsidTr="00A7681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1.2</w:t>
            </w:r>
          </w:p>
        </w:tc>
        <w:tc>
          <w:tcPr>
            <w:tcW w:w="549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Anti-G suit is tested for serviceability in accordance with standard procedures and manufacturer’s specifications</w:t>
            </w:r>
          </w:p>
        </w:tc>
      </w:tr>
      <w:tr w:rsidTr="00A7681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1.3</w:t>
            </w:r>
          </w:p>
        </w:tc>
        <w:tc>
          <w:tcPr>
            <w:tcW w:w="549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Identified faults beyond own authority to rectify are reported to supervisor and faulty anti-G suit is quarantined</w:t>
            </w:r>
          </w:p>
        </w:tc>
      </w:tr>
      <w:tr w:rsidTr="00A7681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1.4</w:t>
            </w:r>
          </w:p>
        </w:tc>
        <w:tc>
          <w:tcPr>
            <w:tcW w:w="549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Unserviceable</w:t>
            </w:r>
            <w:r w:rsidRPr="00A7681D">
              <w:t xml:space="preserve"> parts of the anti-G suit are replaced and fabric repairs are completed in accordance with standards procedures while observing all relevant work health and safety (WHS) requirements, including the use of material safety data sheets (MSDS) and items of per</w:t>
            </w:r>
            <w:r w:rsidRPr="00A7681D">
              <w:t>sonal protective equipment (PPE)</w:t>
            </w:r>
          </w:p>
        </w:tc>
      </w:tr>
      <w:tr w:rsidTr="00A7681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1.5</w:t>
            </w:r>
          </w:p>
        </w:tc>
        <w:tc>
          <w:tcPr>
            <w:tcW w:w="549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Anti-G suit is cleaned in accordance with standard procedures</w:t>
            </w:r>
          </w:p>
        </w:tc>
      </w:tr>
      <w:tr w:rsidTr="00A7681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1.6</w:t>
            </w:r>
          </w:p>
        </w:tc>
        <w:tc>
          <w:tcPr>
            <w:tcW w:w="549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Anti-G suit is presented for inspection by supervisor in accordance with standard procedures</w:t>
            </w:r>
          </w:p>
        </w:tc>
      </w:tr>
      <w:tr w:rsidTr="00A7681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1.7</w:t>
            </w:r>
          </w:p>
        </w:tc>
        <w:tc>
          <w:tcPr>
            <w:tcW w:w="549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Maintenance documentation is completed and processed in accordance with standard enterprise procedures</w:t>
            </w:r>
          </w:p>
        </w:tc>
      </w:tr>
      <w:tr w:rsidTr="00A7681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2.</w:t>
            </w:r>
          </w:p>
        </w:tc>
        <w:tc>
          <w:tcPr>
            <w:tcW w:w="2462"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Fit anti-G suit</w:t>
            </w:r>
          </w:p>
        </w:tc>
        <w:tc>
          <w:tcPr>
            <w:tcW w:w="90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2.1</w:t>
            </w:r>
          </w:p>
        </w:tc>
        <w:tc>
          <w:tcPr>
            <w:tcW w:w="549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Fitting process is explained to the participant so that optimal fit can be achieved</w:t>
            </w:r>
          </w:p>
        </w:tc>
      </w:tr>
      <w:tr w:rsidTr="00A7681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2.2</w:t>
            </w:r>
          </w:p>
        </w:tc>
        <w:tc>
          <w:tcPr>
            <w:tcW w:w="549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Participant is measured and appropriat</w:t>
            </w:r>
            <w:r w:rsidRPr="00A7681D">
              <w:t xml:space="preserve">e size anti-G suit </w:t>
            </w:r>
            <w:r w:rsidRPr="00A7681D">
              <w:t>is selected</w:t>
            </w:r>
          </w:p>
        </w:tc>
      </w:tr>
      <w:tr w:rsidTr="00A7681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2.3</w:t>
            </w:r>
          </w:p>
        </w:tc>
        <w:tc>
          <w:tcPr>
            <w:tcW w:w="549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Anti-G suit is adjusted to optimise fit in conjunction with participant feedback</w:t>
            </w:r>
          </w:p>
        </w:tc>
      </w:tr>
      <w:tr w:rsidTr="00A7681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2.4</w:t>
            </w:r>
          </w:p>
        </w:tc>
        <w:tc>
          <w:tcPr>
            <w:tcW w:w="549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Anti-G suit fit is verified by the supervisor</w:t>
            </w:r>
          </w:p>
        </w:tc>
      </w:tr>
      <w:tr w:rsidTr="00A7681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2.5</w:t>
            </w:r>
          </w:p>
        </w:tc>
        <w:tc>
          <w:tcPr>
            <w:tcW w:w="5490" w:type="dxa"/>
            <w:tcBorders>
              <w:top w:val="nil"/>
              <w:left w:val="nil"/>
              <w:bottom w:val="nil"/>
              <w:right w:val="nil"/>
            </w:tcBorders>
            <w:tcMar>
              <w:top w:w="0" w:type="dxa"/>
              <w:left w:w="62" w:type="dxa"/>
              <w:bottom w:w="0" w:type="dxa"/>
              <w:right w:w="62" w:type="dxa"/>
            </w:tcMar>
          </w:tcPr>
          <w:p w:rsidR="00000000" w:rsidRPr="00A7681D" w:rsidP="00A7681D">
            <w:pPr>
              <w:pStyle w:val="BodyText"/>
            </w:pPr>
            <w:r w:rsidRPr="00A7681D">
              <w:t>Relevant documentation is completed and processed in accordance with standard enterprise procedures</w:t>
            </w:r>
          </w:p>
        </w:tc>
      </w:tr>
    </w:tbl>
    <w:p w:rsidR="00000000" w:rsidRPr="00A7681D" w:rsidP="00A7681D">
      <w:pPr>
        <w:pStyle w:val="BodyText"/>
      </w:pPr>
    </w:p>
    <w:p w:rsidR="00000000" w:rsidRPr="00A7681D" w:rsidP="00A7681D">
      <w:pPr>
        <w:pStyle w:val="AllowPageBreak"/>
      </w:pPr>
    </w:p>
    <w:p w:rsidR="00000000" w:rsidRPr="00A7681D" w:rsidP="00A7681D">
      <w:pPr>
        <w:pStyle w:val="Heading1"/>
      </w:pPr>
      <w:bookmarkStart w:id="7" w:name="O_999174"/>
      <w:bookmarkEnd w:id="7"/>
      <w:r w:rsidRPr="00A7681D">
        <w:t>Foundation Skills</w:t>
      </w:r>
    </w:p>
    <w:p w:rsidR="00000000" w:rsidRPr="00A7681D" w:rsidP="000778C3">
      <w:pPr>
        <w:pStyle w:val="BodyText"/>
      </w:pPr>
      <w:r w:rsidRPr="00A7681D">
        <w:t>Foundation skills essential to performance are explicit in the performance criteria of this unit of competency.</w:t>
      </w:r>
    </w:p>
    <w:p w:rsidR="00000000" w:rsidRPr="00A7681D" w:rsidP="00A7681D">
      <w:pPr>
        <w:pStyle w:val="Heading1"/>
      </w:pPr>
      <w:bookmarkStart w:id="8" w:name="O_999173"/>
      <w:bookmarkEnd w:id="8"/>
      <w:r w:rsidRPr="00A7681D">
        <w:t>Range of Conditions</w:t>
      </w:r>
    </w:p>
    <w:tbl>
      <w:tblPr>
        <w:tblW w:w="0" w:type="auto"/>
        <w:tblLayout w:type="fixed"/>
        <w:tblCellMar>
          <w:left w:w="62" w:type="dxa"/>
          <w:right w:w="62" w:type="dxa"/>
        </w:tblCellMar>
        <w:tblLook w:val="0000"/>
      </w:tblPr>
      <w:tblGrid>
        <w:gridCol w:w="3240"/>
        <w:gridCol w:w="5832"/>
      </w:tblGrid>
      <w:tr w:rsidTr="00A768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t>This field allows for different work environments and conditions that may affect performance. Essential operating conditions that may be present (depending on the work situation, needs of the candidate, accessibility of the it</w:t>
            </w:r>
            <w:r w:rsidRPr="00A7681D">
              <w:t>em, and local industry and regional contexts) are included.</w:t>
            </w:r>
          </w:p>
        </w:tc>
      </w:tr>
      <w:tr w:rsidTr="00A7681D">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rPr>
                <w:rStyle w:val="SpecialBold"/>
              </w:rPr>
              <w:t>Standard procedures are found in any or all of:</w:t>
            </w:r>
          </w:p>
        </w:tc>
        <w:tc>
          <w:tcPr>
            <w:tcW w:w="5832" w:type="dxa"/>
            <w:tcBorders>
              <w:top w:val="nil"/>
              <w:left w:val="nil"/>
              <w:bottom w:val="nil"/>
              <w:right w:val="nil"/>
            </w:tcBorders>
            <w:tcMar>
              <w:top w:w="0" w:type="dxa"/>
              <w:left w:w="62" w:type="dxa"/>
              <w:bottom w:w="0" w:type="dxa"/>
              <w:right w:w="62" w:type="dxa"/>
            </w:tcMar>
          </w:tcPr>
          <w:p w:rsidR="00000000" w:rsidRPr="00A7681D" w:rsidP="00A7681D">
            <w:pPr>
              <w:pStyle w:val="ListBullet"/>
            </w:pPr>
            <w:r w:rsidRPr="00A7681D">
              <w:t>Commonwealth/state/territory WHS legislation, regulations and codes</w:t>
            </w:r>
          </w:p>
          <w:p w:rsidR="00000000" w:rsidRPr="00A7681D" w:rsidP="00A7681D">
            <w:pPr>
              <w:pStyle w:val="ListBullet"/>
            </w:pPr>
            <w:r w:rsidRPr="00A7681D">
              <w:t>Australian Standards</w:t>
            </w:r>
          </w:p>
          <w:p w:rsidR="00000000" w:rsidRPr="00A7681D" w:rsidP="00A7681D">
            <w:pPr>
              <w:pStyle w:val="ListBullet"/>
            </w:pPr>
            <w:r w:rsidRPr="00A7681D">
              <w:t>Equipment manufacturers’ specifications and procedures</w:t>
            </w:r>
          </w:p>
          <w:p w:rsidR="00000000" w:rsidRPr="00A7681D" w:rsidP="00A7681D">
            <w:pPr>
              <w:pStyle w:val="ListBullet"/>
            </w:pPr>
            <w:r w:rsidRPr="00A7681D">
              <w:t>Industry practices</w:t>
            </w:r>
          </w:p>
          <w:p w:rsidR="00000000" w:rsidRPr="00A7681D" w:rsidP="00A7681D">
            <w:pPr>
              <w:pStyle w:val="ListBullet"/>
            </w:pPr>
            <w:r w:rsidRPr="00A7681D">
              <w:t>Safety manuals</w:t>
            </w:r>
          </w:p>
          <w:p w:rsidR="00000000" w:rsidRPr="00A7681D" w:rsidP="00A7681D">
            <w:pPr>
              <w:pStyle w:val="ListBullet"/>
            </w:pPr>
            <w:r w:rsidRPr="00A7681D">
              <w:t>Maintenance schedules</w:t>
            </w:r>
          </w:p>
          <w:p w:rsidR="00000000" w:rsidRPr="00A7681D" w:rsidP="00A7681D">
            <w:pPr>
              <w:pStyle w:val="ListBullet"/>
            </w:pPr>
            <w:r w:rsidRPr="00A7681D">
              <w:t>Work instructions</w:t>
            </w:r>
          </w:p>
          <w:p w:rsidR="00000000" w:rsidRPr="00A7681D" w:rsidP="00A7681D">
            <w:pPr>
              <w:pStyle w:val="ListBullet"/>
            </w:pPr>
            <w:r w:rsidRPr="00A7681D">
              <w:t>Maintenance organisation manuals</w:t>
            </w:r>
          </w:p>
          <w:p w:rsidR="00000000" w:rsidRPr="00A7681D" w:rsidP="00A7681D">
            <w:pPr>
              <w:pStyle w:val="ListBullet"/>
            </w:pPr>
            <w:r w:rsidRPr="00A7681D">
              <w:t>MSDS</w:t>
            </w:r>
          </w:p>
          <w:p w:rsidR="00000000" w:rsidRPr="00A7681D" w:rsidP="00A7681D">
            <w:pPr>
              <w:pStyle w:val="ListBullet"/>
            </w:pPr>
            <w:r w:rsidRPr="00A7681D">
              <w:t>Defence regulations and instructions</w:t>
            </w:r>
          </w:p>
          <w:p w:rsidR="00000000" w:rsidP="00A7681D">
            <w:pPr>
              <w:pStyle w:val="ListBullet"/>
              <w:rPr>
                <w:lang w:val="en-NZ"/>
              </w:rPr>
            </w:pPr>
            <w:r w:rsidRPr="00A7681D">
              <w:t>Standing instructions</w:t>
            </w:r>
          </w:p>
        </w:tc>
      </w:tr>
      <w:tr w:rsidTr="00A7681D">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rPr>
                <w:rStyle w:val="SpecialBold"/>
              </w:rPr>
              <w:t>Typical faults include:</w:t>
            </w:r>
          </w:p>
        </w:tc>
        <w:tc>
          <w:tcPr>
            <w:tcW w:w="5832" w:type="dxa"/>
            <w:tcBorders>
              <w:top w:val="nil"/>
              <w:left w:val="nil"/>
              <w:bottom w:val="nil"/>
              <w:right w:val="nil"/>
            </w:tcBorders>
            <w:tcMar>
              <w:top w:w="0" w:type="dxa"/>
              <w:left w:w="62" w:type="dxa"/>
              <w:bottom w:w="0" w:type="dxa"/>
              <w:right w:w="62" w:type="dxa"/>
            </w:tcMar>
          </w:tcPr>
          <w:p w:rsidR="00000000" w:rsidRPr="00A7681D" w:rsidP="00A7681D">
            <w:pPr>
              <w:pStyle w:val="ListBullet"/>
            </w:pPr>
            <w:r w:rsidRPr="00A7681D">
              <w:t>Broken zips and stitching</w:t>
            </w:r>
          </w:p>
          <w:p w:rsidR="00000000" w:rsidRPr="00A7681D" w:rsidP="00A7681D">
            <w:pPr>
              <w:pStyle w:val="ListBullet"/>
            </w:pPr>
            <w:r w:rsidRPr="00A7681D">
              <w:t>Contamination</w:t>
            </w:r>
          </w:p>
          <w:p w:rsidR="00000000" w:rsidRPr="00A7681D" w:rsidP="00A7681D">
            <w:pPr>
              <w:pStyle w:val="ListBullet"/>
            </w:pPr>
            <w:r w:rsidRPr="00A7681D">
              <w:t>Corrosion of metal parts, such as zippers</w:t>
            </w:r>
          </w:p>
          <w:p w:rsidR="00000000" w:rsidRPr="00A7681D" w:rsidP="00A7681D">
            <w:pPr>
              <w:pStyle w:val="ListBullet"/>
            </w:pPr>
            <w:r w:rsidRPr="00A7681D">
              <w:t>Damaged hardware</w:t>
            </w:r>
          </w:p>
          <w:p w:rsidR="00000000" w:rsidRPr="00A7681D" w:rsidP="00A7681D">
            <w:pPr>
              <w:pStyle w:val="ListBullet"/>
            </w:pPr>
            <w:r w:rsidRPr="00A7681D">
              <w:t>Excessive wear</w:t>
            </w:r>
          </w:p>
          <w:p w:rsidR="00000000" w:rsidRPr="00A7681D" w:rsidP="00A7681D">
            <w:pPr>
              <w:pStyle w:val="ListBullet"/>
            </w:pPr>
            <w:r w:rsidRPr="00A7681D">
              <w:t>Incorrect manufacture</w:t>
            </w:r>
          </w:p>
          <w:p w:rsidR="00000000" w:rsidRPr="00A7681D" w:rsidP="00A7681D">
            <w:pPr>
              <w:pStyle w:val="ListBullet"/>
            </w:pPr>
            <w:r w:rsidRPr="00A7681D">
              <w:t>Leaks</w:t>
            </w:r>
          </w:p>
          <w:p w:rsidR="00000000" w:rsidP="00A7681D">
            <w:pPr>
              <w:pStyle w:val="ListBullet"/>
              <w:rPr>
                <w:lang w:val="en-NZ"/>
              </w:rPr>
            </w:pPr>
            <w:r w:rsidRPr="00A7681D">
              <w:t>Tears</w:t>
            </w:r>
          </w:p>
        </w:tc>
      </w:tr>
      <w:tr w:rsidTr="00A7681D">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rPr>
                <w:rStyle w:val="SpecialBold"/>
              </w:rPr>
              <w:t>Anti-G suit replaceable parts include:</w:t>
            </w:r>
          </w:p>
        </w:tc>
        <w:tc>
          <w:tcPr>
            <w:tcW w:w="5832" w:type="dxa"/>
            <w:tcBorders>
              <w:top w:val="nil"/>
              <w:left w:val="nil"/>
              <w:bottom w:val="nil"/>
              <w:right w:val="nil"/>
            </w:tcBorders>
            <w:tcMar>
              <w:top w:w="0" w:type="dxa"/>
              <w:left w:w="62" w:type="dxa"/>
              <w:bottom w:w="0" w:type="dxa"/>
              <w:right w:w="62" w:type="dxa"/>
            </w:tcMar>
          </w:tcPr>
          <w:p w:rsidR="00000000" w:rsidRPr="00A7681D" w:rsidP="00A7681D">
            <w:pPr>
              <w:pStyle w:val="ListBullet"/>
            </w:pPr>
            <w:r w:rsidRPr="00A7681D">
              <w:t>Eyelets</w:t>
            </w:r>
          </w:p>
          <w:p w:rsidR="00000000" w:rsidRPr="00A7681D" w:rsidP="00A7681D">
            <w:pPr>
              <w:pStyle w:val="ListBullet"/>
            </w:pPr>
            <w:r w:rsidRPr="00A7681D">
              <w:t>Press studs</w:t>
            </w:r>
          </w:p>
          <w:p w:rsidR="00000000" w:rsidP="00A7681D">
            <w:pPr>
              <w:pStyle w:val="ListBullet"/>
              <w:rPr>
                <w:lang w:val="en-NZ"/>
              </w:rPr>
            </w:pPr>
            <w:r w:rsidRPr="00A7681D">
              <w:t>Zips</w:t>
            </w:r>
          </w:p>
        </w:tc>
      </w:tr>
      <w:tr w:rsidTr="00A7681D">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A7681D">
            <w:pPr>
              <w:pStyle w:val="BodyText"/>
              <w:rPr>
                <w:lang w:val="en-NZ"/>
              </w:rPr>
            </w:pPr>
            <w:r w:rsidRPr="00A7681D">
              <w:rPr>
                <w:rStyle w:val="SpecialBold"/>
              </w:rPr>
              <w:t>Adjustment of fit is effected by:</w:t>
            </w:r>
          </w:p>
        </w:tc>
        <w:tc>
          <w:tcPr>
            <w:tcW w:w="5832" w:type="dxa"/>
            <w:tcBorders>
              <w:top w:val="nil"/>
              <w:left w:val="nil"/>
              <w:bottom w:val="nil"/>
              <w:right w:val="nil"/>
            </w:tcBorders>
            <w:tcMar>
              <w:top w:w="0" w:type="dxa"/>
              <w:left w:w="62" w:type="dxa"/>
              <w:bottom w:w="0" w:type="dxa"/>
              <w:right w:w="62" w:type="dxa"/>
            </w:tcMar>
          </w:tcPr>
          <w:p w:rsidR="00000000" w:rsidRPr="00A7681D" w:rsidP="00A7681D">
            <w:pPr>
              <w:pStyle w:val="ListBullet"/>
            </w:pPr>
            <w:r w:rsidRPr="00A7681D">
              <w:t>Lacing of torso and legs</w:t>
            </w:r>
          </w:p>
          <w:p w:rsidR="00000000" w:rsidRPr="00A7681D" w:rsidP="00A7681D">
            <w:pPr>
              <w:pStyle w:val="ListBullet"/>
            </w:pPr>
            <w:r w:rsidRPr="00A7681D">
              <w:t>Waist extension/reduction</w:t>
            </w:r>
          </w:p>
        </w:tc>
      </w:tr>
    </w:tbl>
    <w:p w:rsidR="00000000" w:rsidRPr="00A7681D" w:rsidP="00A7681D">
      <w:pPr>
        <w:pStyle w:val="BodyText"/>
      </w:pPr>
    </w:p>
    <w:p w:rsidR="00000000" w:rsidRPr="00A7681D" w:rsidP="00A7681D">
      <w:pPr>
        <w:pStyle w:val="AllowPageBreak"/>
      </w:pPr>
    </w:p>
    <w:p w:rsidR="00000000" w:rsidRPr="00A7681D" w:rsidP="00A7681D">
      <w:pPr>
        <w:pStyle w:val="Heading1"/>
      </w:pPr>
      <w:bookmarkStart w:id="9" w:name="O_999172"/>
      <w:bookmarkEnd w:id="9"/>
      <w:r w:rsidRPr="00A7681D">
        <w:t>Unit Mapping Information</w:t>
      </w:r>
    </w:p>
    <w:p w:rsidR="00000000" w:rsidRPr="00A7681D" w:rsidP="000778C3">
      <w:pPr>
        <w:pStyle w:val="BodyText"/>
      </w:pPr>
      <w:r w:rsidRPr="00A7681D">
        <w:t>Release 2. Equivalent to MEA501 Maintain and fit anti-G suits</w:t>
      </w:r>
    </w:p>
    <w:p w:rsidR="00000000" w:rsidRPr="00A7681D" w:rsidP="00A7681D">
      <w:pPr>
        <w:pStyle w:val="Heading1"/>
      </w:pPr>
      <w:bookmarkStart w:id="10" w:name="O_999181"/>
      <w:bookmarkEnd w:id="10"/>
      <w:r w:rsidRPr="00A7681D">
        <w:t>Links</w:t>
      </w:r>
    </w:p>
    <w:p w:rsidR="00000000" w:rsidRPr="00A7681D" w:rsidP="000778C3">
      <w:pPr>
        <w:pStyle w:val="BodyText"/>
      </w:pPr>
      <w:r w:rsidRPr="00A7681D">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02447D">
        <w:rPr>
          <w:rStyle w:val="Hyperlink"/>
        </w:rPr>
        <w:t>https://vetnet.education.gov.au/Pages/TrainingDocs.aspx?q=ce216c9c-04d5-4b3b-9bcf-4e81d0950371</w:t>
      </w:r>
      <w:r>
        <w:fldChar w:fldCharType="end"/>
      </w:r>
    </w:p>
    <w:p w:rsidR="00000000" w:rsidRPr="00A7681D" w:rsidP="00A7681D"/>
    <w:sectPr w:rsidSect="00A768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8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81D" w:rsidRPr="000778C3" w:rsidP="000778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8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8C3" w:rsidP="00A768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78C3" w:rsidP="00A7681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78C3" w:rsidP="00A768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8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8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681D" w:rsidRPr="000778C3" w:rsidP="000778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8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8C3" w:rsidRPr="002D2AF8" w:rsidP="00A7681D">
    <w:pPr>
      <w:pStyle w:val="Header"/>
      <w:framePr w:wrap="around"/>
    </w:pPr>
    <w:r>
      <w:fldChar w:fldCharType="begin"/>
    </w:r>
    <w:r>
      <w:instrText xml:space="preserve"> TITLE   \* MERGEFORMAT </w:instrText>
    </w:r>
    <w:r>
      <w:fldChar w:fldCharType="separate"/>
    </w:r>
    <w:r>
      <w:t>MEA501 Maintain and fit anti-G suits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0778C3" w:rsidP="00A768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2C31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C2B8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8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681D"/>
    <w:pPr>
      <w:spacing w:before="360" w:after="60"/>
      <w:outlineLvl w:val="0"/>
    </w:pPr>
    <w:rPr>
      <w:sz w:val="32"/>
    </w:rPr>
  </w:style>
  <w:style w:type="paragraph" w:styleId="Heading2">
    <w:name w:val="heading 2"/>
    <w:basedOn w:val="HeadingBase"/>
    <w:next w:val="BodyText"/>
    <w:link w:val="Heading2Char"/>
    <w:qFormat/>
    <w:rsid w:val="00A7681D"/>
    <w:pPr>
      <w:keepLines/>
      <w:spacing w:before="240" w:after="120"/>
      <w:outlineLvl w:val="1"/>
    </w:pPr>
    <w:rPr>
      <w:sz w:val="28"/>
      <w:szCs w:val="40"/>
    </w:rPr>
  </w:style>
  <w:style w:type="paragraph" w:styleId="Heading3">
    <w:name w:val="heading 3"/>
    <w:basedOn w:val="HeadingBase"/>
    <w:next w:val="BodyText"/>
    <w:link w:val="Heading3Char"/>
    <w:qFormat/>
    <w:rsid w:val="00A7681D"/>
    <w:pPr>
      <w:spacing w:before="180" w:after="120"/>
      <w:outlineLvl w:val="2"/>
    </w:pPr>
    <w:rPr>
      <w:spacing w:val="-10"/>
      <w:kern w:val="32"/>
    </w:rPr>
  </w:style>
  <w:style w:type="paragraph" w:styleId="Heading4">
    <w:name w:val="heading 4"/>
    <w:basedOn w:val="HeadingBase"/>
    <w:next w:val="BodyText"/>
    <w:link w:val="Heading4Char"/>
    <w:qFormat/>
    <w:rsid w:val="00A7681D"/>
    <w:pPr>
      <w:spacing w:before="160" w:after="120"/>
      <w:outlineLvl w:val="3"/>
    </w:pPr>
    <w:rPr>
      <w:sz w:val="22"/>
    </w:rPr>
  </w:style>
  <w:style w:type="paragraph" w:styleId="Heading5">
    <w:name w:val="heading 5"/>
    <w:basedOn w:val="HeadingBase"/>
    <w:next w:val="Normal"/>
    <w:link w:val="Heading5Char"/>
    <w:qFormat/>
    <w:rsid w:val="00A7681D"/>
    <w:pPr>
      <w:spacing w:before="80"/>
      <w:outlineLvl w:val="4"/>
    </w:pPr>
    <w:rPr>
      <w:color w:val="918585"/>
      <w:sz w:val="20"/>
    </w:rPr>
  </w:style>
  <w:style w:type="paragraph" w:styleId="Heading6">
    <w:name w:val="heading 6"/>
    <w:basedOn w:val="HeadingBase"/>
    <w:next w:val="Normal"/>
    <w:link w:val="Heading6Char"/>
    <w:qFormat/>
    <w:rsid w:val="00A7681D"/>
    <w:pPr>
      <w:spacing w:before="60"/>
      <w:outlineLvl w:val="5"/>
    </w:pPr>
    <w:rPr>
      <w:color w:val="918585"/>
      <w:sz w:val="20"/>
    </w:rPr>
  </w:style>
  <w:style w:type="paragraph" w:styleId="Heading7">
    <w:name w:val="heading 7"/>
    <w:basedOn w:val="Normal"/>
    <w:next w:val="Normal"/>
    <w:link w:val="Heading7Char"/>
    <w:qFormat/>
    <w:rsid w:val="00A7681D"/>
    <w:pPr>
      <w:ind w:left="720"/>
      <w:outlineLvl w:val="6"/>
    </w:pPr>
    <w:rPr>
      <w:i/>
    </w:rPr>
  </w:style>
  <w:style w:type="paragraph" w:styleId="Heading8">
    <w:name w:val="heading 8"/>
    <w:basedOn w:val="Normal"/>
    <w:next w:val="Normal"/>
    <w:link w:val="Heading8Char"/>
    <w:qFormat/>
    <w:rsid w:val="00A7681D"/>
    <w:pPr>
      <w:ind w:left="720"/>
      <w:outlineLvl w:val="7"/>
    </w:pPr>
    <w:rPr>
      <w:i/>
    </w:rPr>
  </w:style>
  <w:style w:type="paragraph" w:styleId="Heading9">
    <w:name w:val="heading 9"/>
    <w:basedOn w:val="Normal"/>
    <w:next w:val="Normal"/>
    <w:link w:val="Heading9Char"/>
    <w:qFormat/>
    <w:rsid w:val="00A7681D"/>
    <w:pPr>
      <w:ind w:left="720"/>
      <w:outlineLvl w:val="8"/>
    </w:pPr>
    <w:rPr>
      <w:i/>
    </w:rPr>
  </w:style>
  <w:style w:type="character" w:default="1" w:styleId="DefaultParagraphFont">
    <w:name w:val="Default Paragraph Font"/>
    <w:uiPriority w:val="1"/>
    <w:unhideWhenUsed/>
    <w:rsid w:val="00A768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81D"/>
  </w:style>
  <w:style w:type="character" w:customStyle="1" w:styleId="Heading1Char">
    <w:name w:val="Heading 1 Char"/>
    <w:basedOn w:val="DefaultParagraphFont"/>
    <w:link w:val="Heading1"/>
    <w:rsid w:val="00A7681D"/>
    <w:rPr>
      <w:rFonts w:ascii="Times New Roman" w:eastAsia="Times New Roman" w:hAnsi="Times New Roman" w:cs="Times New Roman"/>
      <w:b/>
      <w:sz w:val="32"/>
      <w:szCs w:val="20"/>
      <w:lang w:eastAsia="en-US"/>
    </w:rPr>
  </w:style>
  <w:style w:type="paragraph" w:styleId="BodyText">
    <w:name w:val="Body Text"/>
    <w:basedOn w:val="Normal"/>
    <w:link w:val="BodyTextChar"/>
    <w:rsid w:val="00A768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681D"/>
    <w:rPr>
      <w:rFonts w:ascii="Times New Roman" w:eastAsia="Times New Roman" w:hAnsi="Times New Roman" w:cs="Times New Roman"/>
      <w:sz w:val="24"/>
      <w:lang w:eastAsia="en-US"/>
    </w:rPr>
  </w:style>
  <w:style w:type="paragraph" w:styleId="ListBullet">
    <w:name w:val="List Bullet"/>
    <w:basedOn w:val="List"/>
    <w:rsid w:val="00A7681D"/>
    <w:pPr>
      <w:numPr>
        <w:numId w:val="11"/>
      </w:numPr>
      <w:tabs>
        <w:tab w:val="clear" w:pos="340"/>
      </w:tabs>
      <w:spacing w:before="40" w:after="40"/>
    </w:pPr>
  </w:style>
  <w:style w:type="character" w:customStyle="1" w:styleId="SpecialBold">
    <w:name w:val="Special Bold"/>
    <w:basedOn w:val="DefaultParagraphFont"/>
    <w:rsid w:val="00A7681D"/>
    <w:rPr>
      <w:b/>
      <w:spacing w:val="0"/>
    </w:rPr>
  </w:style>
  <w:style w:type="paragraph" w:customStyle="1" w:styleId="SuperHeading">
    <w:name w:val="SuperHeading"/>
    <w:basedOn w:val="Normal"/>
    <w:rsid w:val="00A7681D"/>
    <w:pPr>
      <w:spacing w:before="240" w:after="120"/>
      <w:outlineLvl w:val="0"/>
    </w:pPr>
    <w:rPr>
      <w:rFonts w:ascii="Times New Roman" w:hAnsi="Times New Roman"/>
      <w:b/>
      <w:sz w:val="32"/>
    </w:rPr>
  </w:style>
  <w:style w:type="paragraph" w:customStyle="1" w:styleId="AllowPageBreak">
    <w:name w:val="AllowPageBreak"/>
    <w:rsid w:val="00A768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68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8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8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8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8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8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68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681D"/>
    <w:rPr>
      <w:rFonts w:ascii="Courier New" w:eastAsia="Times New Roman" w:hAnsi="Courier New" w:cs="Times New Roman"/>
      <w:i/>
      <w:szCs w:val="20"/>
      <w:lang w:eastAsia="en-US"/>
    </w:rPr>
  </w:style>
  <w:style w:type="paragraph" w:customStyle="1" w:styleId="HeadingBase">
    <w:name w:val="Heading Base"/>
    <w:rsid w:val="00A768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81D"/>
    <w:pPr>
      <w:tabs>
        <w:tab w:val="right" w:leader="dot" w:pos="9072"/>
      </w:tabs>
      <w:ind w:left="567"/>
    </w:pPr>
    <w:rPr>
      <w:szCs w:val="22"/>
    </w:rPr>
  </w:style>
  <w:style w:type="paragraph" w:customStyle="1" w:styleId="TOCBase">
    <w:name w:val="TOC Base"/>
    <w:rsid w:val="00A768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81D"/>
    <w:pPr>
      <w:tabs>
        <w:tab w:val="right" w:leader="dot" w:pos="9072"/>
      </w:tabs>
      <w:spacing w:before="40" w:after="40"/>
      <w:ind w:left="284"/>
    </w:pPr>
    <w:rPr>
      <w:rFonts w:ascii="Times New Roman" w:hAnsi="Times New Roman"/>
    </w:rPr>
  </w:style>
  <w:style w:type="paragraph" w:styleId="TOC1">
    <w:name w:val="toc 1"/>
    <w:basedOn w:val="TOCBase"/>
    <w:next w:val="Normal"/>
    <w:rsid w:val="00A768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68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81D"/>
    <w:rPr>
      <w:rFonts w:ascii="Times New Roman" w:eastAsia="Times New Roman" w:hAnsi="Times New Roman" w:cs="Times New Roman"/>
      <w:sz w:val="16"/>
      <w:lang w:eastAsia="en-US"/>
    </w:rPr>
  </w:style>
  <w:style w:type="paragraph" w:styleId="Title">
    <w:name w:val="Title"/>
    <w:basedOn w:val="HeadingBase"/>
    <w:link w:val="TitleChar"/>
    <w:qFormat/>
    <w:rsid w:val="00A7681D"/>
    <w:pPr>
      <w:spacing w:before="5040"/>
      <w:jc w:val="center"/>
    </w:pPr>
    <w:rPr>
      <w:sz w:val="48"/>
      <w:szCs w:val="72"/>
      <w:lang w:val="en-US"/>
    </w:rPr>
  </w:style>
  <w:style w:type="character" w:customStyle="1" w:styleId="TitleChar">
    <w:name w:val="Title Char"/>
    <w:basedOn w:val="DefaultParagraphFont"/>
    <w:link w:val="Title"/>
    <w:rsid w:val="00A768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81D"/>
    <w:pPr>
      <w:tabs>
        <w:tab w:val="left" w:pos="3600"/>
        <w:tab w:val="left" w:pos="3958"/>
      </w:tabs>
    </w:pPr>
  </w:style>
  <w:style w:type="paragraph" w:styleId="List">
    <w:name w:val="List"/>
    <w:basedOn w:val="BodyText"/>
    <w:next w:val="BodyText"/>
    <w:rsid w:val="00A7681D"/>
    <w:pPr>
      <w:tabs>
        <w:tab w:val="left" w:pos="340"/>
      </w:tabs>
      <w:spacing w:before="60" w:after="60"/>
      <w:ind w:left="340" w:hanging="340"/>
    </w:pPr>
  </w:style>
  <w:style w:type="paragraph" w:customStyle="1" w:styleId="Note">
    <w:name w:val="Note"/>
    <w:basedOn w:val="BodyText"/>
    <w:rsid w:val="00A768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81D"/>
    <w:pPr>
      <w:framePr w:wrap="auto" w:hAnchor="text" w:y="6049"/>
    </w:pPr>
    <w:rPr>
      <w:color w:val="000000"/>
      <w:sz w:val="40"/>
    </w:rPr>
  </w:style>
  <w:style w:type="paragraph" w:customStyle="1" w:styleId="TOCTitle">
    <w:name w:val="TOCTitle"/>
    <w:basedOn w:val="Heading1"/>
    <w:rsid w:val="00A7681D"/>
    <w:pPr>
      <w:spacing w:after="240"/>
      <w:jc w:val="center"/>
      <w:outlineLvl w:val="9"/>
    </w:pPr>
    <w:rPr>
      <w:caps/>
    </w:rPr>
  </w:style>
  <w:style w:type="paragraph" w:customStyle="1" w:styleId="Version">
    <w:name w:val="Version"/>
    <w:rsid w:val="00A768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681D"/>
    <w:pPr>
      <w:numPr>
        <w:numId w:val="12"/>
      </w:numPr>
      <w:tabs>
        <w:tab w:val="clear" w:pos="680"/>
      </w:tabs>
    </w:pPr>
  </w:style>
  <w:style w:type="paragraph" w:styleId="Index1">
    <w:name w:val="index 1"/>
    <w:basedOn w:val="Normal"/>
    <w:next w:val="Normal"/>
    <w:semiHidden/>
    <w:rsid w:val="00A7681D"/>
    <w:pPr>
      <w:keepNext w:val="0"/>
      <w:tabs>
        <w:tab w:val="right" w:pos="4176"/>
      </w:tabs>
      <w:ind w:left="198" w:hanging="198"/>
    </w:pPr>
    <w:rPr>
      <w:rFonts w:ascii="Garamond" w:hAnsi="Garamond"/>
    </w:rPr>
  </w:style>
  <w:style w:type="paragraph" w:styleId="IndexHeading">
    <w:name w:val="index heading"/>
    <w:basedOn w:val="Normal"/>
    <w:next w:val="Index1"/>
    <w:semiHidden/>
    <w:rsid w:val="00A7681D"/>
    <w:pPr>
      <w:spacing w:before="120" w:after="120"/>
    </w:pPr>
    <w:rPr>
      <w:rFonts w:ascii="Arial" w:hAnsi="Arial"/>
      <w:b/>
      <w:color w:val="918585"/>
      <w:sz w:val="24"/>
    </w:rPr>
  </w:style>
  <w:style w:type="paragraph" w:styleId="Header">
    <w:name w:val="header"/>
    <w:basedOn w:val="Normal"/>
    <w:link w:val="HeaderChar"/>
    <w:rsid w:val="00A768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81D"/>
    <w:rPr>
      <w:rFonts w:ascii="Times New Roman" w:eastAsia="Times New Roman" w:hAnsi="Times New Roman" w:cs="Times New Roman"/>
      <w:sz w:val="16"/>
      <w:szCs w:val="20"/>
      <w:lang w:val="en-GB" w:eastAsia="en-US"/>
    </w:rPr>
  </w:style>
  <w:style w:type="paragraph" w:customStyle="1" w:styleId="Chapter">
    <w:name w:val="Chapter"/>
    <w:basedOn w:val="Normal"/>
    <w:rsid w:val="00A7681D"/>
    <w:pPr>
      <w:spacing w:before="240"/>
    </w:pPr>
    <w:rPr>
      <w:rFonts w:ascii="Times New Roman" w:hAnsi="Times New Roman"/>
      <w:smallCaps/>
      <w:spacing w:val="80"/>
      <w:sz w:val="28"/>
    </w:rPr>
  </w:style>
  <w:style w:type="paragraph" w:customStyle="1" w:styleId="InChapter">
    <w:name w:val="InChapter"/>
    <w:basedOn w:val="Heading3"/>
    <w:rsid w:val="00A7681D"/>
    <w:pPr>
      <w:spacing w:after="240"/>
      <w:outlineLvl w:val="9"/>
    </w:pPr>
    <w:rPr>
      <w:noProof/>
    </w:rPr>
  </w:style>
  <w:style w:type="paragraph" w:styleId="Index2">
    <w:name w:val="index 2"/>
    <w:basedOn w:val="Normal"/>
    <w:next w:val="Normal"/>
    <w:semiHidden/>
    <w:rsid w:val="00A7681D"/>
    <w:pPr>
      <w:tabs>
        <w:tab w:val="right" w:pos="4176"/>
      </w:tabs>
      <w:ind w:left="568" w:hanging="284"/>
    </w:pPr>
    <w:rPr>
      <w:rFonts w:ascii="Garamond" w:hAnsi="Garamond"/>
    </w:rPr>
  </w:style>
  <w:style w:type="paragraph" w:customStyle="1" w:styleId="Byline">
    <w:name w:val="Byline"/>
    <w:rsid w:val="00A768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81D"/>
    <w:pPr>
      <w:tabs>
        <w:tab w:val="clear" w:pos="3600"/>
        <w:tab w:val="clear" w:pos="3958"/>
      </w:tabs>
      <w:jc w:val="right"/>
    </w:pPr>
  </w:style>
  <w:style w:type="character" w:styleId="Emphasis">
    <w:name w:val="Emphasis"/>
    <w:basedOn w:val="DefaultParagraphFont"/>
    <w:qFormat/>
    <w:rsid w:val="00A7681D"/>
    <w:rPr>
      <w:i/>
    </w:rPr>
  </w:style>
  <w:style w:type="paragraph" w:styleId="Caption">
    <w:name w:val="caption"/>
    <w:basedOn w:val="BodyText"/>
    <w:next w:val="Normal"/>
    <w:qFormat/>
    <w:rsid w:val="00A7681D"/>
    <w:pPr>
      <w:framePr w:w="2268" w:hSpace="181" w:vSpace="181" w:wrap="around" w:vAnchor="text" w:hAnchor="page" w:x="1135" w:y="285" w:anchorLock="1"/>
    </w:pPr>
    <w:rPr>
      <w:i/>
    </w:rPr>
  </w:style>
  <w:style w:type="paragraph" w:customStyle="1" w:styleId="MiniTOCTitle">
    <w:name w:val="MiniTOCTitle"/>
    <w:basedOn w:val="Heading4"/>
    <w:rsid w:val="00A7681D"/>
    <w:pPr>
      <w:spacing w:before="240"/>
      <w:outlineLvl w:val="9"/>
    </w:pPr>
    <w:rPr>
      <w:noProof/>
      <w:sz w:val="24"/>
    </w:rPr>
  </w:style>
  <w:style w:type="paragraph" w:customStyle="1" w:styleId="MiniTOCItem">
    <w:name w:val="MiniTOCItem"/>
    <w:basedOn w:val="ListBullet"/>
    <w:rsid w:val="00A7681D"/>
    <w:pPr>
      <w:numPr>
        <w:numId w:val="0"/>
      </w:numPr>
      <w:tabs>
        <w:tab w:val="right" w:leader="dot" w:pos="6521"/>
      </w:tabs>
      <w:spacing w:before="0" w:after="0"/>
    </w:pPr>
  </w:style>
  <w:style w:type="paragraph" w:customStyle="1" w:styleId="TOFTitle">
    <w:name w:val="TOFTitle"/>
    <w:basedOn w:val="TOCTitle"/>
    <w:rsid w:val="00A7681D"/>
  </w:style>
  <w:style w:type="paragraph" w:styleId="TableofFigures">
    <w:name w:val="table of figures"/>
    <w:basedOn w:val="Normal"/>
    <w:next w:val="Normal"/>
    <w:semiHidden/>
    <w:rsid w:val="00A7681D"/>
    <w:pPr>
      <w:tabs>
        <w:tab w:val="right" w:leader="dot" w:pos="9072"/>
      </w:tabs>
      <w:ind w:left="970" w:hanging="403"/>
    </w:pPr>
    <w:rPr>
      <w:rFonts w:ascii="Times New Roman" w:hAnsi="Times New Roman"/>
      <w:b/>
    </w:rPr>
  </w:style>
  <w:style w:type="paragraph" w:styleId="ListNumber">
    <w:name w:val="List Number"/>
    <w:basedOn w:val="List"/>
    <w:rsid w:val="00A7681D"/>
    <w:pPr>
      <w:numPr>
        <w:numId w:val="14"/>
      </w:numPr>
      <w:tabs>
        <w:tab w:val="clear" w:pos="340"/>
      </w:tabs>
    </w:pPr>
  </w:style>
  <w:style w:type="character" w:customStyle="1" w:styleId="WingdingSymbols">
    <w:name w:val="Wingding Symbols"/>
    <w:rsid w:val="00A7681D"/>
    <w:rPr>
      <w:rFonts w:ascii="Wingdings" w:hAnsi="Wingdings"/>
    </w:rPr>
  </w:style>
  <w:style w:type="paragraph" w:customStyle="1" w:styleId="TableHeading">
    <w:name w:val="Table Heading"/>
    <w:basedOn w:val="HeadingBase"/>
    <w:rsid w:val="00A7681D"/>
    <w:pPr>
      <w:keepLines/>
      <w:pBdr>
        <w:bottom w:val="single" w:sz="6" w:space="1" w:color="918585"/>
      </w:pBdr>
      <w:spacing w:before="240"/>
    </w:pPr>
  </w:style>
  <w:style w:type="character" w:customStyle="1" w:styleId="HotSpot">
    <w:name w:val="HotSpot"/>
    <w:rsid w:val="00A7681D"/>
    <w:rPr>
      <w:color w:val="0033CC"/>
      <w:u w:val="none"/>
    </w:rPr>
  </w:style>
  <w:style w:type="paragraph" w:customStyle="1" w:styleId="BodyTextRight">
    <w:name w:val="Body Text Right"/>
    <w:basedOn w:val="BodyText"/>
    <w:rsid w:val="00A7681D"/>
    <w:pPr>
      <w:spacing w:before="0" w:after="0"/>
      <w:jc w:val="right"/>
    </w:pPr>
  </w:style>
  <w:style w:type="paragraph" w:styleId="Index3">
    <w:name w:val="index 3"/>
    <w:basedOn w:val="ListNumber2"/>
    <w:next w:val="Normal"/>
    <w:semiHidden/>
    <w:rsid w:val="00A7681D"/>
    <w:pPr>
      <w:numPr>
        <w:numId w:val="0"/>
      </w:numPr>
      <w:tabs>
        <w:tab w:val="right" w:leader="dot" w:pos="4176"/>
      </w:tabs>
    </w:pPr>
  </w:style>
  <w:style w:type="paragraph" w:styleId="ListNumber2">
    <w:name w:val="List Number 2"/>
    <w:basedOn w:val="List2"/>
    <w:rsid w:val="00A7681D"/>
    <w:pPr>
      <w:numPr>
        <w:numId w:val="9"/>
      </w:numPr>
      <w:tabs>
        <w:tab w:val="clear" w:pos="1060"/>
      </w:tabs>
    </w:pPr>
  </w:style>
  <w:style w:type="paragraph" w:customStyle="1" w:styleId="MarginNote">
    <w:name w:val="Margin Note"/>
    <w:basedOn w:val="BodyText"/>
    <w:rsid w:val="00A768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8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8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681D"/>
    <w:rPr>
      <w:sz w:val="32"/>
    </w:rPr>
  </w:style>
  <w:style w:type="paragraph" w:customStyle="1" w:styleId="HeadingProcedure">
    <w:name w:val="Heading Procedure"/>
    <w:basedOn w:val="HeadingBase"/>
    <w:next w:val="Normal"/>
    <w:rsid w:val="00A7681D"/>
    <w:pPr>
      <w:tabs>
        <w:tab w:val="left" w:pos="0"/>
      </w:tabs>
      <w:spacing w:before="120" w:after="60"/>
    </w:pPr>
    <w:rPr>
      <w:i/>
      <w:color w:val="918585"/>
      <w:sz w:val="22"/>
    </w:rPr>
  </w:style>
  <w:style w:type="paragraph" w:customStyle="1" w:styleId="TableBodyText">
    <w:name w:val="Table Body Text"/>
    <w:basedOn w:val="BodyText"/>
    <w:rsid w:val="00A7681D"/>
    <w:pPr>
      <w:spacing w:before="60" w:after="60"/>
    </w:pPr>
  </w:style>
  <w:style w:type="paragraph" w:styleId="ListContinue">
    <w:name w:val="List Continue"/>
    <w:basedOn w:val="List"/>
    <w:rsid w:val="00A7681D"/>
    <w:pPr>
      <w:ind w:firstLine="0"/>
    </w:pPr>
  </w:style>
  <w:style w:type="paragraph" w:customStyle="1" w:styleId="ListNote">
    <w:name w:val="List Note"/>
    <w:basedOn w:val="List"/>
    <w:rsid w:val="00A7681D"/>
    <w:pPr>
      <w:pBdr>
        <w:top w:val="single" w:sz="6" w:space="2" w:color="918585"/>
        <w:bottom w:val="single" w:sz="6" w:space="2" w:color="918585"/>
      </w:pBdr>
      <w:tabs>
        <w:tab w:val="left" w:pos="1021"/>
      </w:tabs>
      <w:ind w:firstLine="0"/>
    </w:pPr>
  </w:style>
  <w:style w:type="paragraph" w:customStyle="1" w:styleId="Warning">
    <w:name w:val="Warning"/>
    <w:basedOn w:val="BodyText"/>
    <w:rsid w:val="00A7681D"/>
    <w:pPr>
      <w:shd w:val="clear" w:color="auto" w:fill="D9D9D9"/>
      <w:tabs>
        <w:tab w:val="left" w:pos="992"/>
      </w:tabs>
      <w:ind w:left="119" w:right="119"/>
    </w:pPr>
    <w:rPr>
      <w:sz w:val="20"/>
    </w:rPr>
  </w:style>
  <w:style w:type="paragraph" w:customStyle="1" w:styleId="MarginIcons">
    <w:name w:val="Margin Icons"/>
    <w:basedOn w:val="BodyText"/>
    <w:rsid w:val="00A768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81D"/>
    <w:rPr>
      <w:rFonts w:ascii="Courier New" w:hAnsi="Courier New"/>
    </w:rPr>
  </w:style>
  <w:style w:type="paragraph" w:customStyle="1" w:styleId="NoteBullet">
    <w:name w:val="Note Bullet"/>
    <w:basedOn w:val="Note"/>
    <w:rsid w:val="00A7681D"/>
    <w:pPr>
      <w:tabs>
        <w:tab w:val="clear" w:pos="680"/>
      </w:tabs>
      <w:spacing w:before="60" w:after="60"/>
    </w:pPr>
  </w:style>
  <w:style w:type="paragraph" w:customStyle="1" w:styleId="SubHeading2">
    <w:name w:val="SubHeading2"/>
    <w:basedOn w:val="HeadingBase"/>
    <w:rsid w:val="00A7681D"/>
    <w:pPr>
      <w:spacing w:before="240" w:after="60"/>
    </w:pPr>
    <w:rPr>
      <w:sz w:val="20"/>
    </w:rPr>
  </w:style>
  <w:style w:type="paragraph" w:customStyle="1" w:styleId="SubHeading1">
    <w:name w:val="SubHeading1"/>
    <w:basedOn w:val="HeadingBase"/>
    <w:rsid w:val="00A7681D"/>
    <w:pPr>
      <w:spacing w:before="240" w:after="60"/>
    </w:pPr>
    <w:rPr>
      <w:color w:val="918585"/>
      <w:sz w:val="22"/>
    </w:rPr>
  </w:style>
  <w:style w:type="paragraph" w:customStyle="1" w:styleId="SideHeading">
    <w:name w:val="Side Heading"/>
    <w:basedOn w:val="HeadingBase"/>
    <w:rsid w:val="00A768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81D"/>
    <w:pPr>
      <w:numPr>
        <w:numId w:val="10"/>
      </w:numPr>
    </w:pPr>
  </w:style>
  <w:style w:type="paragraph" w:styleId="PlainText">
    <w:name w:val="Plain Text"/>
    <w:basedOn w:val="Normal"/>
    <w:link w:val="PlainTextChar"/>
    <w:rsid w:val="00A7681D"/>
    <w:rPr>
      <w:sz w:val="20"/>
    </w:rPr>
  </w:style>
  <w:style w:type="character" w:customStyle="1" w:styleId="PlainTextChar">
    <w:name w:val="Plain Text Char"/>
    <w:basedOn w:val="DefaultParagraphFont"/>
    <w:link w:val="PlainText"/>
    <w:rsid w:val="00A7681D"/>
    <w:rPr>
      <w:rFonts w:ascii="Courier New" w:eastAsia="Times New Roman" w:hAnsi="Courier New" w:cs="Times New Roman"/>
      <w:sz w:val="20"/>
      <w:szCs w:val="20"/>
      <w:lang w:eastAsia="en-US"/>
    </w:rPr>
  </w:style>
  <w:style w:type="character" w:customStyle="1" w:styleId="MenuOption">
    <w:name w:val="Menu Option"/>
    <w:basedOn w:val="DefaultParagraphFont"/>
    <w:rsid w:val="00A7681D"/>
    <w:rPr>
      <w:b/>
      <w:smallCaps/>
    </w:rPr>
  </w:style>
  <w:style w:type="paragraph" w:customStyle="1" w:styleId="TableListNumber">
    <w:name w:val="Table List Number"/>
    <w:basedOn w:val="ListNumber"/>
    <w:rsid w:val="00A7681D"/>
    <w:pPr>
      <w:numPr>
        <w:numId w:val="0"/>
      </w:numPr>
    </w:pPr>
  </w:style>
  <w:style w:type="paragraph" w:styleId="TOC4">
    <w:name w:val="toc 4"/>
    <w:basedOn w:val="TOCBase"/>
    <w:next w:val="Normal"/>
    <w:semiHidden/>
    <w:rsid w:val="00A7681D"/>
    <w:pPr>
      <w:tabs>
        <w:tab w:val="right" w:leader="dot" w:pos="9071"/>
      </w:tabs>
      <w:ind w:left="1701"/>
    </w:pPr>
  </w:style>
  <w:style w:type="paragraph" w:customStyle="1" w:styleId="ListAlpha">
    <w:name w:val="List Alpha"/>
    <w:basedOn w:val="List"/>
    <w:rsid w:val="00A7681D"/>
    <w:pPr>
      <w:numPr>
        <w:numId w:val="8"/>
      </w:numPr>
    </w:pPr>
  </w:style>
  <w:style w:type="paragraph" w:customStyle="1" w:styleId="ListAlpha2">
    <w:name w:val="List Alpha 2"/>
    <w:basedOn w:val="List2"/>
    <w:rsid w:val="00A7681D"/>
    <w:pPr>
      <w:numPr>
        <w:numId w:val="7"/>
      </w:numPr>
    </w:pPr>
  </w:style>
  <w:style w:type="paragraph" w:styleId="List2">
    <w:name w:val="List 2"/>
    <w:basedOn w:val="BodyText"/>
    <w:rsid w:val="00A7681D"/>
    <w:pPr>
      <w:tabs>
        <w:tab w:val="left" w:pos="680"/>
      </w:tabs>
      <w:spacing w:before="60" w:after="60"/>
      <w:ind w:left="680" w:hanging="340"/>
    </w:pPr>
  </w:style>
  <w:style w:type="paragraph" w:styleId="List3">
    <w:name w:val="List 3"/>
    <w:basedOn w:val="BodyText"/>
    <w:rsid w:val="00A7681D"/>
    <w:pPr>
      <w:tabs>
        <w:tab w:val="left" w:pos="1021"/>
      </w:tabs>
      <w:spacing w:before="60" w:after="60"/>
      <w:ind w:left="1020" w:hanging="340"/>
    </w:pPr>
  </w:style>
  <w:style w:type="paragraph" w:styleId="List4">
    <w:name w:val="List 4"/>
    <w:basedOn w:val="BodyText"/>
    <w:rsid w:val="00A7681D"/>
    <w:pPr>
      <w:tabs>
        <w:tab w:val="left" w:pos="1361"/>
      </w:tabs>
      <w:spacing w:before="60" w:after="60"/>
      <w:ind w:left="1361" w:hanging="340"/>
    </w:pPr>
  </w:style>
  <w:style w:type="paragraph" w:styleId="List5">
    <w:name w:val="List 5"/>
    <w:basedOn w:val="BodyText"/>
    <w:rsid w:val="00A7681D"/>
    <w:pPr>
      <w:tabs>
        <w:tab w:val="left" w:pos="1701"/>
      </w:tabs>
      <w:spacing w:before="60" w:after="60"/>
      <w:ind w:left="1701" w:hanging="340"/>
    </w:pPr>
  </w:style>
  <w:style w:type="paragraph" w:styleId="ListBullet3">
    <w:name w:val="List Bullet 3"/>
    <w:basedOn w:val="List3"/>
    <w:rsid w:val="00A7681D"/>
    <w:pPr>
      <w:numPr>
        <w:numId w:val="13"/>
      </w:numPr>
      <w:tabs>
        <w:tab w:val="clear" w:pos="1021"/>
      </w:tabs>
      <w:ind w:left="1037" w:hanging="357"/>
    </w:pPr>
  </w:style>
  <w:style w:type="paragraph" w:styleId="ListBullet4">
    <w:name w:val="List Bullet 4"/>
    <w:basedOn w:val="List4"/>
    <w:rsid w:val="00A7681D"/>
    <w:pPr>
      <w:numPr>
        <w:numId w:val="2"/>
      </w:numPr>
      <w:tabs>
        <w:tab w:val="clear" w:pos="1361"/>
      </w:tabs>
    </w:pPr>
  </w:style>
  <w:style w:type="paragraph" w:styleId="ListBullet5">
    <w:name w:val="List Bullet 5"/>
    <w:basedOn w:val="List5"/>
    <w:rsid w:val="00A7681D"/>
    <w:pPr>
      <w:numPr>
        <w:numId w:val="3"/>
      </w:numPr>
    </w:pPr>
  </w:style>
  <w:style w:type="paragraph" w:styleId="ListContinue2">
    <w:name w:val="List Continue 2"/>
    <w:basedOn w:val="List2"/>
    <w:rsid w:val="00A7681D"/>
    <w:pPr>
      <w:ind w:firstLine="0"/>
    </w:pPr>
  </w:style>
  <w:style w:type="paragraph" w:styleId="ListContinue3">
    <w:name w:val="List Continue 3"/>
    <w:basedOn w:val="List3"/>
    <w:rsid w:val="00A7681D"/>
    <w:pPr>
      <w:ind w:left="1021" w:firstLine="0"/>
    </w:pPr>
  </w:style>
  <w:style w:type="paragraph" w:styleId="ListContinue4">
    <w:name w:val="List Continue 4"/>
    <w:basedOn w:val="List4"/>
    <w:rsid w:val="00A7681D"/>
    <w:pPr>
      <w:ind w:firstLine="0"/>
    </w:pPr>
  </w:style>
  <w:style w:type="paragraph" w:styleId="ListContinue5">
    <w:name w:val="List Continue 5"/>
    <w:basedOn w:val="List5"/>
    <w:rsid w:val="00A7681D"/>
    <w:pPr>
      <w:ind w:firstLine="0"/>
    </w:pPr>
  </w:style>
  <w:style w:type="paragraph" w:styleId="ListNumber3">
    <w:name w:val="List Number 3"/>
    <w:basedOn w:val="List3"/>
    <w:rsid w:val="00A7681D"/>
    <w:pPr>
      <w:numPr>
        <w:numId w:val="4"/>
      </w:numPr>
    </w:pPr>
  </w:style>
  <w:style w:type="paragraph" w:styleId="ListNumber4">
    <w:name w:val="List Number 4"/>
    <w:basedOn w:val="List4"/>
    <w:rsid w:val="00A7681D"/>
    <w:pPr>
      <w:numPr>
        <w:numId w:val="5"/>
      </w:numPr>
    </w:pPr>
  </w:style>
  <w:style w:type="paragraph" w:styleId="ListNumber5">
    <w:name w:val="List Number 5"/>
    <w:basedOn w:val="List5"/>
    <w:rsid w:val="00A7681D"/>
    <w:pPr>
      <w:numPr>
        <w:numId w:val="6"/>
      </w:numPr>
    </w:pPr>
  </w:style>
  <w:style w:type="paragraph" w:styleId="BlockText">
    <w:name w:val="Block Text"/>
    <w:basedOn w:val="Normal"/>
    <w:rsid w:val="00A7681D"/>
    <w:pPr>
      <w:spacing w:after="120"/>
      <w:ind w:left="1440" w:right="1440"/>
    </w:pPr>
  </w:style>
  <w:style w:type="character" w:customStyle="1" w:styleId="Subscript">
    <w:name w:val="Subscript"/>
    <w:basedOn w:val="DefaultParagraphFont"/>
    <w:rsid w:val="00A7681D"/>
    <w:rPr>
      <w:sz w:val="16"/>
      <w:vertAlign w:val="subscript"/>
    </w:rPr>
  </w:style>
  <w:style w:type="character" w:customStyle="1" w:styleId="Superscript">
    <w:name w:val="Superscript"/>
    <w:basedOn w:val="DefaultParagraphFont"/>
    <w:rsid w:val="00A7681D"/>
    <w:rPr>
      <w:sz w:val="16"/>
      <w:vertAlign w:val="superscript"/>
    </w:rPr>
  </w:style>
  <w:style w:type="character" w:customStyle="1" w:styleId="Symbols">
    <w:name w:val="Symbols"/>
    <w:basedOn w:val="DefaultParagraphFont"/>
    <w:rsid w:val="00A7681D"/>
    <w:rPr>
      <w:rFonts w:ascii="Symbol" w:hAnsi="Symbol"/>
    </w:rPr>
  </w:style>
  <w:style w:type="character" w:customStyle="1" w:styleId="MenuOptions">
    <w:name w:val="Menu Options"/>
    <w:basedOn w:val="DefaultParagraphFont"/>
    <w:rsid w:val="00A7681D"/>
    <w:rPr>
      <w:rFonts w:ascii="Arial Narrow" w:hAnsi="Arial Narrow"/>
      <w:smallCaps/>
    </w:rPr>
  </w:style>
  <w:style w:type="character" w:customStyle="1" w:styleId="Buttons">
    <w:name w:val="Buttons"/>
    <w:basedOn w:val="DefaultParagraphFont"/>
    <w:rsid w:val="00A7681D"/>
    <w:rPr>
      <w:b/>
    </w:rPr>
  </w:style>
  <w:style w:type="character" w:customStyle="1" w:styleId="Underlined">
    <w:name w:val="Underlined"/>
    <w:basedOn w:val="DefaultParagraphFont"/>
    <w:rsid w:val="00A7681D"/>
    <w:rPr>
      <w:u w:val="single"/>
    </w:rPr>
  </w:style>
  <w:style w:type="paragraph" w:customStyle="1" w:styleId="TableBodyTextRight">
    <w:name w:val="Table Body Text Right"/>
    <w:basedOn w:val="TableBodyText"/>
    <w:rsid w:val="00A7681D"/>
    <w:pPr>
      <w:widowControl w:val="0"/>
      <w:autoSpaceDE w:val="0"/>
      <w:autoSpaceDN w:val="0"/>
      <w:adjustRightInd w:val="0"/>
      <w:jc w:val="right"/>
    </w:pPr>
    <w:rPr>
      <w:rFonts w:cs="Arial"/>
      <w:szCs w:val="18"/>
    </w:rPr>
  </w:style>
  <w:style w:type="paragraph" w:customStyle="1" w:styleId="CopyrightText">
    <w:name w:val="Copyright Text"/>
    <w:basedOn w:val="BodyText"/>
    <w:rsid w:val="00A7681D"/>
    <w:rPr>
      <w:sz w:val="18"/>
    </w:rPr>
  </w:style>
  <w:style w:type="paragraph" w:customStyle="1" w:styleId="BodySmallRight">
    <w:name w:val="Body Small Right"/>
    <w:basedOn w:val="BodyTextRight"/>
    <w:rsid w:val="00A7681D"/>
    <w:rPr>
      <w:sz w:val="18"/>
      <w:szCs w:val="18"/>
    </w:rPr>
  </w:style>
  <w:style w:type="paragraph" w:customStyle="1" w:styleId="MarginEdition">
    <w:name w:val="Margin Edition"/>
    <w:basedOn w:val="MarginNote"/>
    <w:rsid w:val="00A7681D"/>
    <w:pPr>
      <w:spacing w:before="0" w:after="0"/>
    </w:pPr>
    <w:rPr>
      <w:rFonts w:ascii="Times New Roman" w:hAnsi="Times New Roman"/>
      <w:color w:val="999999"/>
    </w:rPr>
  </w:style>
  <w:style w:type="paragraph" w:customStyle="1" w:styleId="Spacer">
    <w:name w:val="Spacer"/>
    <w:basedOn w:val="Normal"/>
    <w:rsid w:val="00A7681D"/>
    <w:rPr>
      <w:sz w:val="2"/>
      <w:szCs w:val="2"/>
    </w:rPr>
  </w:style>
  <w:style w:type="character" w:customStyle="1" w:styleId="Small">
    <w:name w:val="Small"/>
    <w:basedOn w:val="DefaultParagraphFont"/>
    <w:rsid w:val="00A7681D"/>
    <w:rPr>
      <w:sz w:val="16"/>
    </w:rPr>
  </w:style>
  <w:style w:type="paragraph" w:customStyle="1" w:styleId="WideTable">
    <w:name w:val="Wide Table"/>
    <w:basedOn w:val="Normal"/>
    <w:rsid w:val="00A7681D"/>
    <w:pPr>
      <w:ind w:left="-1418"/>
    </w:pPr>
    <w:rPr>
      <w:sz w:val="2"/>
      <w:szCs w:val="2"/>
    </w:rPr>
  </w:style>
  <w:style w:type="character" w:styleId="PageNumber">
    <w:name w:val="page number"/>
    <w:basedOn w:val="DefaultParagraphFont"/>
    <w:rsid w:val="00A7681D"/>
  </w:style>
  <w:style w:type="paragraph" w:styleId="Quote">
    <w:name w:val="Quote"/>
    <w:basedOn w:val="Heading1"/>
    <w:link w:val="QuoteChar"/>
    <w:qFormat/>
    <w:rsid w:val="00A7681D"/>
    <w:rPr>
      <w:b w:val="0"/>
      <w:sz w:val="72"/>
      <w:szCs w:val="72"/>
      <w:lang w:val="en-NZ"/>
    </w:rPr>
  </w:style>
  <w:style w:type="character" w:customStyle="1" w:styleId="QuoteChar">
    <w:name w:val="Quote Char"/>
    <w:basedOn w:val="DefaultParagraphFont"/>
    <w:link w:val="Quote"/>
    <w:rsid w:val="00A768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81D"/>
    <w:pPr>
      <w:pageBreakBefore/>
    </w:pPr>
  </w:style>
  <w:style w:type="paragraph" w:customStyle="1" w:styleId="Border">
    <w:name w:val="Border"/>
    <w:basedOn w:val="Normal"/>
    <w:qFormat/>
    <w:rsid w:val="00A768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81D"/>
    <w:rPr>
      <w:b/>
      <w:bCs/>
      <w:i/>
      <w:iCs/>
      <w:color w:val="auto"/>
    </w:rPr>
  </w:style>
  <w:style w:type="paragraph" w:styleId="IntenseQuote">
    <w:name w:val="Intense Quote"/>
    <w:basedOn w:val="Normal"/>
    <w:next w:val="Normal"/>
    <w:link w:val="IntenseQuoteChar"/>
    <w:uiPriority w:val="30"/>
    <w:qFormat/>
    <w:rsid w:val="00A768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8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681D"/>
    <w:rPr>
      <w:smallCaps/>
      <w:color w:val="auto"/>
      <w:u w:val="single"/>
    </w:rPr>
  </w:style>
  <w:style w:type="character" w:styleId="IntenseReference">
    <w:name w:val="Intense Reference"/>
    <w:basedOn w:val="DefaultParagraphFont"/>
    <w:uiPriority w:val="32"/>
    <w:qFormat/>
    <w:rsid w:val="00A7681D"/>
    <w:rPr>
      <w:b/>
      <w:bCs/>
      <w:smallCaps/>
      <w:color w:val="auto"/>
      <w:spacing w:val="5"/>
      <w:u w:val="single"/>
    </w:rPr>
  </w:style>
  <w:style w:type="paragraph" w:customStyle="1" w:styleId="2ColumnHeading">
    <w:name w:val="2Column Heading"/>
    <w:basedOn w:val="BodyText"/>
    <w:qFormat/>
    <w:rsid w:val="00A7681D"/>
    <w:pPr>
      <w:spacing w:after="60"/>
      <w:ind w:left="-2268"/>
    </w:pPr>
    <w:rPr>
      <w:b/>
    </w:rPr>
  </w:style>
  <w:style w:type="paragraph" w:customStyle="1" w:styleId="Heading1TOC">
    <w:name w:val="Heading1 TOC"/>
    <w:basedOn w:val="Normal"/>
    <w:qFormat/>
    <w:rsid w:val="00A7681D"/>
    <w:pPr>
      <w:spacing w:before="240" w:after="120"/>
    </w:pPr>
    <w:rPr>
      <w:rFonts w:ascii="Times New Roman" w:hAnsi="Times New Roman"/>
      <w:b/>
      <w:sz w:val="32"/>
    </w:rPr>
  </w:style>
  <w:style w:type="paragraph" w:customStyle="1" w:styleId="Heading2TOC">
    <w:name w:val="Heading2 TOC"/>
    <w:basedOn w:val="Normal"/>
    <w:qFormat/>
    <w:rsid w:val="00A7681D"/>
    <w:pPr>
      <w:spacing w:before="240" w:after="60"/>
    </w:pPr>
    <w:rPr>
      <w:rFonts w:ascii="Times New Roman" w:hAnsi="Times New Roman"/>
      <w:b/>
      <w:sz w:val="28"/>
    </w:rPr>
  </w:style>
  <w:style w:type="character" w:customStyle="1" w:styleId="Underline">
    <w:name w:val="Underline"/>
    <w:basedOn w:val="DefaultParagraphFont"/>
    <w:qFormat/>
    <w:rsid w:val="00A7681D"/>
    <w:rPr>
      <w:u w:val="single"/>
    </w:rPr>
  </w:style>
  <w:style w:type="character" w:customStyle="1" w:styleId="BoldandItalics">
    <w:name w:val="Bold and Italics"/>
    <w:qFormat/>
    <w:rsid w:val="00A7681D"/>
    <w:rPr>
      <w:b/>
      <w:i/>
      <w:u w:val="none"/>
    </w:rPr>
  </w:style>
  <w:style w:type="paragraph" w:styleId="BalloonText">
    <w:name w:val="Balloon Text"/>
    <w:basedOn w:val="Normal"/>
    <w:link w:val="BalloonTextChar"/>
    <w:rsid w:val="00A7681D"/>
    <w:rPr>
      <w:rFonts w:ascii="Tahoma" w:hAnsi="Tahoma" w:cs="Tahoma"/>
      <w:sz w:val="16"/>
      <w:szCs w:val="16"/>
    </w:rPr>
  </w:style>
  <w:style w:type="character" w:customStyle="1" w:styleId="BalloonTextChar">
    <w:name w:val="Balloon Text Char"/>
    <w:basedOn w:val="DefaultParagraphFont"/>
    <w:link w:val="BalloonText"/>
    <w:rsid w:val="00A768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68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68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681D"/>
    <w:rPr>
      <w:b/>
      <w:color w:val="660033"/>
      <w:spacing w:val="0"/>
    </w:rPr>
  </w:style>
  <w:style w:type="paragraph" w:customStyle="1" w:styleId="Nameditemlist">
    <w:name w:val="Named item list"/>
    <w:basedOn w:val="BodyText"/>
    <w:qFormat/>
    <w:rsid w:val="00A7681D"/>
    <w:pPr>
      <w:tabs>
        <w:tab w:val="left" w:pos="2835"/>
      </w:tabs>
      <w:ind w:left="2835" w:hanging="2835"/>
    </w:pPr>
  </w:style>
  <w:style w:type="paragraph" w:customStyle="1" w:styleId="BodyTextnopadding">
    <w:name w:val="Body Text no padding"/>
    <w:basedOn w:val="BodyText"/>
    <w:qFormat/>
    <w:rsid w:val="00A7681D"/>
    <w:pPr>
      <w:spacing w:before="0" w:after="0"/>
    </w:pPr>
  </w:style>
  <w:style w:type="paragraph" w:customStyle="1" w:styleId="BodyTextBold">
    <w:name w:val="Body Text Bold"/>
    <w:basedOn w:val="BodyText"/>
    <w:qFormat/>
    <w:rsid w:val="00A7681D"/>
    <w:rPr>
      <w:b/>
    </w:rPr>
  </w:style>
  <w:style w:type="character" w:styleId="Hyperlink">
    <w:name w:val="Hyperlink"/>
    <w:basedOn w:val="DefaultParagraphFont"/>
    <w:uiPriority w:val="99"/>
    <w:unhideWhenUsed/>
    <w:rsid w:val="000778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4138</Characters>
  <Application>Microsoft Office Word</Application>
  <DocSecurity>0</DocSecurity>
  <Lines>188</Lines>
  <Paragraphs>119</Paragraphs>
  <ScaleCrop>false</ScaleCrop>
  <Company>Author-it Software Corporation Ltd.</Company>
  <LinksUpToDate>false</LinksUpToDate>
  <CharactersWithSpaces>4669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MEA501 Maintain and fit anti-G suits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2019-09-30T08:06:00Z</dcterms:created>
  <dcterms:modified xsi:type="dcterms:W3CDTF">2019-09-30T08:06:00Z</dcterms:modified>
</cp:coreProperties>
</file>