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34372" w:rsidP="00034372">
      <w:pPr>
        <w:pStyle w:val="Title"/>
      </w:pPr>
      <w:r>
        <w:fldChar w:fldCharType="begin"/>
      </w:r>
      <w:r>
        <w:instrText xml:space="preserve"> TITLE   \* MERGEFORMAT </w:instrText>
      </w:r>
      <w:r>
        <w:fldChar w:fldCharType="separate"/>
      </w:r>
      <w:r>
        <w:t>MEA435 Weld aircraft components using the manual metal arc welding process</w:t>
      </w:r>
      <w:r>
        <w:fldChar w:fldCharType="end"/>
      </w:r>
    </w:p>
    <w:p w:rsidR="00034372" w:rsidP="00034372">
      <w:pPr>
        <w:pStyle w:val="Version"/>
        <w:sectPr w:rsidSect="00AD2E28">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AD2E28" w:rsidP="00AD2E28">
      <w:pPr>
        <w:pStyle w:val="SuperHeading"/>
      </w:pPr>
      <w:r w:rsidRPr="00AD2E28">
        <w:t>MEA435 Weld a</w:t>
      </w:r>
      <w:r w:rsidRPr="00AD2E28">
        <w:t>ircraft components using the manual metal arc welding process</w:t>
      </w:r>
    </w:p>
    <w:p w:rsidR="00000000" w:rsidRPr="00AD2E28" w:rsidP="00AD2E28">
      <w:pPr>
        <w:pStyle w:val="Heading1"/>
      </w:pPr>
      <w:bookmarkStart w:id="1" w:name="O_999162"/>
      <w:bookmarkEnd w:id="1"/>
      <w:r w:rsidRPr="00AD2E28">
        <w:t>Modification History</w:t>
      </w:r>
    </w:p>
    <w:p w:rsidR="00000000" w:rsidRPr="00AD2E28" w:rsidP="00034372">
      <w:pPr>
        <w:pStyle w:val="BodyText"/>
      </w:pPr>
      <w:r w:rsidRPr="00AD2E28">
        <w:t>Release 2. Equivalent to MEA435 Weld aircraft components using the manual metal arc welding process with amended prerequisite codes.</w:t>
      </w:r>
    </w:p>
    <w:p w:rsidR="00000000" w:rsidRPr="00AD2E28" w:rsidP="00AD2E28">
      <w:pPr>
        <w:pStyle w:val="Heading1"/>
      </w:pPr>
      <w:bookmarkStart w:id="2" w:name="O_999161"/>
      <w:bookmarkEnd w:id="2"/>
      <w:r w:rsidRPr="00AD2E28">
        <w:t>Application</w:t>
      </w:r>
    </w:p>
    <w:p w:rsidR="00000000" w:rsidRPr="00AD2E28" w:rsidP="00034372">
      <w:pPr>
        <w:pStyle w:val="BodyText"/>
      </w:pPr>
      <w:r w:rsidRPr="00AD2E28">
        <w:t xml:space="preserve">The unit of competency requires application of the skills and knowledge of MEM05046B Perform welds to code standards using manual metal arc welding process, to the welding of applicable parent metal groups as specified by the Regulators during </w:t>
      </w:r>
      <w:r w:rsidRPr="00AD2E28">
        <w:t>scheduled or unscheduled maintenance. Work may be performed individually or as part of a team.</w:t>
      </w:r>
    </w:p>
    <w:p w:rsidR="00000000" w:rsidRPr="00AD2E28" w:rsidP="00034372">
      <w:pPr>
        <w:pStyle w:val="BodyText"/>
      </w:pPr>
      <w:r w:rsidRPr="00AD2E28">
        <w:t>The unit covers the development of competency elements required to gain approval within the Civil Aviation Safety Authority (CASA) or the Australian Defence For</w:t>
      </w:r>
      <w:r w:rsidRPr="00AD2E28">
        <w:t>ce (ADF) regulatory systems to weld aircraft components using the manual metal arc welding (MMAW) process. Individuals will be authorised to weld specific parent metal groups, as specified in CAAP 33-1(1) Aircraft manual welding: approvals and qualificatio</w:t>
      </w:r>
      <w:r w:rsidRPr="00AD2E28">
        <w:t>ns or RAAF Specification Engineering W5003 Welders – Qualification for Aircraft, Missile and Aerospace Fusion welding.</w:t>
      </w:r>
    </w:p>
    <w:p w:rsidR="00000000" w:rsidRPr="00AD2E28" w:rsidP="00AD2E28">
      <w:pPr>
        <w:pStyle w:val="Heading1"/>
      </w:pPr>
      <w:bookmarkStart w:id="3" w:name="O_999160"/>
      <w:bookmarkEnd w:id="3"/>
      <w:r w:rsidRPr="00AD2E28">
        <w:t>Pre-requisite Unit</w:t>
      </w:r>
    </w:p>
    <w:tbl>
      <w:tblPr>
        <w:tblW w:w="0" w:type="auto"/>
        <w:tblLayout w:type="fixed"/>
        <w:tblCellMar>
          <w:left w:w="62" w:type="dxa"/>
          <w:right w:w="62" w:type="dxa"/>
        </w:tblCellMar>
        <w:tblLook w:val="0000"/>
      </w:tblPr>
      <w:tblGrid>
        <w:gridCol w:w="2365"/>
        <w:gridCol w:w="6693"/>
      </w:tblGrid>
      <w:tr w:rsidTr="00AD2E28">
        <w:tblPrEx>
          <w:tblW w:w="0" w:type="auto"/>
          <w:tblLayout w:type="fixed"/>
          <w:tblCellMar>
            <w:left w:w="62" w:type="dxa"/>
            <w:right w:w="62" w:type="dxa"/>
          </w:tblCellMar>
          <w:tblLook w:val="0000"/>
        </w:tblPrEx>
        <w:tc>
          <w:tcPr>
            <w:tcW w:w="2365" w:type="dxa"/>
            <w:tcBorders>
              <w:top w:val="nil"/>
              <w:left w:val="nil"/>
              <w:bottom w:val="nil"/>
              <w:right w:val="nil"/>
            </w:tcBorders>
            <w:tcMar>
              <w:top w:w="0" w:type="dxa"/>
              <w:left w:w="62" w:type="dxa"/>
              <w:bottom w:w="0" w:type="dxa"/>
              <w:right w:w="62" w:type="dxa"/>
            </w:tcMar>
          </w:tcPr>
          <w:p w:rsidR="00000000" w:rsidP="00AD2E28">
            <w:pPr>
              <w:pStyle w:val="BodyText"/>
              <w:rPr>
                <w:lang w:val="en-NZ"/>
              </w:rPr>
            </w:pPr>
            <w:r w:rsidRPr="00AD2E28">
              <w:t>MEA107</w:t>
            </w:r>
          </w:p>
        </w:tc>
        <w:tc>
          <w:tcPr>
            <w:tcW w:w="6693" w:type="dxa"/>
            <w:tcBorders>
              <w:top w:val="nil"/>
              <w:left w:val="nil"/>
              <w:bottom w:val="nil"/>
              <w:right w:val="nil"/>
            </w:tcBorders>
            <w:tcMar>
              <w:top w:w="0" w:type="dxa"/>
              <w:left w:w="62" w:type="dxa"/>
              <w:bottom w:w="0" w:type="dxa"/>
              <w:right w:w="62" w:type="dxa"/>
            </w:tcMar>
          </w:tcPr>
          <w:p w:rsidR="00000000" w:rsidP="00AD2E28">
            <w:pPr>
              <w:pStyle w:val="BodyText"/>
              <w:rPr>
                <w:lang w:val="en-NZ"/>
              </w:rPr>
            </w:pPr>
            <w:r w:rsidRPr="00AD2E28">
              <w:t>Interpret and use aviation maintenance industry manuals and specifications</w:t>
            </w:r>
          </w:p>
        </w:tc>
      </w:tr>
      <w:tr w:rsidTr="00AD2E28">
        <w:tblPrEx>
          <w:tblW w:w="0" w:type="auto"/>
          <w:tblLayout w:type="fixed"/>
          <w:tblCellMar>
            <w:left w:w="62" w:type="dxa"/>
            <w:right w:w="62" w:type="dxa"/>
          </w:tblCellMar>
          <w:tblLook w:val="0000"/>
        </w:tblPrEx>
        <w:tc>
          <w:tcPr>
            <w:tcW w:w="2365" w:type="dxa"/>
            <w:tcBorders>
              <w:top w:val="nil"/>
              <w:left w:val="nil"/>
              <w:bottom w:val="nil"/>
              <w:right w:val="nil"/>
            </w:tcBorders>
            <w:tcMar>
              <w:top w:w="0" w:type="dxa"/>
              <w:left w:w="62" w:type="dxa"/>
              <w:bottom w:w="0" w:type="dxa"/>
              <w:right w:w="62" w:type="dxa"/>
            </w:tcMar>
          </w:tcPr>
          <w:p w:rsidR="00000000" w:rsidP="00AD2E28">
            <w:pPr>
              <w:pStyle w:val="BodyText"/>
              <w:rPr>
                <w:lang w:val="en-NZ"/>
              </w:rPr>
            </w:pPr>
            <w:r w:rsidRPr="00AD2E28">
              <w:t>MEA154</w:t>
            </w:r>
          </w:p>
        </w:tc>
        <w:tc>
          <w:tcPr>
            <w:tcW w:w="6693" w:type="dxa"/>
            <w:tcBorders>
              <w:top w:val="nil"/>
              <w:left w:val="nil"/>
              <w:bottom w:val="nil"/>
              <w:right w:val="nil"/>
            </w:tcBorders>
            <w:tcMar>
              <w:top w:w="0" w:type="dxa"/>
              <w:left w:w="62" w:type="dxa"/>
              <w:bottom w:w="0" w:type="dxa"/>
              <w:right w:w="62" w:type="dxa"/>
            </w:tcMar>
          </w:tcPr>
          <w:p w:rsidR="00000000" w:rsidP="00AD2E28">
            <w:pPr>
              <w:pStyle w:val="BodyText"/>
              <w:rPr>
                <w:lang w:val="en-NZ"/>
              </w:rPr>
            </w:pPr>
            <w:r w:rsidRPr="00AD2E28">
              <w:t xml:space="preserve">Apply work </w:t>
            </w:r>
            <w:r w:rsidRPr="00AD2E28">
              <w:t>health and safety practices in aviation maintenance</w:t>
            </w:r>
          </w:p>
        </w:tc>
      </w:tr>
      <w:tr w:rsidTr="00AD2E28">
        <w:tblPrEx>
          <w:tblW w:w="0" w:type="auto"/>
          <w:tblLayout w:type="fixed"/>
          <w:tblCellMar>
            <w:left w:w="62" w:type="dxa"/>
            <w:right w:w="62" w:type="dxa"/>
          </w:tblCellMar>
          <w:tblLook w:val="0000"/>
        </w:tblPrEx>
        <w:tc>
          <w:tcPr>
            <w:tcW w:w="2365" w:type="dxa"/>
            <w:tcBorders>
              <w:top w:val="nil"/>
              <w:left w:val="nil"/>
              <w:bottom w:val="nil"/>
              <w:right w:val="nil"/>
            </w:tcBorders>
            <w:tcMar>
              <w:top w:w="0" w:type="dxa"/>
              <w:left w:w="62" w:type="dxa"/>
              <w:bottom w:w="0" w:type="dxa"/>
              <w:right w:w="62" w:type="dxa"/>
            </w:tcMar>
          </w:tcPr>
          <w:p w:rsidR="00000000" w:rsidP="00AD2E28">
            <w:pPr>
              <w:pStyle w:val="BodyText"/>
              <w:rPr>
                <w:lang w:val="en-NZ"/>
              </w:rPr>
            </w:pPr>
            <w:r w:rsidRPr="00AD2E28">
              <w:t>MEA156</w:t>
            </w:r>
          </w:p>
        </w:tc>
        <w:tc>
          <w:tcPr>
            <w:tcW w:w="6693" w:type="dxa"/>
            <w:tcBorders>
              <w:top w:val="nil"/>
              <w:left w:val="nil"/>
              <w:bottom w:val="nil"/>
              <w:right w:val="nil"/>
            </w:tcBorders>
            <w:tcMar>
              <w:top w:w="0" w:type="dxa"/>
              <w:left w:w="62" w:type="dxa"/>
              <w:bottom w:w="0" w:type="dxa"/>
              <w:right w:w="62" w:type="dxa"/>
            </w:tcMar>
          </w:tcPr>
          <w:p w:rsidR="00000000" w:rsidP="00AD2E28">
            <w:pPr>
              <w:pStyle w:val="BodyText"/>
              <w:rPr>
                <w:lang w:val="en-NZ"/>
              </w:rPr>
            </w:pPr>
            <w:r w:rsidRPr="00AD2E28">
              <w:t>Apply quality standards during aviation maintenance activities</w:t>
            </w:r>
          </w:p>
        </w:tc>
      </w:tr>
      <w:tr w:rsidTr="00AD2E28">
        <w:tblPrEx>
          <w:tblW w:w="0" w:type="auto"/>
          <w:tblLayout w:type="fixed"/>
          <w:tblCellMar>
            <w:left w:w="62" w:type="dxa"/>
            <w:right w:w="62" w:type="dxa"/>
          </w:tblCellMar>
          <w:tblLook w:val="0000"/>
        </w:tblPrEx>
        <w:tc>
          <w:tcPr>
            <w:tcW w:w="2365" w:type="dxa"/>
            <w:tcBorders>
              <w:top w:val="nil"/>
              <w:left w:val="nil"/>
              <w:bottom w:val="nil"/>
              <w:right w:val="nil"/>
            </w:tcBorders>
            <w:tcMar>
              <w:top w:w="0" w:type="dxa"/>
              <w:left w:w="62" w:type="dxa"/>
              <w:bottom w:w="0" w:type="dxa"/>
              <w:right w:w="62" w:type="dxa"/>
            </w:tcMar>
          </w:tcPr>
          <w:p w:rsidR="00000000" w:rsidP="00AD2E28">
            <w:pPr>
              <w:pStyle w:val="BodyText"/>
              <w:rPr>
                <w:lang w:val="en-NZ"/>
              </w:rPr>
            </w:pPr>
            <w:r w:rsidRPr="00AD2E28">
              <w:t>MEA157</w:t>
            </w:r>
          </w:p>
        </w:tc>
        <w:tc>
          <w:tcPr>
            <w:tcW w:w="6693" w:type="dxa"/>
            <w:tcBorders>
              <w:top w:val="nil"/>
              <w:left w:val="nil"/>
              <w:bottom w:val="nil"/>
              <w:right w:val="nil"/>
            </w:tcBorders>
            <w:tcMar>
              <w:top w:w="0" w:type="dxa"/>
              <w:left w:w="62" w:type="dxa"/>
              <w:bottom w:w="0" w:type="dxa"/>
              <w:right w:w="62" w:type="dxa"/>
            </w:tcMar>
          </w:tcPr>
          <w:p w:rsidR="00000000" w:rsidP="00AD2E28">
            <w:pPr>
              <w:pStyle w:val="BodyText"/>
              <w:rPr>
                <w:lang w:val="en-NZ"/>
              </w:rPr>
            </w:pPr>
            <w:r w:rsidRPr="00AD2E28">
              <w:t>Complete aviation maintenance industry documentation</w:t>
            </w:r>
          </w:p>
        </w:tc>
      </w:tr>
      <w:tr w:rsidTr="00AD2E28">
        <w:tblPrEx>
          <w:tblW w:w="0" w:type="auto"/>
          <w:tblLayout w:type="fixed"/>
          <w:tblCellMar>
            <w:left w:w="62" w:type="dxa"/>
            <w:right w:w="62" w:type="dxa"/>
          </w:tblCellMar>
          <w:tblLook w:val="0000"/>
        </w:tblPrEx>
        <w:tc>
          <w:tcPr>
            <w:tcW w:w="2365" w:type="dxa"/>
            <w:tcBorders>
              <w:top w:val="nil"/>
              <w:left w:val="nil"/>
              <w:bottom w:val="nil"/>
              <w:right w:val="nil"/>
            </w:tcBorders>
            <w:tcMar>
              <w:top w:w="0" w:type="dxa"/>
              <w:left w:w="62" w:type="dxa"/>
              <w:bottom w:w="0" w:type="dxa"/>
              <w:right w:w="62" w:type="dxa"/>
            </w:tcMar>
          </w:tcPr>
          <w:p w:rsidR="00000000" w:rsidP="00AD2E28">
            <w:pPr>
              <w:pStyle w:val="BodyText"/>
              <w:rPr>
                <w:lang w:val="en-NZ"/>
              </w:rPr>
            </w:pPr>
            <w:r w:rsidRPr="00AD2E28">
              <w:t>MEM05026C</w:t>
            </w:r>
          </w:p>
        </w:tc>
        <w:tc>
          <w:tcPr>
            <w:tcW w:w="6693" w:type="dxa"/>
            <w:tcBorders>
              <w:top w:val="nil"/>
              <w:left w:val="nil"/>
              <w:bottom w:val="nil"/>
              <w:right w:val="nil"/>
            </w:tcBorders>
            <w:tcMar>
              <w:top w:w="0" w:type="dxa"/>
              <w:left w:w="62" w:type="dxa"/>
              <w:bottom w:w="0" w:type="dxa"/>
              <w:right w:w="62" w:type="dxa"/>
            </w:tcMar>
          </w:tcPr>
          <w:p w:rsidR="00000000" w:rsidP="00AD2E28">
            <w:pPr>
              <w:pStyle w:val="BodyText"/>
              <w:rPr>
                <w:lang w:val="en-NZ"/>
              </w:rPr>
            </w:pPr>
            <w:r w:rsidRPr="00AD2E28">
              <w:t>Apply welding principles</w:t>
            </w:r>
          </w:p>
        </w:tc>
      </w:tr>
      <w:tr w:rsidTr="00AD2E28">
        <w:tblPrEx>
          <w:tblW w:w="0" w:type="auto"/>
          <w:tblLayout w:type="fixed"/>
          <w:tblCellMar>
            <w:left w:w="62" w:type="dxa"/>
            <w:right w:w="62" w:type="dxa"/>
          </w:tblCellMar>
          <w:tblLook w:val="0000"/>
        </w:tblPrEx>
        <w:tc>
          <w:tcPr>
            <w:tcW w:w="2365" w:type="dxa"/>
            <w:tcBorders>
              <w:top w:val="nil"/>
              <w:left w:val="nil"/>
              <w:bottom w:val="nil"/>
              <w:right w:val="nil"/>
            </w:tcBorders>
            <w:tcMar>
              <w:top w:w="0" w:type="dxa"/>
              <w:left w:w="62" w:type="dxa"/>
              <w:bottom w:w="0" w:type="dxa"/>
              <w:right w:w="62" w:type="dxa"/>
            </w:tcMar>
          </w:tcPr>
          <w:p w:rsidR="00000000" w:rsidP="00AD2E28">
            <w:pPr>
              <w:pStyle w:val="BodyText"/>
              <w:rPr>
                <w:lang w:val="en-NZ"/>
              </w:rPr>
            </w:pPr>
            <w:r w:rsidRPr="00AD2E28">
              <w:t>MEM05046B</w:t>
            </w:r>
          </w:p>
        </w:tc>
        <w:tc>
          <w:tcPr>
            <w:tcW w:w="6693" w:type="dxa"/>
            <w:tcBorders>
              <w:top w:val="nil"/>
              <w:left w:val="nil"/>
              <w:bottom w:val="nil"/>
              <w:right w:val="nil"/>
            </w:tcBorders>
            <w:tcMar>
              <w:top w:w="0" w:type="dxa"/>
              <w:left w:w="62" w:type="dxa"/>
              <w:bottom w:w="0" w:type="dxa"/>
              <w:right w:w="62" w:type="dxa"/>
            </w:tcMar>
          </w:tcPr>
          <w:p w:rsidR="00000000" w:rsidRPr="00AD2E28" w:rsidP="00AD2E28">
            <w:pPr>
              <w:pStyle w:val="BodyText"/>
            </w:pPr>
            <w:r w:rsidRPr="00AD2E28">
              <w:t>Perform welds to code standards using manual metal arc welding process</w:t>
            </w:r>
          </w:p>
        </w:tc>
      </w:tr>
    </w:tbl>
    <w:p w:rsidR="00000000" w:rsidRPr="00AD2E28" w:rsidP="00AD2E28">
      <w:pPr>
        <w:pStyle w:val="BodyText"/>
      </w:pPr>
    </w:p>
    <w:p w:rsidR="00000000" w:rsidRPr="00AD2E28" w:rsidP="00AD2E28">
      <w:pPr>
        <w:pStyle w:val="AllowPageBreak"/>
      </w:pPr>
    </w:p>
    <w:p w:rsidR="00000000" w:rsidRPr="00AD2E28" w:rsidP="00AD2E28">
      <w:pPr>
        <w:pStyle w:val="Heading1"/>
      </w:pPr>
      <w:bookmarkStart w:id="4" w:name="O_999159"/>
      <w:bookmarkEnd w:id="4"/>
      <w:r w:rsidRPr="00AD2E28">
        <w:t>Competency Field</w:t>
      </w:r>
    </w:p>
    <w:p w:rsidR="00000000" w:rsidRPr="00AD2E28" w:rsidP="00034372">
      <w:pPr>
        <w:pStyle w:val="BodyText"/>
      </w:pPr>
      <w:r w:rsidRPr="00AD2E28">
        <w:t>Aviation maintenance</w:t>
      </w:r>
    </w:p>
    <w:p w:rsidR="00000000" w:rsidRPr="00AD2E28" w:rsidP="00AD2E28">
      <w:pPr>
        <w:pStyle w:val="Heading1"/>
      </w:pPr>
      <w:bookmarkStart w:id="5" w:name="O_999158"/>
      <w:bookmarkEnd w:id="5"/>
      <w:r w:rsidRPr="00AD2E28">
        <w:t>Unit Sector</w:t>
      </w:r>
    </w:p>
    <w:p w:rsidR="00000000" w:rsidRPr="00AD2E28" w:rsidP="00AD2E28">
      <w:pPr>
        <w:pStyle w:val="Heading1"/>
      </w:pPr>
      <w:bookmarkStart w:id="6" w:name="O_999157"/>
      <w:bookmarkEnd w:id="6"/>
      <w:r w:rsidRPr="00AD2E28">
        <w:t>Elements and Performance Criteria</w:t>
      </w:r>
    </w:p>
    <w:tbl>
      <w:tblPr>
        <w:tblW w:w="0" w:type="auto"/>
        <w:tblLayout w:type="fixed"/>
        <w:tblCellMar>
          <w:left w:w="62" w:type="dxa"/>
          <w:right w:w="62" w:type="dxa"/>
        </w:tblCellMar>
        <w:tblLook w:val="0000"/>
      </w:tblPr>
      <w:tblGrid>
        <w:gridCol w:w="720"/>
        <w:gridCol w:w="2292"/>
        <w:gridCol w:w="861"/>
        <w:gridCol w:w="5307"/>
      </w:tblGrid>
      <w:tr w:rsidTr="00AD2E28">
        <w:tblPrEx>
          <w:tblW w:w="0" w:type="auto"/>
          <w:tblLayout w:type="fixed"/>
          <w:tblCellMar>
            <w:left w:w="62" w:type="dxa"/>
            <w:right w:w="62" w:type="dxa"/>
          </w:tblCellMar>
          <w:tblLook w:val="0000"/>
        </w:tblPrEx>
        <w:tc>
          <w:tcPr>
            <w:tcW w:w="3012" w:type="dxa"/>
            <w:gridSpan w:val="2"/>
            <w:tcBorders>
              <w:top w:val="nil"/>
              <w:left w:val="nil"/>
              <w:bottom w:val="nil"/>
              <w:right w:val="nil"/>
            </w:tcBorders>
            <w:tcMar>
              <w:top w:w="0" w:type="dxa"/>
              <w:left w:w="62" w:type="dxa"/>
              <w:bottom w:w="0" w:type="dxa"/>
              <w:right w:w="62" w:type="dxa"/>
            </w:tcMar>
          </w:tcPr>
          <w:p w:rsidR="00000000" w:rsidP="00AD2E28">
            <w:pPr>
              <w:pStyle w:val="BodyText"/>
              <w:rPr>
                <w:lang w:val="en-NZ"/>
              </w:rPr>
            </w:pPr>
            <w:r w:rsidRPr="00AD2E28">
              <w:t>Elements describe the essential outcomes.</w:t>
            </w:r>
          </w:p>
        </w:tc>
        <w:tc>
          <w:tcPr>
            <w:tcW w:w="6168" w:type="dxa"/>
            <w:gridSpan w:val="2"/>
            <w:tcBorders>
              <w:top w:val="nil"/>
              <w:left w:val="nil"/>
              <w:bottom w:val="nil"/>
              <w:right w:val="nil"/>
            </w:tcBorders>
            <w:tcMar>
              <w:top w:w="0" w:type="dxa"/>
              <w:left w:w="62" w:type="dxa"/>
              <w:bottom w:w="0" w:type="dxa"/>
              <w:right w:w="62" w:type="dxa"/>
            </w:tcMar>
          </w:tcPr>
          <w:p w:rsidR="00000000" w:rsidP="00AD2E28">
            <w:pPr>
              <w:pStyle w:val="BodyText"/>
              <w:rPr>
                <w:lang w:val="en-NZ"/>
              </w:rPr>
            </w:pPr>
            <w:r w:rsidRPr="00AD2E28">
              <w:t>Perfor</w:t>
            </w:r>
            <w:r w:rsidRPr="00AD2E28">
              <w:t xml:space="preserve">mance criteria describe the performance needed to demonstrate achievement of the element. </w:t>
            </w:r>
          </w:p>
        </w:tc>
      </w:tr>
      <w:tr w:rsidTr="00AD2E28">
        <w:tblPrEx>
          <w:tblW w:w="0" w:type="auto"/>
          <w:tblLayout w:type="fixed"/>
          <w:tblCellMar>
            <w:left w:w="62" w:type="dxa"/>
            <w:right w:w="62" w:type="dxa"/>
          </w:tblCellMar>
          <w:tblLook w:val="0000"/>
        </w:tblPrEx>
        <w:tc>
          <w:tcPr>
            <w:tcW w:w="720" w:type="dxa"/>
            <w:tcBorders>
              <w:top w:val="nil"/>
              <w:left w:val="nil"/>
              <w:bottom w:val="nil"/>
              <w:right w:val="nil"/>
            </w:tcBorders>
            <w:tcMar>
              <w:top w:w="0" w:type="dxa"/>
              <w:left w:w="62" w:type="dxa"/>
              <w:bottom w:w="0" w:type="dxa"/>
              <w:right w:w="62" w:type="dxa"/>
            </w:tcMar>
          </w:tcPr>
          <w:p w:rsidR="00000000" w:rsidP="00AD2E28">
            <w:pPr>
              <w:pStyle w:val="BodyText"/>
              <w:rPr>
                <w:lang w:val="en-NZ"/>
              </w:rPr>
            </w:pPr>
            <w:r w:rsidRPr="00AD2E28">
              <w:t>1.</w:t>
            </w:r>
          </w:p>
        </w:tc>
        <w:tc>
          <w:tcPr>
            <w:tcW w:w="2292" w:type="dxa"/>
            <w:tcBorders>
              <w:top w:val="nil"/>
              <w:left w:val="nil"/>
              <w:bottom w:val="nil"/>
              <w:right w:val="nil"/>
            </w:tcBorders>
            <w:tcMar>
              <w:top w:w="0" w:type="dxa"/>
              <w:left w:w="62" w:type="dxa"/>
              <w:bottom w:w="0" w:type="dxa"/>
              <w:right w:w="62" w:type="dxa"/>
            </w:tcMar>
          </w:tcPr>
          <w:p w:rsidR="00000000" w:rsidP="00AD2E28">
            <w:pPr>
              <w:pStyle w:val="BodyText"/>
              <w:rPr>
                <w:lang w:val="en-NZ"/>
              </w:rPr>
            </w:pPr>
            <w:r w:rsidRPr="00AD2E28">
              <w:t>Prepare to perform repair or fabricate component using MMAW process</w:t>
            </w:r>
          </w:p>
        </w:tc>
        <w:tc>
          <w:tcPr>
            <w:tcW w:w="861" w:type="dxa"/>
            <w:tcBorders>
              <w:top w:val="nil"/>
              <w:left w:val="nil"/>
              <w:bottom w:val="nil"/>
              <w:right w:val="nil"/>
            </w:tcBorders>
            <w:tcMar>
              <w:top w:w="0" w:type="dxa"/>
              <w:left w:w="62" w:type="dxa"/>
              <w:bottom w:w="0" w:type="dxa"/>
              <w:right w:w="62" w:type="dxa"/>
            </w:tcMar>
          </w:tcPr>
          <w:p w:rsidR="00000000" w:rsidP="00AD2E28">
            <w:pPr>
              <w:pStyle w:val="BodyText"/>
              <w:rPr>
                <w:lang w:val="en-NZ"/>
              </w:rPr>
            </w:pPr>
            <w:r w:rsidRPr="00AD2E28">
              <w:t>1.1</w:t>
            </w:r>
          </w:p>
        </w:tc>
        <w:tc>
          <w:tcPr>
            <w:tcW w:w="5307" w:type="dxa"/>
            <w:tcBorders>
              <w:top w:val="nil"/>
              <w:left w:val="nil"/>
              <w:bottom w:val="nil"/>
              <w:right w:val="nil"/>
            </w:tcBorders>
            <w:tcMar>
              <w:top w:w="0" w:type="dxa"/>
              <w:left w:w="62" w:type="dxa"/>
              <w:bottom w:w="0" w:type="dxa"/>
              <w:right w:w="62" w:type="dxa"/>
            </w:tcMar>
          </w:tcPr>
          <w:p w:rsidR="00000000" w:rsidP="00AD2E28">
            <w:pPr>
              <w:pStyle w:val="BodyText"/>
              <w:rPr>
                <w:lang w:val="en-NZ"/>
              </w:rPr>
            </w:pPr>
            <w:r w:rsidRPr="00AD2E28">
              <w:t>The materials or component to be welded and the applicable parent met</w:t>
            </w:r>
            <w:r w:rsidRPr="00AD2E28">
              <w:t>al group are identified in accordance with applicable data</w:t>
            </w:r>
          </w:p>
        </w:tc>
      </w:tr>
      <w:tr w:rsidTr="00AD2E28">
        <w:tblPrEx>
          <w:tblW w:w="0" w:type="auto"/>
          <w:tblLayout w:type="fixed"/>
          <w:tblCellMar>
            <w:left w:w="62" w:type="dxa"/>
            <w:right w:w="62" w:type="dxa"/>
          </w:tblCellMar>
          <w:tblLook w:val="0000"/>
        </w:tblPrEx>
        <w:tc>
          <w:tcPr>
            <w:tcW w:w="72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92"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61" w:type="dxa"/>
            <w:tcBorders>
              <w:top w:val="nil"/>
              <w:left w:val="nil"/>
              <w:bottom w:val="nil"/>
              <w:right w:val="nil"/>
            </w:tcBorders>
            <w:tcMar>
              <w:top w:w="0" w:type="dxa"/>
              <w:left w:w="62" w:type="dxa"/>
              <w:bottom w:w="0" w:type="dxa"/>
              <w:right w:w="62" w:type="dxa"/>
            </w:tcMar>
          </w:tcPr>
          <w:p w:rsidR="00000000" w:rsidP="00AD2E28">
            <w:pPr>
              <w:pStyle w:val="BodyText"/>
              <w:rPr>
                <w:lang w:val="en-NZ"/>
              </w:rPr>
            </w:pPr>
            <w:r w:rsidRPr="00AD2E28">
              <w:t>1.2</w:t>
            </w:r>
          </w:p>
        </w:tc>
        <w:tc>
          <w:tcPr>
            <w:tcW w:w="5307" w:type="dxa"/>
            <w:tcBorders>
              <w:top w:val="nil"/>
              <w:left w:val="nil"/>
              <w:bottom w:val="nil"/>
              <w:right w:val="nil"/>
            </w:tcBorders>
            <w:tcMar>
              <w:top w:w="0" w:type="dxa"/>
              <w:left w:w="62" w:type="dxa"/>
              <w:bottom w:w="0" w:type="dxa"/>
              <w:right w:w="62" w:type="dxa"/>
            </w:tcMar>
          </w:tcPr>
          <w:p w:rsidR="00000000" w:rsidP="00AD2E28">
            <w:pPr>
              <w:pStyle w:val="BodyText"/>
              <w:rPr>
                <w:lang w:val="en-NZ"/>
              </w:rPr>
            </w:pPr>
            <w:r w:rsidRPr="00AD2E28">
              <w:t>Welding equipment is inspected for serviceability and correctly set up in accordance with standard operating procedures</w:t>
            </w:r>
          </w:p>
        </w:tc>
      </w:tr>
      <w:tr w:rsidTr="00AD2E28">
        <w:tblPrEx>
          <w:tblW w:w="0" w:type="auto"/>
          <w:tblLayout w:type="fixed"/>
          <w:tblCellMar>
            <w:left w:w="62" w:type="dxa"/>
            <w:right w:w="62" w:type="dxa"/>
          </w:tblCellMar>
          <w:tblLook w:val="0000"/>
        </w:tblPrEx>
        <w:tc>
          <w:tcPr>
            <w:tcW w:w="72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92"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61" w:type="dxa"/>
            <w:tcBorders>
              <w:top w:val="nil"/>
              <w:left w:val="nil"/>
              <w:bottom w:val="nil"/>
              <w:right w:val="nil"/>
            </w:tcBorders>
            <w:tcMar>
              <w:top w:w="0" w:type="dxa"/>
              <w:left w:w="62" w:type="dxa"/>
              <w:bottom w:w="0" w:type="dxa"/>
              <w:right w:w="62" w:type="dxa"/>
            </w:tcMar>
          </w:tcPr>
          <w:p w:rsidR="00000000" w:rsidP="00AD2E28">
            <w:pPr>
              <w:pStyle w:val="BodyText"/>
              <w:rPr>
                <w:lang w:val="en-NZ"/>
              </w:rPr>
            </w:pPr>
            <w:r w:rsidRPr="00AD2E28">
              <w:t>1.3</w:t>
            </w:r>
          </w:p>
        </w:tc>
        <w:tc>
          <w:tcPr>
            <w:tcW w:w="5307" w:type="dxa"/>
            <w:tcBorders>
              <w:top w:val="nil"/>
              <w:left w:val="nil"/>
              <w:bottom w:val="nil"/>
              <w:right w:val="nil"/>
            </w:tcBorders>
            <w:tcMar>
              <w:top w:w="0" w:type="dxa"/>
              <w:left w:w="62" w:type="dxa"/>
              <w:bottom w:w="0" w:type="dxa"/>
              <w:right w:w="62" w:type="dxa"/>
            </w:tcMar>
          </w:tcPr>
          <w:p w:rsidR="00000000" w:rsidP="00AD2E28">
            <w:pPr>
              <w:pStyle w:val="BodyText"/>
              <w:rPr>
                <w:lang w:val="en-NZ"/>
              </w:rPr>
            </w:pPr>
            <w:r w:rsidRPr="00AD2E28">
              <w:t>Component (or materials) is prepared for welding</w:t>
            </w:r>
          </w:p>
        </w:tc>
      </w:tr>
      <w:tr w:rsidTr="00AD2E28">
        <w:tblPrEx>
          <w:tblW w:w="0" w:type="auto"/>
          <w:tblLayout w:type="fixed"/>
          <w:tblCellMar>
            <w:left w:w="62" w:type="dxa"/>
            <w:right w:w="62" w:type="dxa"/>
          </w:tblCellMar>
          <w:tblLook w:val="0000"/>
        </w:tblPrEx>
        <w:tc>
          <w:tcPr>
            <w:tcW w:w="720" w:type="dxa"/>
            <w:tcBorders>
              <w:top w:val="nil"/>
              <w:left w:val="nil"/>
              <w:bottom w:val="nil"/>
              <w:right w:val="nil"/>
            </w:tcBorders>
            <w:tcMar>
              <w:top w:w="0" w:type="dxa"/>
              <w:left w:w="62" w:type="dxa"/>
              <w:bottom w:w="0" w:type="dxa"/>
              <w:right w:w="62" w:type="dxa"/>
            </w:tcMar>
          </w:tcPr>
          <w:p w:rsidR="00000000" w:rsidP="00AD2E28">
            <w:pPr>
              <w:pStyle w:val="BodyText"/>
              <w:rPr>
                <w:lang w:val="en-NZ"/>
              </w:rPr>
            </w:pPr>
            <w:r w:rsidRPr="00AD2E28">
              <w:t>2.</w:t>
            </w:r>
          </w:p>
        </w:tc>
        <w:tc>
          <w:tcPr>
            <w:tcW w:w="2292" w:type="dxa"/>
            <w:tcBorders>
              <w:top w:val="nil"/>
              <w:left w:val="nil"/>
              <w:bottom w:val="nil"/>
              <w:right w:val="nil"/>
            </w:tcBorders>
            <w:tcMar>
              <w:top w:w="0" w:type="dxa"/>
              <w:left w:w="62" w:type="dxa"/>
              <w:bottom w:w="0" w:type="dxa"/>
              <w:right w:w="62" w:type="dxa"/>
            </w:tcMar>
          </w:tcPr>
          <w:p w:rsidR="00000000" w:rsidP="00AD2E28">
            <w:pPr>
              <w:pStyle w:val="BodyText"/>
              <w:rPr>
                <w:lang w:val="en-NZ"/>
              </w:rPr>
            </w:pPr>
            <w:r w:rsidRPr="00AD2E28">
              <w:t>Manual metal arc weld component</w:t>
            </w:r>
          </w:p>
        </w:tc>
        <w:tc>
          <w:tcPr>
            <w:tcW w:w="861" w:type="dxa"/>
            <w:tcBorders>
              <w:top w:val="nil"/>
              <w:left w:val="nil"/>
              <w:bottom w:val="nil"/>
              <w:right w:val="nil"/>
            </w:tcBorders>
            <w:tcMar>
              <w:top w:w="0" w:type="dxa"/>
              <w:left w:w="62" w:type="dxa"/>
              <w:bottom w:w="0" w:type="dxa"/>
              <w:right w:w="62" w:type="dxa"/>
            </w:tcMar>
          </w:tcPr>
          <w:p w:rsidR="00000000" w:rsidP="00AD2E28">
            <w:pPr>
              <w:pStyle w:val="BodyText"/>
              <w:rPr>
                <w:lang w:val="en-NZ"/>
              </w:rPr>
            </w:pPr>
            <w:r w:rsidRPr="00AD2E28">
              <w:t>2.1</w:t>
            </w:r>
          </w:p>
        </w:tc>
        <w:tc>
          <w:tcPr>
            <w:tcW w:w="5307" w:type="dxa"/>
            <w:tcBorders>
              <w:top w:val="nil"/>
              <w:left w:val="nil"/>
              <w:bottom w:val="nil"/>
              <w:right w:val="nil"/>
            </w:tcBorders>
            <w:tcMar>
              <w:top w:w="0" w:type="dxa"/>
              <w:left w:w="62" w:type="dxa"/>
              <w:bottom w:w="0" w:type="dxa"/>
              <w:right w:w="62" w:type="dxa"/>
            </w:tcMar>
          </w:tcPr>
          <w:p w:rsidR="00000000" w:rsidP="00AD2E28">
            <w:pPr>
              <w:pStyle w:val="BodyText"/>
              <w:rPr>
                <w:lang w:val="en-NZ"/>
              </w:rPr>
            </w:pPr>
            <w:r w:rsidRPr="00AD2E28">
              <w:t>Welds are performed to the required standard in accordance with the applicable repair scheme or drawing while observing all relevant work health and safety (WHS) requirements, including the use of material safety data sh</w:t>
            </w:r>
            <w:r w:rsidRPr="00AD2E28">
              <w:t>eets (MSDS) and items of personal protective equipment (PPE)</w:t>
            </w:r>
          </w:p>
        </w:tc>
      </w:tr>
      <w:tr w:rsidTr="00AD2E28">
        <w:tblPrEx>
          <w:tblW w:w="0" w:type="auto"/>
          <w:tblLayout w:type="fixed"/>
          <w:tblCellMar>
            <w:left w:w="62" w:type="dxa"/>
            <w:right w:w="62" w:type="dxa"/>
          </w:tblCellMar>
          <w:tblLook w:val="0000"/>
        </w:tblPrEx>
        <w:tc>
          <w:tcPr>
            <w:tcW w:w="72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92"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61" w:type="dxa"/>
            <w:tcBorders>
              <w:top w:val="nil"/>
              <w:left w:val="nil"/>
              <w:bottom w:val="nil"/>
              <w:right w:val="nil"/>
            </w:tcBorders>
            <w:tcMar>
              <w:top w:w="0" w:type="dxa"/>
              <w:left w:w="62" w:type="dxa"/>
              <w:bottom w:w="0" w:type="dxa"/>
              <w:right w:w="62" w:type="dxa"/>
            </w:tcMar>
          </w:tcPr>
          <w:p w:rsidR="00000000" w:rsidP="00AD2E28">
            <w:pPr>
              <w:pStyle w:val="BodyText"/>
              <w:rPr>
                <w:lang w:val="en-NZ"/>
              </w:rPr>
            </w:pPr>
            <w:r w:rsidRPr="00AD2E28">
              <w:t>2.2</w:t>
            </w:r>
          </w:p>
        </w:tc>
        <w:tc>
          <w:tcPr>
            <w:tcW w:w="5307" w:type="dxa"/>
            <w:tcBorders>
              <w:top w:val="nil"/>
              <w:left w:val="nil"/>
              <w:bottom w:val="nil"/>
              <w:right w:val="nil"/>
            </w:tcBorders>
            <w:tcMar>
              <w:top w:w="0" w:type="dxa"/>
              <w:left w:w="62" w:type="dxa"/>
              <w:bottom w:w="0" w:type="dxa"/>
              <w:right w:w="62" w:type="dxa"/>
            </w:tcMar>
          </w:tcPr>
          <w:p w:rsidR="00000000" w:rsidP="00AD2E28">
            <w:pPr>
              <w:pStyle w:val="BodyText"/>
              <w:rPr>
                <w:lang w:val="en-NZ"/>
              </w:rPr>
            </w:pPr>
            <w:r w:rsidRPr="00AD2E28">
              <w:t>Completed welds are inspected for defects and any defects are rectified</w:t>
            </w:r>
          </w:p>
        </w:tc>
      </w:tr>
      <w:tr w:rsidTr="00AD2E28">
        <w:tblPrEx>
          <w:tblW w:w="0" w:type="auto"/>
          <w:tblLayout w:type="fixed"/>
          <w:tblCellMar>
            <w:left w:w="62" w:type="dxa"/>
            <w:right w:w="62" w:type="dxa"/>
          </w:tblCellMar>
          <w:tblLook w:val="0000"/>
        </w:tblPrEx>
        <w:tc>
          <w:tcPr>
            <w:tcW w:w="720" w:type="dxa"/>
            <w:tcBorders>
              <w:top w:val="nil"/>
              <w:left w:val="nil"/>
              <w:bottom w:val="nil"/>
              <w:right w:val="nil"/>
            </w:tcBorders>
            <w:tcMar>
              <w:top w:w="0" w:type="dxa"/>
              <w:left w:w="62" w:type="dxa"/>
              <w:bottom w:w="0" w:type="dxa"/>
              <w:right w:w="62" w:type="dxa"/>
            </w:tcMar>
          </w:tcPr>
          <w:p w:rsidR="00000000" w:rsidP="00AD2E28">
            <w:pPr>
              <w:pStyle w:val="BodyText"/>
              <w:rPr>
                <w:lang w:val="en-NZ"/>
              </w:rPr>
            </w:pPr>
            <w:r w:rsidRPr="00AD2E28">
              <w:t>3.</w:t>
            </w:r>
          </w:p>
        </w:tc>
        <w:tc>
          <w:tcPr>
            <w:tcW w:w="2292" w:type="dxa"/>
            <w:tcBorders>
              <w:top w:val="nil"/>
              <w:left w:val="nil"/>
              <w:bottom w:val="nil"/>
              <w:right w:val="nil"/>
            </w:tcBorders>
            <w:tcMar>
              <w:top w:w="0" w:type="dxa"/>
              <w:left w:w="62" w:type="dxa"/>
              <w:bottom w:w="0" w:type="dxa"/>
              <w:right w:w="62" w:type="dxa"/>
            </w:tcMar>
          </w:tcPr>
          <w:p w:rsidR="00000000" w:rsidP="00AD2E28">
            <w:pPr>
              <w:pStyle w:val="BodyText"/>
              <w:rPr>
                <w:lang w:val="en-NZ"/>
              </w:rPr>
            </w:pPr>
            <w:r w:rsidRPr="00AD2E28">
              <w:t>Complete documentation</w:t>
            </w:r>
          </w:p>
        </w:tc>
        <w:tc>
          <w:tcPr>
            <w:tcW w:w="861" w:type="dxa"/>
            <w:tcBorders>
              <w:top w:val="nil"/>
              <w:left w:val="nil"/>
              <w:bottom w:val="nil"/>
              <w:right w:val="nil"/>
            </w:tcBorders>
            <w:tcMar>
              <w:top w:w="0" w:type="dxa"/>
              <w:left w:w="62" w:type="dxa"/>
              <w:bottom w:w="0" w:type="dxa"/>
              <w:right w:w="62" w:type="dxa"/>
            </w:tcMar>
          </w:tcPr>
          <w:p w:rsidR="00000000" w:rsidP="00AD2E28">
            <w:pPr>
              <w:pStyle w:val="BodyText"/>
              <w:rPr>
                <w:lang w:val="en-NZ"/>
              </w:rPr>
            </w:pPr>
            <w:r w:rsidRPr="00AD2E28">
              <w:t>3.1</w:t>
            </w:r>
          </w:p>
        </w:tc>
        <w:tc>
          <w:tcPr>
            <w:tcW w:w="5307" w:type="dxa"/>
            <w:tcBorders>
              <w:top w:val="nil"/>
              <w:left w:val="nil"/>
              <w:bottom w:val="nil"/>
              <w:right w:val="nil"/>
            </w:tcBorders>
            <w:tcMar>
              <w:top w:w="0" w:type="dxa"/>
              <w:left w:w="62" w:type="dxa"/>
              <w:bottom w:w="0" w:type="dxa"/>
              <w:right w:w="62" w:type="dxa"/>
            </w:tcMar>
          </w:tcPr>
          <w:p w:rsidR="00000000" w:rsidRPr="00AD2E28" w:rsidP="00AD2E28">
            <w:pPr>
              <w:pStyle w:val="BodyText"/>
            </w:pPr>
            <w:r w:rsidRPr="00AD2E28">
              <w:t>Required documentation is completed in accordance with standard enterprise procedures</w:t>
            </w:r>
          </w:p>
        </w:tc>
      </w:tr>
    </w:tbl>
    <w:p w:rsidR="00000000" w:rsidRPr="00AD2E28" w:rsidP="00AD2E28">
      <w:pPr>
        <w:pStyle w:val="BodyText"/>
      </w:pPr>
    </w:p>
    <w:p w:rsidR="00000000" w:rsidRPr="00AD2E28" w:rsidP="00AD2E28">
      <w:pPr>
        <w:pStyle w:val="AllowPageBreak"/>
      </w:pPr>
    </w:p>
    <w:p w:rsidR="00000000" w:rsidRPr="00AD2E28" w:rsidP="00AD2E28">
      <w:pPr>
        <w:pStyle w:val="Heading1"/>
      </w:pPr>
      <w:bookmarkStart w:id="7" w:name="O_999156"/>
      <w:bookmarkEnd w:id="7"/>
      <w:r w:rsidRPr="00AD2E28">
        <w:t>Foundation Skills</w:t>
      </w:r>
    </w:p>
    <w:p w:rsidR="00000000" w:rsidRPr="00AD2E28" w:rsidP="00034372">
      <w:pPr>
        <w:pStyle w:val="BodyText"/>
      </w:pPr>
      <w:r w:rsidRPr="00AD2E28">
        <w:t>Foundation skills essential to performance are explicit in the performance criteria of this unit of competency.</w:t>
      </w:r>
    </w:p>
    <w:p w:rsidR="00000000" w:rsidRPr="00AD2E28" w:rsidP="00AD2E28">
      <w:pPr>
        <w:pStyle w:val="Heading1"/>
      </w:pPr>
      <w:bookmarkStart w:id="8" w:name="O_999155"/>
      <w:bookmarkEnd w:id="8"/>
      <w:r w:rsidRPr="00AD2E28">
        <w:t>Range of Conditions</w:t>
      </w:r>
    </w:p>
    <w:tbl>
      <w:tblPr>
        <w:tblW w:w="0" w:type="auto"/>
        <w:tblLayout w:type="fixed"/>
        <w:tblCellMar>
          <w:left w:w="62" w:type="dxa"/>
          <w:right w:w="62" w:type="dxa"/>
        </w:tblCellMar>
        <w:tblLook w:val="0000"/>
      </w:tblPr>
      <w:tblGrid>
        <w:gridCol w:w="3150"/>
        <w:gridCol w:w="5922"/>
      </w:tblGrid>
      <w:tr w:rsidTr="00AD2E28">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AD2E28">
            <w:pPr>
              <w:pStyle w:val="BodyText"/>
              <w:rPr>
                <w:lang w:val="en-NZ"/>
              </w:rPr>
            </w:pPr>
            <w:r w:rsidRPr="00AD2E28">
              <w:t>This field allows for different work environments and conditions that may affect performance. Essential operating conditions that may be present (depending on the work situation, needs of the candidate, accessibility of the item, and local industry and reg</w:t>
            </w:r>
            <w:r w:rsidRPr="00AD2E28">
              <w:t>ional contexts) are included.</w:t>
            </w:r>
          </w:p>
        </w:tc>
      </w:tr>
      <w:tr w:rsidTr="00AD2E28">
        <w:tblPrEx>
          <w:tblW w:w="0" w:type="auto"/>
          <w:tblLayout w:type="fixed"/>
          <w:tblCellMar>
            <w:left w:w="62" w:type="dxa"/>
            <w:right w:w="62" w:type="dxa"/>
          </w:tblCellMar>
          <w:tblLook w:val="0000"/>
        </w:tblPrEx>
        <w:tc>
          <w:tcPr>
            <w:tcW w:w="3150" w:type="dxa"/>
            <w:tcBorders>
              <w:top w:val="nil"/>
              <w:left w:val="nil"/>
              <w:bottom w:val="nil"/>
              <w:right w:val="nil"/>
            </w:tcBorders>
            <w:tcMar>
              <w:top w:w="0" w:type="dxa"/>
              <w:left w:w="62" w:type="dxa"/>
              <w:bottom w:w="0" w:type="dxa"/>
              <w:right w:w="62" w:type="dxa"/>
            </w:tcMar>
          </w:tcPr>
          <w:p w:rsidR="00000000" w:rsidP="00AD2E28">
            <w:pPr>
              <w:pStyle w:val="BodyText"/>
              <w:rPr>
                <w:lang w:val="en-NZ"/>
              </w:rPr>
            </w:pPr>
            <w:r w:rsidRPr="00AD2E28">
              <w:rPr>
                <w:rStyle w:val="SpecialBold"/>
              </w:rPr>
              <w:t>Materials include:</w:t>
            </w:r>
          </w:p>
        </w:tc>
        <w:tc>
          <w:tcPr>
            <w:tcW w:w="5922" w:type="dxa"/>
            <w:tcBorders>
              <w:top w:val="nil"/>
              <w:left w:val="nil"/>
              <w:bottom w:val="nil"/>
              <w:right w:val="nil"/>
            </w:tcBorders>
            <w:tcMar>
              <w:top w:w="0" w:type="dxa"/>
              <w:left w:w="62" w:type="dxa"/>
              <w:bottom w:w="0" w:type="dxa"/>
              <w:right w:w="62" w:type="dxa"/>
            </w:tcMar>
          </w:tcPr>
          <w:p w:rsidR="00000000" w:rsidP="00AD2E28">
            <w:pPr>
              <w:pStyle w:val="ListBullet"/>
              <w:rPr>
                <w:lang w:val="en-NZ"/>
              </w:rPr>
            </w:pPr>
            <w:r w:rsidRPr="00AD2E28">
              <w:t>Any metal used in the construction of aircraft components that is suitable for MMAW</w:t>
            </w:r>
          </w:p>
        </w:tc>
      </w:tr>
      <w:tr w:rsidTr="00AD2E28">
        <w:tblPrEx>
          <w:tblW w:w="0" w:type="auto"/>
          <w:tblLayout w:type="fixed"/>
          <w:tblCellMar>
            <w:left w:w="62" w:type="dxa"/>
            <w:right w:w="62" w:type="dxa"/>
          </w:tblCellMar>
          <w:tblLook w:val="0000"/>
        </w:tblPrEx>
        <w:tc>
          <w:tcPr>
            <w:tcW w:w="3150" w:type="dxa"/>
            <w:tcBorders>
              <w:top w:val="nil"/>
              <w:left w:val="nil"/>
              <w:bottom w:val="nil"/>
              <w:right w:val="nil"/>
            </w:tcBorders>
            <w:tcMar>
              <w:top w:w="0" w:type="dxa"/>
              <w:left w:w="62" w:type="dxa"/>
              <w:bottom w:w="0" w:type="dxa"/>
              <w:right w:w="62" w:type="dxa"/>
            </w:tcMar>
          </w:tcPr>
          <w:p w:rsidR="00000000" w:rsidP="00AD2E28">
            <w:pPr>
              <w:pStyle w:val="BodyText"/>
              <w:rPr>
                <w:lang w:val="en-NZ"/>
              </w:rPr>
            </w:pPr>
            <w:r w:rsidRPr="00AD2E28">
              <w:rPr>
                <w:rStyle w:val="SpecialBold"/>
              </w:rPr>
              <w:t>Components include:</w:t>
            </w:r>
          </w:p>
        </w:tc>
        <w:tc>
          <w:tcPr>
            <w:tcW w:w="5922" w:type="dxa"/>
            <w:tcBorders>
              <w:top w:val="nil"/>
              <w:left w:val="nil"/>
              <w:bottom w:val="nil"/>
              <w:right w:val="nil"/>
            </w:tcBorders>
            <w:tcMar>
              <w:top w:w="0" w:type="dxa"/>
              <w:left w:w="62" w:type="dxa"/>
              <w:bottom w:w="0" w:type="dxa"/>
              <w:right w:w="62" w:type="dxa"/>
            </w:tcMar>
          </w:tcPr>
          <w:p w:rsidR="00000000" w:rsidP="00AD2E28">
            <w:pPr>
              <w:pStyle w:val="ListBullet"/>
              <w:rPr>
                <w:lang w:val="en-NZ"/>
              </w:rPr>
            </w:pPr>
            <w:r w:rsidRPr="00AD2E28">
              <w:t>Any aircraft component where MMAW is specified as either a fabrication or repair technique</w:t>
            </w:r>
          </w:p>
        </w:tc>
      </w:tr>
      <w:tr w:rsidTr="00AD2E28">
        <w:tblPrEx>
          <w:tblW w:w="0" w:type="auto"/>
          <w:tblLayout w:type="fixed"/>
          <w:tblCellMar>
            <w:left w:w="62" w:type="dxa"/>
            <w:right w:w="62" w:type="dxa"/>
          </w:tblCellMar>
          <w:tblLook w:val="0000"/>
        </w:tblPrEx>
        <w:tc>
          <w:tcPr>
            <w:tcW w:w="3150" w:type="dxa"/>
            <w:tcBorders>
              <w:top w:val="nil"/>
              <w:left w:val="nil"/>
              <w:bottom w:val="nil"/>
              <w:right w:val="nil"/>
            </w:tcBorders>
            <w:tcMar>
              <w:top w:w="0" w:type="dxa"/>
              <w:left w:w="62" w:type="dxa"/>
              <w:bottom w:w="0" w:type="dxa"/>
              <w:right w:w="62" w:type="dxa"/>
            </w:tcMar>
          </w:tcPr>
          <w:p w:rsidR="00000000" w:rsidP="00AD2E28">
            <w:pPr>
              <w:pStyle w:val="BodyText"/>
              <w:rPr>
                <w:lang w:val="en-NZ"/>
              </w:rPr>
            </w:pPr>
            <w:r w:rsidRPr="00AD2E28">
              <w:rPr>
                <w:rStyle w:val="SpecialBold"/>
              </w:rPr>
              <w:t>Parent metal groups against which welding authorities are individually granted are:</w:t>
            </w:r>
          </w:p>
        </w:tc>
        <w:tc>
          <w:tcPr>
            <w:tcW w:w="5922" w:type="dxa"/>
            <w:tcBorders>
              <w:top w:val="nil"/>
              <w:left w:val="nil"/>
              <w:bottom w:val="nil"/>
              <w:right w:val="nil"/>
            </w:tcBorders>
            <w:tcMar>
              <w:top w:w="0" w:type="dxa"/>
              <w:left w:w="62" w:type="dxa"/>
              <w:bottom w:w="0" w:type="dxa"/>
              <w:right w:w="62" w:type="dxa"/>
            </w:tcMar>
          </w:tcPr>
          <w:p w:rsidR="00000000" w:rsidRPr="00AD2E28" w:rsidP="00AD2E28">
            <w:pPr>
              <w:pStyle w:val="ListBullet"/>
            </w:pPr>
            <w:r w:rsidRPr="00AD2E28">
              <w:t>Aluminium alloys</w:t>
            </w:r>
          </w:p>
          <w:p w:rsidR="00000000" w:rsidRPr="00AD2E28" w:rsidP="00AD2E28">
            <w:pPr>
              <w:pStyle w:val="ListBullet"/>
            </w:pPr>
            <w:r w:rsidRPr="00AD2E28">
              <w:t>Magnesium alloys</w:t>
            </w:r>
          </w:p>
          <w:p w:rsidR="00000000" w:rsidRPr="00AD2E28" w:rsidP="00AD2E28">
            <w:pPr>
              <w:pStyle w:val="ListBullet"/>
            </w:pPr>
            <w:r w:rsidRPr="00AD2E28">
              <w:t>Carbon steels and low alloy steels</w:t>
            </w:r>
          </w:p>
          <w:p w:rsidR="00000000" w:rsidRPr="00AD2E28" w:rsidP="00AD2E28">
            <w:pPr>
              <w:pStyle w:val="ListBullet"/>
            </w:pPr>
            <w:r w:rsidRPr="00AD2E28">
              <w:t>Corrosion and heat resisting steels</w:t>
            </w:r>
          </w:p>
          <w:p w:rsidR="00000000" w:rsidRPr="00AD2E28" w:rsidP="00AD2E28">
            <w:pPr>
              <w:pStyle w:val="ListBullet"/>
            </w:pPr>
            <w:r w:rsidRPr="00AD2E28">
              <w:t>Nickel alloys</w:t>
            </w:r>
          </w:p>
          <w:p w:rsidR="00000000" w:rsidRPr="00AD2E28" w:rsidP="00AD2E28">
            <w:pPr>
              <w:pStyle w:val="ListBullet"/>
            </w:pPr>
            <w:r w:rsidRPr="00AD2E28">
              <w:t>Copper-based alloys</w:t>
            </w:r>
          </w:p>
          <w:p w:rsidR="00000000" w:rsidP="00AD2E28">
            <w:pPr>
              <w:pStyle w:val="ListBullet"/>
              <w:rPr>
                <w:lang w:val="en-NZ"/>
              </w:rPr>
            </w:pPr>
            <w:r w:rsidRPr="00AD2E28">
              <w:t>Titanium alloys</w:t>
            </w:r>
          </w:p>
        </w:tc>
      </w:tr>
      <w:tr w:rsidTr="00AD2E28">
        <w:tblPrEx>
          <w:tblW w:w="0" w:type="auto"/>
          <w:tblLayout w:type="fixed"/>
          <w:tblCellMar>
            <w:left w:w="62" w:type="dxa"/>
            <w:right w:w="62" w:type="dxa"/>
          </w:tblCellMar>
          <w:tblLook w:val="0000"/>
        </w:tblPrEx>
        <w:tc>
          <w:tcPr>
            <w:tcW w:w="3150" w:type="dxa"/>
            <w:tcBorders>
              <w:top w:val="nil"/>
              <w:left w:val="nil"/>
              <w:bottom w:val="nil"/>
              <w:right w:val="nil"/>
            </w:tcBorders>
            <w:tcMar>
              <w:top w:w="0" w:type="dxa"/>
              <w:left w:w="62" w:type="dxa"/>
              <w:bottom w:w="0" w:type="dxa"/>
              <w:right w:w="62" w:type="dxa"/>
            </w:tcMar>
          </w:tcPr>
          <w:p w:rsidR="00000000" w:rsidP="00AD2E28">
            <w:pPr>
              <w:pStyle w:val="BodyText"/>
              <w:rPr>
                <w:lang w:val="en-NZ"/>
              </w:rPr>
            </w:pPr>
            <w:r w:rsidRPr="00AD2E28">
              <w:rPr>
                <w:rStyle w:val="SpecialBold"/>
              </w:rPr>
              <w:t>Required standa</w:t>
            </w:r>
            <w:r w:rsidRPr="00AD2E28">
              <w:rPr>
                <w:rStyle w:val="SpecialBold"/>
              </w:rPr>
              <w:t>rds are specified in:</w:t>
            </w:r>
          </w:p>
        </w:tc>
        <w:tc>
          <w:tcPr>
            <w:tcW w:w="5922" w:type="dxa"/>
            <w:tcBorders>
              <w:top w:val="nil"/>
              <w:left w:val="nil"/>
              <w:bottom w:val="nil"/>
              <w:right w:val="nil"/>
            </w:tcBorders>
            <w:tcMar>
              <w:top w:w="0" w:type="dxa"/>
              <w:left w:w="62" w:type="dxa"/>
              <w:bottom w:w="0" w:type="dxa"/>
              <w:right w:w="62" w:type="dxa"/>
            </w:tcMar>
          </w:tcPr>
          <w:p w:rsidR="00000000" w:rsidRPr="00AD2E28" w:rsidP="00AD2E28">
            <w:pPr>
              <w:pStyle w:val="ListBullet"/>
            </w:pPr>
            <w:r w:rsidRPr="00AD2E28">
              <w:t>Regulations relating to required test pieces</w:t>
            </w:r>
          </w:p>
          <w:p w:rsidR="00000000" w:rsidRPr="00AD2E28" w:rsidP="00AD2E28">
            <w:pPr>
              <w:pStyle w:val="ListBullet"/>
            </w:pPr>
            <w:r w:rsidRPr="00AD2E28">
              <w:t>Process specifications</w:t>
            </w:r>
          </w:p>
          <w:p w:rsidR="00000000" w:rsidRPr="00AD2E28" w:rsidP="00AD2E28">
            <w:pPr>
              <w:pStyle w:val="ListBullet"/>
            </w:pPr>
            <w:r w:rsidRPr="00AD2E28">
              <w:t>Repair manuals</w:t>
            </w:r>
          </w:p>
          <w:p w:rsidR="00000000" w:rsidRPr="00AD2E28" w:rsidP="00AD2E28">
            <w:pPr>
              <w:pStyle w:val="ListBullet"/>
            </w:pPr>
            <w:r w:rsidRPr="00AD2E28">
              <w:t>Overhaul manuals</w:t>
            </w:r>
          </w:p>
          <w:p w:rsidR="00000000" w:rsidRPr="00AD2E28" w:rsidP="00AD2E28">
            <w:pPr>
              <w:pStyle w:val="ListBullet"/>
            </w:pPr>
            <w:r w:rsidRPr="00AD2E28">
              <w:t>Australian and New Zealand Standards</w:t>
            </w:r>
          </w:p>
        </w:tc>
      </w:tr>
    </w:tbl>
    <w:p w:rsidR="00000000" w:rsidRPr="00AD2E28" w:rsidP="00AD2E28">
      <w:pPr>
        <w:pStyle w:val="BodyText"/>
      </w:pPr>
    </w:p>
    <w:p w:rsidR="00000000" w:rsidRPr="00AD2E28" w:rsidP="00AD2E28">
      <w:pPr>
        <w:pStyle w:val="AllowPageBreak"/>
      </w:pPr>
    </w:p>
    <w:p w:rsidR="00000000" w:rsidRPr="00AD2E28" w:rsidP="00AD2E28">
      <w:pPr>
        <w:pStyle w:val="Heading1"/>
      </w:pPr>
      <w:bookmarkStart w:id="9" w:name="O_999154"/>
      <w:bookmarkEnd w:id="9"/>
      <w:r w:rsidRPr="00AD2E28">
        <w:t>Unit Mapping Information</w:t>
      </w:r>
    </w:p>
    <w:p w:rsidR="00000000" w:rsidRPr="00AD2E28" w:rsidP="00034372">
      <w:pPr>
        <w:pStyle w:val="BodyText"/>
      </w:pPr>
      <w:r w:rsidRPr="00AD2E28">
        <w:t>Release 2. Equivalent to MEA435 Weld aircraft components using the manual metal arc welding process</w:t>
      </w:r>
    </w:p>
    <w:p w:rsidR="00000000" w:rsidRPr="00AD2E28" w:rsidP="00AD2E28">
      <w:pPr>
        <w:pStyle w:val="Heading1"/>
      </w:pPr>
      <w:bookmarkStart w:id="10" w:name="O_999163"/>
      <w:bookmarkEnd w:id="10"/>
      <w:r w:rsidRPr="00AD2E28">
        <w:t>Links</w:t>
      </w:r>
    </w:p>
    <w:p w:rsidR="00000000" w:rsidRPr="00AD2E28" w:rsidP="00034372">
      <w:pPr>
        <w:pStyle w:val="BodyText"/>
      </w:pPr>
      <w:r w:rsidRPr="00AD2E28">
        <w:t xml:space="preserve">Companion Volume implementation guides are found in VETNet - </w:t>
      </w:r>
      <w:r>
        <w:fldChar w:fldCharType="begin"/>
      </w:r>
      <w:r>
        <w:instrText xml:space="preserve"> HYPERLINK "https://vetnet.gov.au/Pages/TrainingDocs.aspx?q=ce216c9c-04d5-4b3b-9bcf-4e81d0950371" </w:instrText>
      </w:r>
      <w:r>
        <w:fldChar w:fldCharType="separate"/>
      </w:r>
      <w:r w:rsidRPr="005D5771">
        <w:rPr>
          <w:rStyle w:val="Hyperlink"/>
        </w:rPr>
        <w:t>https://vetnet.gov.au/Pages/TrainingDocs.aspx?q=ce216c9c-04d5-4b3b-9bcf-4e81d0950371</w:t>
      </w:r>
      <w:r>
        <w:fldChar w:fldCharType="end"/>
      </w:r>
    </w:p>
    <w:p w:rsidR="00000000" w:rsidRPr="00AD2E28" w:rsidP="00034372">
      <w:pPr>
        <w:pStyle w:val="BodyText"/>
        <w:sectPr w:rsidSect="00AD2E28">
          <w:headerReference w:type="default" r:id="rId10"/>
          <w:footerReference w:type="default" r:id="rId11"/>
          <w:pgSz w:w="11908" w:h="16833"/>
          <w:pgMar w:top="1702" w:right="1418" w:bottom="1702" w:left="1418" w:header="992" w:footer="992" w:gutter="0"/>
          <w:cols w:space="720"/>
          <w:noEndnote/>
          <w:docGrid w:linePitch="299"/>
        </w:sectPr>
      </w:pPr>
    </w:p>
    <w:p w:rsidR="00000000" w:rsidRPr="00AD2E28" w:rsidP="00AD2E28">
      <w:pPr>
        <w:pStyle w:val="SuperHeading"/>
      </w:pPr>
      <w:r w:rsidRPr="00AD2E28">
        <w:t>Assessment Requirements for MEA435 Weld aircraft components using the manual metal arc welding process</w:t>
      </w:r>
    </w:p>
    <w:p w:rsidR="00000000" w:rsidRPr="00AD2E28" w:rsidP="00AD2E28">
      <w:pPr>
        <w:pStyle w:val="Heading1"/>
      </w:pPr>
      <w:bookmarkStart w:id="11" w:name="O_999152"/>
      <w:bookmarkEnd w:id="11"/>
      <w:r w:rsidRPr="00AD2E28">
        <w:t>Modification History</w:t>
      </w:r>
    </w:p>
    <w:p w:rsidR="00000000" w:rsidRPr="00AD2E28" w:rsidP="00034372">
      <w:pPr>
        <w:pStyle w:val="BodyText"/>
      </w:pPr>
      <w:r w:rsidRPr="00AD2E28">
        <w:t>Release 2. Equivalent to MEA435 Weld aircraft components using the manual metal arc welding process with amended prerequisite codes.</w:t>
      </w:r>
    </w:p>
    <w:p w:rsidR="00000000" w:rsidRPr="00AD2E28" w:rsidP="00AD2E28">
      <w:pPr>
        <w:pStyle w:val="Heading1"/>
      </w:pPr>
      <w:bookmarkStart w:id="12" w:name="O_999151"/>
      <w:bookmarkEnd w:id="12"/>
      <w:r w:rsidRPr="00AD2E28">
        <w:t>Performance Evidence</w:t>
      </w:r>
    </w:p>
    <w:p w:rsidR="00000000" w:rsidRPr="00AD2E28" w:rsidP="00034372">
      <w:pPr>
        <w:pStyle w:val="BodyText"/>
      </w:pPr>
      <w:r w:rsidRPr="00AD2E28">
        <w:t>Evidence required to demonstrate competency in this unit must be relevant to and sati</w:t>
      </w:r>
      <w:r w:rsidRPr="00AD2E28">
        <w:t>sfy all of the requirements of the elements and performance criteria under the specified conditions of assessment, and must include:</w:t>
      </w:r>
    </w:p>
    <w:p w:rsidR="00000000" w:rsidRPr="00AD2E28" w:rsidP="00AD2E28">
      <w:pPr>
        <w:pStyle w:val="ListBullet"/>
      </w:pPr>
      <w:r w:rsidRPr="00AD2E28">
        <w:t>safely applying advanced MMAW skills defined in unit MEM05046B Perform welds to code standards using manual metal arc weld</w:t>
      </w:r>
      <w:r w:rsidRPr="00AD2E28">
        <w:t>ing process, to weld specified aircraft parent metal group materials or components to the standards specified by the relevant Regulator (CASA or the ADF)</w:t>
      </w:r>
    </w:p>
    <w:p w:rsidR="00000000" w:rsidRPr="00AD2E28" w:rsidP="00AD2E28">
      <w:pPr>
        <w:pStyle w:val="ListBullet"/>
      </w:pPr>
      <w:r w:rsidRPr="00AD2E28">
        <w:t>applying welding principles (unit MEM05026C Apply welding principles) in the context of MMAW of aircra</w:t>
      </w:r>
      <w:r w:rsidRPr="00AD2E28">
        <w:t>ft components or materials</w:t>
      </w:r>
    </w:p>
    <w:p w:rsidR="00000000" w:rsidRPr="00AD2E28" w:rsidP="00AD2E28">
      <w:pPr>
        <w:pStyle w:val="ListBullet"/>
      </w:pPr>
      <w:r w:rsidRPr="00AD2E28">
        <w:t>identifying weld requirements from applicable documentation</w:t>
      </w:r>
    </w:p>
    <w:p w:rsidR="00000000" w:rsidRPr="00AD2E28" w:rsidP="00AD2E28">
      <w:pPr>
        <w:pStyle w:val="ListBullet"/>
      </w:pPr>
      <w:r w:rsidRPr="00AD2E28">
        <w:t>selecting and correctly using items of PPE applicable to MMAW of aircraft components.</w:t>
      </w:r>
    </w:p>
    <w:p w:rsidR="00000000" w:rsidRPr="00AD2E28" w:rsidP="00034372">
      <w:pPr>
        <w:pStyle w:val="BodyText"/>
      </w:pPr>
      <w:r w:rsidRPr="00AD2E28">
        <w:t>Evidence is required of the ability to produce manual metal arc welds to required s</w:t>
      </w:r>
      <w:r w:rsidRPr="00AD2E28">
        <w:t>pecifications consistently across the range of components that are being fabricated or repaired, while applying all relevant safety precautions. The ability to do this must be demonstrated through the production of the test pieces specified for the welding</w:t>
      </w:r>
      <w:r w:rsidRPr="00AD2E28">
        <w:t xml:space="preserve"> process and parent metal group in the CAAP 33-1(0) Aircraft manual welding: approvals and qualifications or RAAF Specification Engineering W5003 Welders – Qualification for Aircraft, Missile and Aerospace Fusion welding.</w:t>
      </w:r>
    </w:p>
    <w:p w:rsidR="00000000" w:rsidRPr="00AD2E28" w:rsidP="00AD2E28">
      <w:pPr>
        <w:pStyle w:val="Heading1"/>
      </w:pPr>
      <w:bookmarkStart w:id="13" w:name="O_999150"/>
      <w:bookmarkEnd w:id="13"/>
      <w:r w:rsidRPr="00AD2E28">
        <w:t>Knowledge Evidenc</w:t>
      </w:r>
      <w:r w:rsidRPr="00AD2E28">
        <w:t>e</w:t>
      </w:r>
    </w:p>
    <w:p w:rsidR="00000000" w:rsidRPr="00AD2E28" w:rsidP="00034372">
      <w:pPr>
        <w:pStyle w:val="BodyText"/>
      </w:pPr>
      <w:r w:rsidRPr="00AD2E28">
        <w:t>Evidence required to demonstrate competency in this unit must be relevant to and satisfy all of the requirements of the elements and performance criteria and include knowledge of:</w:t>
      </w:r>
    </w:p>
    <w:p w:rsidR="00000000" w:rsidRPr="00AD2E28" w:rsidP="00AD2E28">
      <w:pPr>
        <w:pStyle w:val="ListBullet"/>
      </w:pPr>
      <w:r w:rsidRPr="00AD2E28">
        <w:t>regulatory requirements applicable to aircraft welding</w:t>
      </w:r>
    </w:p>
    <w:p w:rsidR="00000000" w:rsidRPr="00AD2E28" w:rsidP="00AD2E28">
      <w:pPr>
        <w:pStyle w:val="ListBullet"/>
      </w:pPr>
      <w:r w:rsidRPr="00AD2E28">
        <w:t>standards applicab</w:t>
      </w:r>
      <w:r w:rsidRPr="00AD2E28">
        <w:t>le to aircraft welding</w:t>
      </w:r>
    </w:p>
    <w:p w:rsidR="00000000" w:rsidRPr="00AD2E28" w:rsidP="00AD2E28">
      <w:pPr>
        <w:pStyle w:val="ListBullet"/>
      </w:pPr>
      <w:r w:rsidRPr="00AD2E28">
        <w:t>the procedure for assessment of weld test pieces.</w:t>
      </w:r>
    </w:p>
    <w:p w:rsidR="00000000" w:rsidRPr="00AD2E28" w:rsidP="00AD2E28">
      <w:pPr>
        <w:pStyle w:val="AllowPageBreak"/>
      </w:pPr>
    </w:p>
    <w:p w:rsidR="00000000" w:rsidRPr="00AD2E28" w:rsidP="00AD2E28">
      <w:pPr>
        <w:pStyle w:val="Heading1"/>
      </w:pPr>
      <w:bookmarkStart w:id="14" w:name="O_999149"/>
      <w:bookmarkEnd w:id="14"/>
      <w:r w:rsidRPr="00AD2E28">
        <w:t>Assessment Conditions</w:t>
      </w:r>
    </w:p>
    <w:p w:rsidR="00000000" w:rsidRPr="00AD2E28" w:rsidP="00AD2E28">
      <w:pPr>
        <w:pStyle w:val="ListBullet"/>
      </w:pPr>
      <w:r w:rsidRPr="00AD2E28">
        <w:t xml:space="preserve">Test pieces specified for each parent metal group for which approval is sought may be completed in the </w:t>
      </w:r>
      <w:r w:rsidRPr="00AD2E28">
        <w:t>workplace or a simulated workplace. The individual must be provided with all required equipment, consumables, PPE, materials and data/drawings relating to the test pieces that are required for the approvals being sought.</w:t>
      </w:r>
    </w:p>
    <w:p w:rsidR="00000000" w:rsidRPr="00AD2E28" w:rsidP="00AD2E28">
      <w:pPr>
        <w:pStyle w:val="ListBullet"/>
      </w:pPr>
      <w:r w:rsidRPr="00AD2E28">
        <w:t>Assessment of test pieces must be c</w:t>
      </w:r>
      <w:r w:rsidRPr="00AD2E28">
        <w:t>arried out in a testing facility that meets the requirements specified by the applicable Regulator</w:t>
      </w:r>
    </w:p>
    <w:p w:rsidR="00000000" w:rsidRPr="00AD2E28" w:rsidP="00AD2E28">
      <w:pPr>
        <w:pStyle w:val="ListBullet"/>
      </w:pPr>
      <w:r w:rsidRPr="00AD2E28">
        <w:t xml:space="preserve">Assessment methods are specified in the CAAP 33-1(0) Aircraft manual welding: approvals and qualifications or RAAF Specification Engineering W5003 Welders – </w:t>
      </w:r>
      <w:r w:rsidRPr="00AD2E28">
        <w:t>Qualification for Aircraft, Missile and Aerospace Fusion welding.</w:t>
      </w:r>
    </w:p>
    <w:p w:rsidR="00000000" w:rsidRPr="00AD2E28" w:rsidP="00AD2E28">
      <w:pPr>
        <w:pStyle w:val="ListBullet"/>
      </w:pPr>
      <w:r w:rsidRPr="00AD2E28">
        <w:t>Assessors must satisfy the requirements of the National Vocational Education and Training Regulator (Australian Skills Quality Authority, or its successors).</w:t>
      </w:r>
    </w:p>
    <w:p w:rsidR="00000000" w:rsidRPr="00AD2E28" w:rsidP="00AD2E28">
      <w:pPr>
        <w:pStyle w:val="AllowPageBreak"/>
      </w:pPr>
    </w:p>
    <w:p w:rsidR="00000000" w:rsidRPr="00AD2E28" w:rsidP="00AD2E28">
      <w:pPr>
        <w:pStyle w:val="Heading1"/>
      </w:pPr>
      <w:bookmarkStart w:id="15" w:name="O_999164"/>
      <w:bookmarkEnd w:id="15"/>
      <w:r w:rsidRPr="00AD2E28">
        <w:t>Links</w:t>
      </w:r>
    </w:p>
    <w:p w:rsidR="00000000" w:rsidRPr="00AD2E28" w:rsidP="00034372">
      <w:pPr>
        <w:pStyle w:val="BodyText"/>
      </w:pPr>
      <w:r w:rsidRPr="00AD2E28">
        <w:t>Companion</w:t>
      </w:r>
      <w:r w:rsidRPr="00AD2E28">
        <w:t xml:space="preserve"> Volume implementation guides are found in VETNet - </w:t>
      </w:r>
      <w:r>
        <w:fldChar w:fldCharType="begin"/>
      </w:r>
      <w:r>
        <w:instrText xml:space="preserve"> HYPERLINK "https://vetnet.gov.au/Pages/TrainingDocs.aspx?q=ce216c9c-04d5-4b3b-9bcf-4e81d0950371" </w:instrText>
      </w:r>
      <w:r>
        <w:fldChar w:fldCharType="separate"/>
      </w:r>
      <w:r w:rsidRPr="005D5771">
        <w:rPr>
          <w:rStyle w:val="Hyperlink"/>
        </w:rPr>
        <w:t>https://vetnet.gov.au/Pages/TrainingDocs.aspx?q=ce216c9c-04d5-4b3b-9bcf-4e81d0950371</w:t>
      </w:r>
      <w:r>
        <w:fldChar w:fldCharType="end"/>
      </w:r>
    </w:p>
    <w:p w:rsidR="00000000" w:rsidRPr="00AD2E28" w:rsidP="00AD2E28"/>
    <w:sectPr w:rsidSect="00AD2E28">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2E2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2E28" w:rsidRPr="00034372" w:rsidP="0003437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2E2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34372" w:rsidP="00AD2E2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034372" w:rsidP="00AD2E28">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034372" w:rsidP="00AD2E28">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2E28" w:rsidP="00AD2E28">
    <w:pPr>
      <w:pStyle w:val="Footer"/>
      <w:framePr w:wrap="around"/>
    </w:pPr>
    <w:r>
      <w:fldChar w:fldCharType="begin"/>
    </w:r>
    <w:r>
      <w:instrText xml:space="preserve"> DOCPROPERTY  Subject  \* MERGEFORMAT </w:instrText>
    </w:r>
    <w:r>
      <w:fldChar w:fldCharType="separate"/>
    </w:r>
    <w:r w:rsidR="00034372">
      <w:t>Approved</w:t>
    </w:r>
    <w:r w:rsidR="00034372">
      <w:fldChar w:fldCharType="end"/>
    </w:r>
    <w:r>
      <w:tab/>
      <w:t xml:space="preserve">Page </w:t>
    </w:r>
    <w:r>
      <w:fldChar w:fldCharType="begin"/>
    </w:r>
    <w:r>
      <w:instrText xml:space="preserve"> PAGE  \* Arabic  \* MERGEFORMAT </w:instrText>
    </w:r>
    <w:r>
      <w:fldChar w:fldCharType="separate"/>
    </w:r>
    <w:r w:rsidR="00034372">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034372">
      <w:rPr>
        <w:noProof/>
      </w:rPr>
      <w:t>4</w:t>
    </w:r>
    <w:r>
      <w:rPr>
        <w:noProof/>
      </w:rPr>
      <w:fldChar w:fldCharType="end"/>
    </w:r>
  </w:p>
  <w:p w:rsidR="00AD2E28" w:rsidP="00AD2E28">
    <w:pPr>
      <w:pStyle w:val="Footer"/>
      <w:framePr w:wrap="around"/>
    </w:pPr>
    <w:r>
      <w:t xml:space="preserve">© Commonwealth of Australia, </w:t>
    </w:r>
    <w:r>
      <w:fldChar w:fldCharType="begin"/>
    </w:r>
    <w:r>
      <w:instrText xml:space="preserve"> DATE  \@ "yyyy"  \* MERGEFORMAT </w:instrText>
    </w:r>
    <w:r>
      <w:fldChar w:fldCharType="separate"/>
    </w:r>
    <w:r w:rsidR="00034372">
      <w:rPr>
        <w:noProof/>
      </w:rPr>
      <w:t>2025</w:t>
    </w:r>
    <w:r>
      <w:fldChar w:fldCharType="end"/>
    </w:r>
    <w:r>
      <w:tab/>
    </w:r>
    <w:r>
      <w:fldChar w:fldCharType="begin"/>
    </w:r>
    <w:r>
      <w:instrText xml:space="preserve"> DOCPROPERTY  Author  \* MERGEFORMAT </w:instrText>
    </w:r>
    <w:r>
      <w:fldChar w:fldCharType="separate"/>
    </w:r>
    <w:r w:rsidR="00034372">
      <w:t>Manufacturing Industry Skills Alliance</w:t>
    </w:r>
    <w:r w:rsidR="00034372">
      <w:fldChar w:fldCharType="end"/>
    </w:r>
  </w:p>
  <w:p w:rsidR="00AD2E28" w:rsidP="00AD2E2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2E2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34372"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AD2E28" w:rsidRPr="00034372" w:rsidP="00034372">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2E2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34372" w:rsidRPr="002D2AF8" w:rsidP="00AD2E28">
    <w:pPr>
      <w:pStyle w:val="Header"/>
      <w:framePr w:wrap="around"/>
    </w:pPr>
    <w:r>
      <w:fldChar w:fldCharType="begin"/>
    </w:r>
    <w:r>
      <w:instrText xml:space="preserve"> TITLE   \* MERGEFORMAT </w:instrText>
    </w:r>
    <w:r>
      <w:fldChar w:fldCharType="separate"/>
    </w:r>
    <w:r>
      <w:t>MEA435 Weld aircraft components using the manual metal arc welding process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034372" w:rsidP="00AD2E28">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2E28" w:rsidRPr="002D2AF8" w:rsidP="00AD2E28">
    <w:pPr>
      <w:pStyle w:val="Header"/>
      <w:framePr w:wrap="around"/>
    </w:pPr>
    <w:r>
      <w:fldChar w:fldCharType="begin"/>
    </w:r>
    <w:r>
      <w:instrText xml:space="preserve"> TITLE   \* MERGEFORMAT </w:instrText>
    </w:r>
    <w:r>
      <w:fldChar w:fldCharType="separate"/>
    </w:r>
    <w:r w:rsidR="00034372">
      <w:t>MEA435 Weld aircraft components using the manual metal arc welding process</w:t>
    </w:r>
    <w:r w:rsidR="00034372">
      <w:fldChar w:fldCharType="end"/>
    </w:r>
    <w:r>
      <w:tab/>
      <w:t xml:space="preserve">Date this document was generated: </w:t>
    </w:r>
    <w:r>
      <w:fldChar w:fldCharType="begin"/>
    </w:r>
    <w:r>
      <w:instrText xml:space="preserve"> CREATEDATE  \@ "d MMMM yyyy"  \* MERGEFORMAT </w:instrText>
    </w:r>
    <w:r>
      <w:fldChar w:fldCharType="separate"/>
    </w:r>
    <w:r w:rsidR="00034372">
      <w:rPr>
        <w:noProof/>
      </w:rPr>
      <w:t>1 March 2025</w:t>
    </w:r>
    <w:r>
      <w:fldChar w:fldCharType="end"/>
    </w:r>
  </w:p>
  <w:p w:rsidR="00AD2E28" w:rsidP="00AD2E2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AA1ECD4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0C0ED58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2E2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D2E28"/>
    <w:pPr>
      <w:spacing w:before="360" w:after="60"/>
      <w:outlineLvl w:val="0"/>
    </w:pPr>
    <w:rPr>
      <w:sz w:val="32"/>
    </w:rPr>
  </w:style>
  <w:style w:type="paragraph" w:styleId="Heading2">
    <w:name w:val="heading 2"/>
    <w:basedOn w:val="HeadingBase"/>
    <w:next w:val="BodyText"/>
    <w:link w:val="Heading2Char"/>
    <w:qFormat/>
    <w:rsid w:val="00AD2E28"/>
    <w:pPr>
      <w:keepLines/>
      <w:spacing w:before="240" w:after="120"/>
      <w:outlineLvl w:val="1"/>
    </w:pPr>
    <w:rPr>
      <w:sz w:val="28"/>
      <w:szCs w:val="40"/>
    </w:rPr>
  </w:style>
  <w:style w:type="paragraph" w:styleId="Heading3">
    <w:name w:val="heading 3"/>
    <w:basedOn w:val="HeadingBase"/>
    <w:next w:val="BodyText"/>
    <w:link w:val="Heading3Char"/>
    <w:qFormat/>
    <w:rsid w:val="00AD2E28"/>
    <w:pPr>
      <w:spacing w:before="180" w:after="120"/>
      <w:outlineLvl w:val="2"/>
    </w:pPr>
    <w:rPr>
      <w:spacing w:val="-10"/>
      <w:kern w:val="32"/>
    </w:rPr>
  </w:style>
  <w:style w:type="paragraph" w:styleId="Heading4">
    <w:name w:val="heading 4"/>
    <w:basedOn w:val="HeadingBase"/>
    <w:next w:val="BodyText"/>
    <w:link w:val="Heading4Char"/>
    <w:qFormat/>
    <w:rsid w:val="00AD2E28"/>
    <w:pPr>
      <w:spacing w:before="160" w:after="120"/>
      <w:outlineLvl w:val="3"/>
    </w:pPr>
    <w:rPr>
      <w:sz w:val="22"/>
    </w:rPr>
  </w:style>
  <w:style w:type="paragraph" w:styleId="Heading5">
    <w:name w:val="heading 5"/>
    <w:basedOn w:val="HeadingBase"/>
    <w:next w:val="Normal"/>
    <w:link w:val="Heading5Char"/>
    <w:qFormat/>
    <w:rsid w:val="00AD2E28"/>
    <w:pPr>
      <w:spacing w:before="80"/>
      <w:outlineLvl w:val="4"/>
    </w:pPr>
    <w:rPr>
      <w:color w:val="918585"/>
      <w:sz w:val="20"/>
    </w:rPr>
  </w:style>
  <w:style w:type="paragraph" w:styleId="Heading6">
    <w:name w:val="heading 6"/>
    <w:basedOn w:val="HeadingBase"/>
    <w:next w:val="Normal"/>
    <w:link w:val="Heading6Char"/>
    <w:qFormat/>
    <w:rsid w:val="00AD2E28"/>
    <w:pPr>
      <w:spacing w:before="60"/>
      <w:outlineLvl w:val="5"/>
    </w:pPr>
    <w:rPr>
      <w:color w:val="918585"/>
      <w:sz w:val="20"/>
    </w:rPr>
  </w:style>
  <w:style w:type="paragraph" w:styleId="Heading7">
    <w:name w:val="heading 7"/>
    <w:basedOn w:val="Normal"/>
    <w:next w:val="Normal"/>
    <w:link w:val="Heading7Char"/>
    <w:qFormat/>
    <w:rsid w:val="00AD2E28"/>
    <w:pPr>
      <w:ind w:left="720"/>
      <w:outlineLvl w:val="6"/>
    </w:pPr>
    <w:rPr>
      <w:i/>
    </w:rPr>
  </w:style>
  <w:style w:type="paragraph" w:styleId="Heading8">
    <w:name w:val="heading 8"/>
    <w:basedOn w:val="Normal"/>
    <w:next w:val="Normal"/>
    <w:link w:val="Heading8Char"/>
    <w:qFormat/>
    <w:rsid w:val="00AD2E28"/>
    <w:pPr>
      <w:ind w:left="720"/>
      <w:outlineLvl w:val="7"/>
    </w:pPr>
    <w:rPr>
      <w:i/>
    </w:rPr>
  </w:style>
  <w:style w:type="paragraph" w:styleId="Heading9">
    <w:name w:val="heading 9"/>
    <w:basedOn w:val="Normal"/>
    <w:next w:val="Normal"/>
    <w:link w:val="Heading9Char"/>
    <w:qFormat/>
    <w:rsid w:val="00AD2E28"/>
    <w:pPr>
      <w:ind w:left="720"/>
      <w:outlineLvl w:val="8"/>
    </w:pPr>
    <w:rPr>
      <w:i/>
    </w:rPr>
  </w:style>
  <w:style w:type="character" w:default="1" w:styleId="DefaultParagraphFont">
    <w:name w:val="Default Paragraph Font"/>
    <w:uiPriority w:val="1"/>
    <w:unhideWhenUsed/>
    <w:rsid w:val="00AD2E2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D2E28"/>
  </w:style>
  <w:style w:type="character" w:customStyle="1" w:styleId="Heading1Char">
    <w:name w:val="Heading 1 Char"/>
    <w:basedOn w:val="DefaultParagraphFont"/>
    <w:link w:val="Heading1"/>
    <w:rsid w:val="00AD2E28"/>
    <w:rPr>
      <w:rFonts w:ascii="Times New Roman" w:eastAsia="Times New Roman" w:hAnsi="Times New Roman" w:cs="Times New Roman"/>
      <w:b/>
      <w:sz w:val="32"/>
      <w:szCs w:val="20"/>
      <w:lang w:eastAsia="en-US"/>
    </w:rPr>
  </w:style>
  <w:style w:type="paragraph" w:styleId="BodyText">
    <w:name w:val="Body Text"/>
    <w:basedOn w:val="Normal"/>
    <w:link w:val="BodyTextChar"/>
    <w:rsid w:val="00AD2E28"/>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AD2E28"/>
    <w:rPr>
      <w:rFonts w:ascii="Times New Roman" w:eastAsia="Times New Roman" w:hAnsi="Times New Roman" w:cs="Times New Roman"/>
      <w:sz w:val="24"/>
      <w:lang w:eastAsia="en-US"/>
    </w:rPr>
  </w:style>
  <w:style w:type="paragraph" w:styleId="ListBullet">
    <w:name w:val="List Bullet"/>
    <w:basedOn w:val="List"/>
    <w:rsid w:val="00AD2E28"/>
    <w:pPr>
      <w:numPr>
        <w:numId w:val="11"/>
      </w:numPr>
      <w:tabs>
        <w:tab w:val="clear" w:pos="340"/>
      </w:tabs>
      <w:spacing w:before="40" w:after="40"/>
    </w:pPr>
  </w:style>
  <w:style w:type="character" w:customStyle="1" w:styleId="SpecialBold">
    <w:name w:val="Special Bold"/>
    <w:basedOn w:val="DefaultParagraphFont"/>
    <w:rsid w:val="00AD2E28"/>
    <w:rPr>
      <w:b/>
      <w:spacing w:val="0"/>
    </w:rPr>
  </w:style>
  <w:style w:type="paragraph" w:customStyle="1" w:styleId="SuperHeading">
    <w:name w:val="SuperHeading"/>
    <w:basedOn w:val="Normal"/>
    <w:rsid w:val="00AD2E28"/>
    <w:pPr>
      <w:spacing w:before="240" w:after="120"/>
      <w:outlineLvl w:val="0"/>
    </w:pPr>
    <w:rPr>
      <w:rFonts w:ascii="Times New Roman" w:hAnsi="Times New Roman"/>
      <w:b/>
      <w:sz w:val="32"/>
    </w:rPr>
  </w:style>
  <w:style w:type="paragraph" w:customStyle="1" w:styleId="AllowPageBreak">
    <w:name w:val="AllowPageBreak"/>
    <w:rsid w:val="00AD2E28"/>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AD2E2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D2E2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D2E2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D2E2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D2E2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D2E2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D2E2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D2E28"/>
    <w:rPr>
      <w:rFonts w:ascii="Courier New" w:eastAsia="Times New Roman" w:hAnsi="Courier New" w:cs="Times New Roman"/>
      <w:i/>
      <w:szCs w:val="20"/>
      <w:lang w:eastAsia="en-US"/>
    </w:rPr>
  </w:style>
  <w:style w:type="paragraph" w:customStyle="1" w:styleId="HeadingBase">
    <w:name w:val="Heading Base"/>
    <w:rsid w:val="00AD2E2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D2E28"/>
    <w:pPr>
      <w:tabs>
        <w:tab w:val="right" w:leader="dot" w:pos="9072"/>
      </w:tabs>
      <w:ind w:left="567"/>
    </w:pPr>
    <w:rPr>
      <w:szCs w:val="22"/>
    </w:rPr>
  </w:style>
  <w:style w:type="paragraph" w:customStyle="1" w:styleId="TOCBase">
    <w:name w:val="TOC Base"/>
    <w:rsid w:val="00AD2E2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D2E28"/>
    <w:pPr>
      <w:tabs>
        <w:tab w:val="right" w:leader="dot" w:pos="9072"/>
      </w:tabs>
      <w:spacing w:before="40" w:after="40"/>
      <w:ind w:left="284"/>
    </w:pPr>
    <w:rPr>
      <w:rFonts w:ascii="Times New Roman" w:hAnsi="Times New Roman"/>
    </w:rPr>
  </w:style>
  <w:style w:type="paragraph" w:styleId="TOC1">
    <w:name w:val="toc 1"/>
    <w:basedOn w:val="TOCBase"/>
    <w:next w:val="Normal"/>
    <w:rsid w:val="00AD2E2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D2E2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D2E28"/>
    <w:rPr>
      <w:rFonts w:ascii="Times New Roman" w:eastAsia="Times New Roman" w:hAnsi="Times New Roman" w:cs="Times New Roman"/>
      <w:sz w:val="16"/>
      <w:lang w:eastAsia="en-US"/>
    </w:rPr>
  </w:style>
  <w:style w:type="paragraph" w:styleId="Title">
    <w:name w:val="Title"/>
    <w:basedOn w:val="HeadingBase"/>
    <w:link w:val="TitleChar"/>
    <w:qFormat/>
    <w:rsid w:val="00AD2E28"/>
    <w:pPr>
      <w:spacing w:before="5040"/>
      <w:jc w:val="center"/>
    </w:pPr>
    <w:rPr>
      <w:sz w:val="48"/>
      <w:szCs w:val="72"/>
      <w:lang w:val="en-US"/>
    </w:rPr>
  </w:style>
  <w:style w:type="character" w:customStyle="1" w:styleId="TitleChar">
    <w:name w:val="Title Char"/>
    <w:basedOn w:val="DefaultParagraphFont"/>
    <w:link w:val="Title"/>
    <w:rsid w:val="00AD2E2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D2E28"/>
    <w:pPr>
      <w:tabs>
        <w:tab w:val="left" w:pos="3600"/>
        <w:tab w:val="left" w:pos="3958"/>
      </w:tabs>
    </w:pPr>
  </w:style>
  <w:style w:type="paragraph" w:styleId="List">
    <w:name w:val="List"/>
    <w:basedOn w:val="BodyText"/>
    <w:next w:val="BodyText"/>
    <w:rsid w:val="00AD2E28"/>
    <w:pPr>
      <w:tabs>
        <w:tab w:val="left" w:pos="340"/>
      </w:tabs>
      <w:spacing w:before="60" w:after="60"/>
      <w:ind w:left="340" w:hanging="340"/>
    </w:pPr>
  </w:style>
  <w:style w:type="paragraph" w:customStyle="1" w:styleId="Note">
    <w:name w:val="Note"/>
    <w:basedOn w:val="BodyText"/>
    <w:rsid w:val="00AD2E2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D2E28"/>
    <w:pPr>
      <w:framePr w:wrap="auto" w:hAnchor="text" w:y="6049"/>
    </w:pPr>
    <w:rPr>
      <w:color w:val="000000"/>
      <w:sz w:val="40"/>
    </w:rPr>
  </w:style>
  <w:style w:type="paragraph" w:customStyle="1" w:styleId="TOCTitle">
    <w:name w:val="TOCTitle"/>
    <w:basedOn w:val="Heading1"/>
    <w:rsid w:val="00AD2E28"/>
    <w:pPr>
      <w:spacing w:after="240"/>
      <w:jc w:val="center"/>
      <w:outlineLvl w:val="9"/>
    </w:pPr>
    <w:rPr>
      <w:caps/>
    </w:rPr>
  </w:style>
  <w:style w:type="paragraph" w:customStyle="1" w:styleId="Version">
    <w:name w:val="Version"/>
    <w:rsid w:val="00AD2E28"/>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AD2E28"/>
    <w:pPr>
      <w:numPr>
        <w:numId w:val="12"/>
      </w:numPr>
      <w:tabs>
        <w:tab w:val="clear" w:pos="680"/>
      </w:tabs>
    </w:pPr>
  </w:style>
  <w:style w:type="paragraph" w:styleId="Index1">
    <w:name w:val="index 1"/>
    <w:basedOn w:val="Normal"/>
    <w:next w:val="Normal"/>
    <w:semiHidden/>
    <w:rsid w:val="00AD2E28"/>
    <w:pPr>
      <w:keepNext w:val="0"/>
      <w:tabs>
        <w:tab w:val="right" w:pos="4176"/>
      </w:tabs>
      <w:ind w:left="198" w:hanging="198"/>
    </w:pPr>
    <w:rPr>
      <w:rFonts w:ascii="Garamond" w:hAnsi="Garamond"/>
    </w:rPr>
  </w:style>
  <w:style w:type="paragraph" w:styleId="IndexHeading">
    <w:name w:val="index heading"/>
    <w:basedOn w:val="Normal"/>
    <w:next w:val="Index1"/>
    <w:semiHidden/>
    <w:rsid w:val="00AD2E28"/>
    <w:pPr>
      <w:spacing w:before="120" w:after="120"/>
    </w:pPr>
    <w:rPr>
      <w:rFonts w:ascii="Arial" w:hAnsi="Arial"/>
      <w:b/>
      <w:color w:val="918585"/>
      <w:sz w:val="24"/>
    </w:rPr>
  </w:style>
  <w:style w:type="paragraph" w:styleId="Header">
    <w:name w:val="header"/>
    <w:basedOn w:val="Normal"/>
    <w:link w:val="HeaderChar"/>
    <w:rsid w:val="00AD2E2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D2E28"/>
    <w:rPr>
      <w:rFonts w:ascii="Times New Roman" w:eastAsia="Times New Roman" w:hAnsi="Times New Roman" w:cs="Times New Roman"/>
      <w:sz w:val="16"/>
      <w:szCs w:val="20"/>
      <w:lang w:val="en-GB" w:eastAsia="en-US"/>
    </w:rPr>
  </w:style>
  <w:style w:type="paragraph" w:customStyle="1" w:styleId="Chapter">
    <w:name w:val="Chapter"/>
    <w:basedOn w:val="Normal"/>
    <w:rsid w:val="00AD2E28"/>
    <w:pPr>
      <w:spacing w:before="240"/>
    </w:pPr>
    <w:rPr>
      <w:rFonts w:ascii="Times New Roman" w:hAnsi="Times New Roman"/>
      <w:smallCaps/>
      <w:spacing w:val="80"/>
      <w:sz w:val="28"/>
    </w:rPr>
  </w:style>
  <w:style w:type="paragraph" w:customStyle="1" w:styleId="InChapter">
    <w:name w:val="InChapter"/>
    <w:basedOn w:val="Heading3"/>
    <w:rsid w:val="00AD2E28"/>
    <w:pPr>
      <w:spacing w:after="240"/>
      <w:outlineLvl w:val="9"/>
    </w:pPr>
    <w:rPr>
      <w:noProof/>
    </w:rPr>
  </w:style>
  <w:style w:type="paragraph" w:styleId="Index2">
    <w:name w:val="index 2"/>
    <w:basedOn w:val="Normal"/>
    <w:next w:val="Normal"/>
    <w:semiHidden/>
    <w:rsid w:val="00AD2E28"/>
    <w:pPr>
      <w:tabs>
        <w:tab w:val="right" w:pos="4176"/>
      </w:tabs>
      <w:ind w:left="568" w:hanging="284"/>
    </w:pPr>
    <w:rPr>
      <w:rFonts w:ascii="Garamond" w:hAnsi="Garamond"/>
    </w:rPr>
  </w:style>
  <w:style w:type="paragraph" w:customStyle="1" w:styleId="Byline">
    <w:name w:val="Byline"/>
    <w:rsid w:val="00AD2E2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D2E28"/>
    <w:pPr>
      <w:tabs>
        <w:tab w:val="clear" w:pos="3600"/>
        <w:tab w:val="clear" w:pos="3958"/>
      </w:tabs>
      <w:jc w:val="right"/>
    </w:pPr>
  </w:style>
  <w:style w:type="character" w:styleId="Emphasis">
    <w:name w:val="Emphasis"/>
    <w:basedOn w:val="DefaultParagraphFont"/>
    <w:qFormat/>
    <w:rsid w:val="00AD2E28"/>
    <w:rPr>
      <w:i/>
    </w:rPr>
  </w:style>
  <w:style w:type="paragraph" w:styleId="Caption">
    <w:name w:val="caption"/>
    <w:basedOn w:val="BodyText"/>
    <w:next w:val="Normal"/>
    <w:qFormat/>
    <w:rsid w:val="00AD2E28"/>
    <w:pPr>
      <w:framePr w:w="2268" w:hSpace="181" w:vSpace="181" w:wrap="around" w:vAnchor="text" w:hAnchor="page" w:x="1135" w:y="285" w:anchorLock="1"/>
    </w:pPr>
    <w:rPr>
      <w:i/>
    </w:rPr>
  </w:style>
  <w:style w:type="paragraph" w:customStyle="1" w:styleId="MiniTOCTitle">
    <w:name w:val="MiniTOCTitle"/>
    <w:basedOn w:val="Heading4"/>
    <w:rsid w:val="00AD2E28"/>
    <w:pPr>
      <w:spacing w:before="240"/>
      <w:outlineLvl w:val="9"/>
    </w:pPr>
    <w:rPr>
      <w:noProof/>
      <w:sz w:val="24"/>
    </w:rPr>
  </w:style>
  <w:style w:type="paragraph" w:customStyle="1" w:styleId="MiniTOCItem">
    <w:name w:val="MiniTOCItem"/>
    <w:basedOn w:val="ListBullet"/>
    <w:rsid w:val="00AD2E28"/>
    <w:pPr>
      <w:numPr>
        <w:numId w:val="0"/>
      </w:numPr>
      <w:tabs>
        <w:tab w:val="right" w:leader="dot" w:pos="6521"/>
      </w:tabs>
      <w:spacing w:before="0" w:after="0"/>
    </w:pPr>
  </w:style>
  <w:style w:type="paragraph" w:customStyle="1" w:styleId="TOFTitle">
    <w:name w:val="TOFTitle"/>
    <w:basedOn w:val="TOCTitle"/>
    <w:rsid w:val="00AD2E28"/>
  </w:style>
  <w:style w:type="paragraph" w:styleId="TableofFigures">
    <w:name w:val="table of figures"/>
    <w:basedOn w:val="Normal"/>
    <w:next w:val="Normal"/>
    <w:semiHidden/>
    <w:rsid w:val="00AD2E28"/>
    <w:pPr>
      <w:tabs>
        <w:tab w:val="right" w:leader="dot" w:pos="9072"/>
      </w:tabs>
      <w:ind w:left="970" w:hanging="403"/>
    </w:pPr>
    <w:rPr>
      <w:rFonts w:ascii="Times New Roman" w:hAnsi="Times New Roman"/>
      <w:b/>
    </w:rPr>
  </w:style>
  <w:style w:type="paragraph" w:styleId="ListNumber">
    <w:name w:val="List Number"/>
    <w:basedOn w:val="List"/>
    <w:rsid w:val="00AD2E28"/>
    <w:pPr>
      <w:numPr>
        <w:numId w:val="14"/>
      </w:numPr>
      <w:tabs>
        <w:tab w:val="clear" w:pos="340"/>
      </w:tabs>
    </w:pPr>
  </w:style>
  <w:style w:type="character" w:customStyle="1" w:styleId="WingdingSymbols">
    <w:name w:val="Wingding Symbols"/>
    <w:rsid w:val="00AD2E28"/>
    <w:rPr>
      <w:rFonts w:ascii="Wingdings" w:hAnsi="Wingdings"/>
    </w:rPr>
  </w:style>
  <w:style w:type="paragraph" w:customStyle="1" w:styleId="TableHeading">
    <w:name w:val="Table Heading"/>
    <w:basedOn w:val="HeadingBase"/>
    <w:rsid w:val="00AD2E28"/>
    <w:pPr>
      <w:keepLines/>
      <w:pBdr>
        <w:bottom w:val="single" w:sz="6" w:space="1" w:color="918585"/>
      </w:pBdr>
      <w:spacing w:before="240"/>
    </w:pPr>
  </w:style>
  <w:style w:type="character" w:customStyle="1" w:styleId="HotSpot">
    <w:name w:val="HotSpot"/>
    <w:rsid w:val="00AD2E28"/>
    <w:rPr>
      <w:color w:val="0033CC"/>
      <w:u w:val="none"/>
    </w:rPr>
  </w:style>
  <w:style w:type="paragraph" w:customStyle="1" w:styleId="BodyTextRight">
    <w:name w:val="Body Text Right"/>
    <w:basedOn w:val="BodyText"/>
    <w:rsid w:val="00AD2E28"/>
    <w:pPr>
      <w:spacing w:before="0" w:after="0"/>
      <w:jc w:val="right"/>
    </w:pPr>
  </w:style>
  <w:style w:type="paragraph" w:styleId="Index3">
    <w:name w:val="index 3"/>
    <w:basedOn w:val="ListNumber2"/>
    <w:next w:val="Normal"/>
    <w:semiHidden/>
    <w:rsid w:val="00AD2E28"/>
    <w:pPr>
      <w:numPr>
        <w:numId w:val="0"/>
      </w:numPr>
      <w:tabs>
        <w:tab w:val="right" w:leader="dot" w:pos="4176"/>
      </w:tabs>
    </w:pPr>
  </w:style>
  <w:style w:type="paragraph" w:styleId="ListNumber2">
    <w:name w:val="List Number 2"/>
    <w:basedOn w:val="List2"/>
    <w:rsid w:val="00AD2E28"/>
    <w:pPr>
      <w:numPr>
        <w:numId w:val="9"/>
      </w:numPr>
      <w:tabs>
        <w:tab w:val="clear" w:pos="1060"/>
      </w:tabs>
    </w:pPr>
  </w:style>
  <w:style w:type="paragraph" w:customStyle="1" w:styleId="MarginNote">
    <w:name w:val="Margin Note"/>
    <w:basedOn w:val="BodyText"/>
    <w:rsid w:val="00AD2E2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D2E2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D2E2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D2E28"/>
    <w:rPr>
      <w:sz w:val="32"/>
    </w:rPr>
  </w:style>
  <w:style w:type="paragraph" w:customStyle="1" w:styleId="HeadingProcedure">
    <w:name w:val="Heading Procedure"/>
    <w:basedOn w:val="HeadingBase"/>
    <w:next w:val="Normal"/>
    <w:rsid w:val="00AD2E28"/>
    <w:pPr>
      <w:tabs>
        <w:tab w:val="left" w:pos="0"/>
      </w:tabs>
      <w:spacing w:before="120" w:after="60"/>
    </w:pPr>
    <w:rPr>
      <w:i/>
      <w:color w:val="918585"/>
      <w:sz w:val="22"/>
    </w:rPr>
  </w:style>
  <w:style w:type="paragraph" w:customStyle="1" w:styleId="TableBodyText">
    <w:name w:val="Table Body Text"/>
    <w:basedOn w:val="BodyText"/>
    <w:rsid w:val="00AD2E28"/>
    <w:pPr>
      <w:spacing w:before="60" w:after="60"/>
    </w:pPr>
  </w:style>
  <w:style w:type="paragraph" w:styleId="ListContinue">
    <w:name w:val="List Continue"/>
    <w:basedOn w:val="List"/>
    <w:rsid w:val="00AD2E28"/>
    <w:pPr>
      <w:ind w:firstLine="0"/>
    </w:pPr>
  </w:style>
  <w:style w:type="paragraph" w:customStyle="1" w:styleId="ListNote">
    <w:name w:val="List Note"/>
    <w:basedOn w:val="List"/>
    <w:rsid w:val="00AD2E28"/>
    <w:pPr>
      <w:pBdr>
        <w:top w:val="single" w:sz="6" w:space="2" w:color="918585"/>
        <w:bottom w:val="single" w:sz="6" w:space="2" w:color="918585"/>
      </w:pBdr>
      <w:tabs>
        <w:tab w:val="left" w:pos="1021"/>
      </w:tabs>
      <w:ind w:firstLine="0"/>
    </w:pPr>
  </w:style>
  <w:style w:type="paragraph" w:customStyle="1" w:styleId="Warning">
    <w:name w:val="Warning"/>
    <w:basedOn w:val="BodyText"/>
    <w:rsid w:val="00AD2E28"/>
    <w:pPr>
      <w:shd w:val="clear" w:color="auto" w:fill="D9D9D9"/>
      <w:tabs>
        <w:tab w:val="left" w:pos="992"/>
      </w:tabs>
      <w:ind w:left="119" w:right="119"/>
    </w:pPr>
    <w:rPr>
      <w:sz w:val="20"/>
    </w:rPr>
  </w:style>
  <w:style w:type="paragraph" w:customStyle="1" w:styleId="MarginIcons">
    <w:name w:val="Margin Icons"/>
    <w:basedOn w:val="BodyText"/>
    <w:rsid w:val="00AD2E2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D2E28"/>
    <w:rPr>
      <w:rFonts w:ascii="Courier New" w:hAnsi="Courier New"/>
    </w:rPr>
  </w:style>
  <w:style w:type="paragraph" w:customStyle="1" w:styleId="NoteBullet">
    <w:name w:val="Note Bullet"/>
    <w:basedOn w:val="Note"/>
    <w:rsid w:val="00AD2E28"/>
    <w:pPr>
      <w:tabs>
        <w:tab w:val="clear" w:pos="680"/>
      </w:tabs>
      <w:spacing w:before="60" w:after="60"/>
    </w:pPr>
  </w:style>
  <w:style w:type="paragraph" w:customStyle="1" w:styleId="SubHeading2">
    <w:name w:val="SubHeading2"/>
    <w:basedOn w:val="HeadingBase"/>
    <w:rsid w:val="00AD2E28"/>
    <w:pPr>
      <w:spacing w:before="240" w:after="60"/>
    </w:pPr>
    <w:rPr>
      <w:sz w:val="20"/>
    </w:rPr>
  </w:style>
  <w:style w:type="paragraph" w:customStyle="1" w:styleId="SubHeading1">
    <w:name w:val="SubHeading1"/>
    <w:basedOn w:val="HeadingBase"/>
    <w:rsid w:val="00AD2E28"/>
    <w:pPr>
      <w:spacing w:before="240" w:after="60"/>
    </w:pPr>
    <w:rPr>
      <w:color w:val="918585"/>
      <w:sz w:val="22"/>
    </w:rPr>
  </w:style>
  <w:style w:type="paragraph" w:customStyle="1" w:styleId="SideHeading">
    <w:name w:val="Side Heading"/>
    <w:basedOn w:val="HeadingBase"/>
    <w:rsid w:val="00AD2E2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D2E28"/>
    <w:pPr>
      <w:numPr>
        <w:numId w:val="10"/>
      </w:numPr>
    </w:pPr>
  </w:style>
  <w:style w:type="paragraph" w:styleId="PlainText">
    <w:name w:val="Plain Text"/>
    <w:basedOn w:val="Normal"/>
    <w:link w:val="PlainTextChar"/>
    <w:rsid w:val="00AD2E28"/>
    <w:rPr>
      <w:sz w:val="20"/>
    </w:rPr>
  </w:style>
  <w:style w:type="character" w:customStyle="1" w:styleId="PlainTextChar">
    <w:name w:val="Plain Text Char"/>
    <w:basedOn w:val="DefaultParagraphFont"/>
    <w:link w:val="PlainText"/>
    <w:rsid w:val="00AD2E28"/>
    <w:rPr>
      <w:rFonts w:ascii="Courier New" w:eastAsia="Times New Roman" w:hAnsi="Courier New" w:cs="Times New Roman"/>
      <w:sz w:val="20"/>
      <w:szCs w:val="20"/>
      <w:lang w:eastAsia="en-US"/>
    </w:rPr>
  </w:style>
  <w:style w:type="character" w:customStyle="1" w:styleId="MenuOption">
    <w:name w:val="Menu Option"/>
    <w:basedOn w:val="DefaultParagraphFont"/>
    <w:rsid w:val="00AD2E28"/>
    <w:rPr>
      <w:b/>
      <w:smallCaps/>
    </w:rPr>
  </w:style>
  <w:style w:type="paragraph" w:customStyle="1" w:styleId="TableListNumber">
    <w:name w:val="Table List Number"/>
    <w:basedOn w:val="ListNumber"/>
    <w:rsid w:val="00AD2E28"/>
    <w:pPr>
      <w:numPr>
        <w:numId w:val="0"/>
      </w:numPr>
    </w:pPr>
  </w:style>
  <w:style w:type="paragraph" w:styleId="TOC4">
    <w:name w:val="toc 4"/>
    <w:basedOn w:val="TOCBase"/>
    <w:next w:val="Normal"/>
    <w:semiHidden/>
    <w:rsid w:val="00AD2E28"/>
    <w:pPr>
      <w:tabs>
        <w:tab w:val="right" w:leader="dot" w:pos="9071"/>
      </w:tabs>
      <w:ind w:left="1701"/>
    </w:pPr>
  </w:style>
  <w:style w:type="paragraph" w:customStyle="1" w:styleId="ListAlpha">
    <w:name w:val="List Alpha"/>
    <w:basedOn w:val="List"/>
    <w:rsid w:val="00AD2E28"/>
    <w:pPr>
      <w:numPr>
        <w:numId w:val="8"/>
      </w:numPr>
    </w:pPr>
  </w:style>
  <w:style w:type="paragraph" w:customStyle="1" w:styleId="ListAlpha2">
    <w:name w:val="List Alpha 2"/>
    <w:basedOn w:val="List2"/>
    <w:rsid w:val="00AD2E28"/>
    <w:pPr>
      <w:numPr>
        <w:numId w:val="7"/>
      </w:numPr>
    </w:pPr>
  </w:style>
  <w:style w:type="paragraph" w:styleId="List2">
    <w:name w:val="List 2"/>
    <w:basedOn w:val="BodyText"/>
    <w:rsid w:val="00AD2E28"/>
    <w:pPr>
      <w:tabs>
        <w:tab w:val="left" w:pos="680"/>
      </w:tabs>
      <w:spacing w:before="60" w:after="60"/>
      <w:ind w:left="680" w:hanging="340"/>
    </w:pPr>
  </w:style>
  <w:style w:type="paragraph" w:styleId="List3">
    <w:name w:val="List 3"/>
    <w:basedOn w:val="BodyText"/>
    <w:rsid w:val="00AD2E28"/>
    <w:pPr>
      <w:tabs>
        <w:tab w:val="left" w:pos="1021"/>
      </w:tabs>
      <w:spacing w:before="60" w:after="60"/>
      <w:ind w:left="1020" w:hanging="340"/>
    </w:pPr>
  </w:style>
  <w:style w:type="paragraph" w:styleId="List4">
    <w:name w:val="List 4"/>
    <w:basedOn w:val="BodyText"/>
    <w:rsid w:val="00AD2E28"/>
    <w:pPr>
      <w:tabs>
        <w:tab w:val="left" w:pos="1361"/>
      </w:tabs>
      <w:spacing w:before="60" w:after="60"/>
      <w:ind w:left="1361" w:hanging="340"/>
    </w:pPr>
  </w:style>
  <w:style w:type="paragraph" w:styleId="List5">
    <w:name w:val="List 5"/>
    <w:basedOn w:val="BodyText"/>
    <w:rsid w:val="00AD2E28"/>
    <w:pPr>
      <w:tabs>
        <w:tab w:val="left" w:pos="1701"/>
      </w:tabs>
      <w:spacing w:before="60" w:after="60"/>
      <w:ind w:left="1701" w:hanging="340"/>
    </w:pPr>
  </w:style>
  <w:style w:type="paragraph" w:styleId="ListBullet3">
    <w:name w:val="List Bullet 3"/>
    <w:basedOn w:val="List3"/>
    <w:rsid w:val="00AD2E28"/>
    <w:pPr>
      <w:numPr>
        <w:numId w:val="13"/>
      </w:numPr>
      <w:tabs>
        <w:tab w:val="clear" w:pos="1021"/>
      </w:tabs>
      <w:ind w:left="1037" w:hanging="357"/>
    </w:pPr>
  </w:style>
  <w:style w:type="paragraph" w:styleId="ListBullet4">
    <w:name w:val="List Bullet 4"/>
    <w:basedOn w:val="List4"/>
    <w:rsid w:val="00AD2E28"/>
    <w:pPr>
      <w:numPr>
        <w:numId w:val="2"/>
      </w:numPr>
      <w:tabs>
        <w:tab w:val="clear" w:pos="1361"/>
      </w:tabs>
    </w:pPr>
  </w:style>
  <w:style w:type="paragraph" w:styleId="ListBullet5">
    <w:name w:val="List Bullet 5"/>
    <w:basedOn w:val="List5"/>
    <w:rsid w:val="00AD2E28"/>
    <w:pPr>
      <w:numPr>
        <w:numId w:val="3"/>
      </w:numPr>
    </w:pPr>
  </w:style>
  <w:style w:type="paragraph" w:styleId="ListContinue2">
    <w:name w:val="List Continue 2"/>
    <w:basedOn w:val="List2"/>
    <w:rsid w:val="00AD2E28"/>
    <w:pPr>
      <w:ind w:firstLine="0"/>
    </w:pPr>
  </w:style>
  <w:style w:type="paragraph" w:styleId="ListContinue3">
    <w:name w:val="List Continue 3"/>
    <w:basedOn w:val="List3"/>
    <w:rsid w:val="00AD2E28"/>
    <w:pPr>
      <w:ind w:left="1021" w:firstLine="0"/>
    </w:pPr>
  </w:style>
  <w:style w:type="paragraph" w:styleId="ListContinue4">
    <w:name w:val="List Continue 4"/>
    <w:basedOn w:val="List4"/>
    <w:rsid w:val="00AD2E28"/>
    <w:pPr>
      <w:ind w:firstLine="0"/>
    </w:pPr>
  </w:style>
  <w:style w:type="paragraph" w:styleId="ListContinue5">
    <w:name w:val="List Continue 5"/>
    <w:basedOn w:val="List5"/>
    <w:rsid w:val="00AD2E28"/>
    <w:pPr>
      <w:ind w:firstLine="0"/>
    </w:pPr>
  </w:style>
  <w:style w:type="paragraph" w:styleId="ListNumber3">
    <w:name w:val="List Number 3"/>
    <w:basedOn w:val="List3"/>
    <w:rsid w:val="00AD2E28"/>
    <w:pPr>
      <w:numPr>
        <w:numId w:val="4"/>
      </w:numPr>
    </w:pPr>
  </w:style>
  <w:style w:type="paragraph" w:styleId="ListNumber4">
    <w:name w:val="List Number 4"/>
    <w:basedOn w:val="List4"/>
    <w:rsid w:val="00AD2E28"/>
    <w:pPr>
      <w:numPr>
        <w:numId w:val="5"/>
      </w:numPr>
    </w:pPr>
  </w:style>
  <w:style w:type="paragraph" w:styleId="ListNumber5">
    <w:name w:val="List Number 5"/>
    <w:basedOn w:val="List5"/>
    <w:rsid w:val="00AD2E28"/>
    <w:pPr>
      <w:numPr>
        <w:numId w:val="6"/>
      </w:numPr>
    </w:pPr>
  </w:style>
  <w:style w:type="paragraph" w:styleId="BlockText">
    <w:name w:val="Block Text"/>
    <w:basedOn w:val="Normal"/>
    <w:rsid w:val="00AD2E28"/>
    <w:pPr>
      <w:spacing w:after="120"/>
      <w:ind w:left="1440" w:right="1440"/>
    </w:pPr>
  </w:style>
  <w:style w:type="character" w:customStyle="1" w:styleId="Subscript">
    <w:name w:val="Subscript"/>
    <w:basedOn w:val="DefaultParagraphFont"/>
    <w:rsid w:val="00AD2E28"/>
    <w:rPr>
      <w:sz w:val="16"/>
      <w:vertAlign w:val="subscript"/>
    </w:rPr>
  </w:style>
  <w:style w:type="character" w:customStyle="1" w:styleId="Superscript">
    <w:name w:val="Superscript"/>
    <w:basedOn w:val="DefaultParagraphFont"/>
    <w:rsid w:val="00AD2E28"/>
    <w:rPr>
      <w:sz w:val="16"/>
      <w:vertAlign w:val="superscript"/>
    </w:rPr>
  </w:style>
  <w:style w:type="character" w:customStyle="1" w:styleId="Symbols">
    <w:name w:val="Symbols"/>
    <w:basedOn w:val="DefaultParagraphFont"/>
    <w:rsid w:val="00AD2E28"/>
    <w:rPr>
      <w:rFonts w:ascii="Symbol" w:hAnsi="Symbol"/>
    </w:rPr>
  </w:style>
  <w:style w:type="character" w:customStyle="1" w:styleId="MenuOptions">
    <w:name w:val="Menu Options"/>
    <w:basedOn w:val="DefaultParagraphFont"/>
    <w:rsid w:val="00AD2E28"/>
    <w:rPr>
      <w:rFonts w:ascii="Arial Narrow" w:hAnsi="Arial Narrow"/>
      <w:smallCaps/>
    </w:rPr>
  </w:style>
  <w:style w:type="character" w:customStyle="1" w:styleId="Buttons">
    <w:name w:val="Buttons"/>
    <w:basedOn w:val="DefaultParagraphFont"/>
    <w:rsid w:val="00AD2E28"/>
    <w:rPr>
      <w:b/>
    </w:rPr>
  </w:style>
  <w:style w:type="character" w:customStyle="1" w:styleId="Underlined">
    <w:name w:val="Underlined"/>
    <w:basedOn w:val="DefaultParagraphFont"/>
    <w:rsid w:val="00AD2E28"/>
    <w:rPr>
      <w:u w:val="single"/>
    </w:rPr>
  </w:style>
  <w:style w:type="paragraph" w:customStyle="1" w:styleId="TableBodyTextRight">
    <w:name w:val="Table Body Text Right"/>
    <w:basedOn w:val="TableBodyText"/>
    <w:rsid w:val="00AD2E28"/>
    <w:pPr>
      <w:widowControl w:val="0"/>
      <w:autoSpaceDE w:val="0"/>
      <w:autoSpaceDN w:val="0"/>
      <w:adjustRightInd w:val="0"/>
      <w:jc w:val="right"/>
    </w:pPr>
    <w:rPr>
      <w:rFonts w:cs="Arial"/>
      <w:szCs w:val="18"/>
    </w:rPr>
  </w:style>
  <w:style w:type="paragraph" w:customStyle="1" w:styleId="CopyrightText">
    <w:name w:val="Copyright Text"/>
    <w:basedOn w:val="BodyText"/>
    <w:rsid w:val="00AD2E28"/>
    <w:rPr>
      <w:sz w:val="18"/>
    </w:rPr>
  </w:style>
  <w:style w:type="paragraph" w:customStyle="1" w:styleId="BodySmallRight">
    <w:name w:val="Body Small Right"/>
    <w:basedOn w:val="BodyTextRight"/>
    <w:rsid w:val="00AD2E28"/>
    <w:rPr>
      <w:sz w:val="18"/>
      <w:szCs w:val="18"/>
    </w:rPr>
  </w:style>
  <w:style w:type="paragraph" w:customStyle="1" w:styleId="MarginEdition">
    <w:name w:val="Margin Edition"/>
    <w:basedOn w:val="MarginNote"/>
    <w:rsid w:val="00AD2E28"/>
    <w:pPr>
      <w:spacing w:before="0" w:after="0"/>
    </w:pPr>
    <w:rPr>
      <w:rFonts w:ascii="Times New Roman" w:hAnsi="Times New Roman"/>
      <w:color w:val="999999"/>
    </w:rPr>
  </w:style>
  <w:style w:type="paragraph" w:customStyle="1" w:styleId="Spacer">
    <w:name w:val="Spacer"/>
    <w:basedOn w:val="Normal"/>
    <w:rsid w:val="00AD2E28"/>
    <w:rPr>
      <w:sz w:val="2"/>
      <w:szCs w:val="2"/>
    </w:rPr>
  </w:style>
  <w:style w:type="character" w:customStyle="1" w:styleId="Small">
    <w:name w:val="Small"/>
    <w:basedOn w:val="DefaultParagraphFont"/>
    <w:rsid w:val="00AD2E28"/>
    <w:rPr>
      <w:sz w:val="16"/>
    </w:rPr>
  </w:style>
  <w:style w:type="paragraph" w:customStyle="1" w:styleId="WideTable">
    <w:name w:val="Wide Table"/>
    <w:basedOn w:val="Normal"/>
    <w:rsid w:val="00AD2E28"/>
    <w:pPr>
      <w:ind w:left="-1418"/>
    </w:pPr>
    <w:rPr>
      <w:sz w:val="2"/>
      <w:szCs w:val="2"/>
    </w:rPr>
  </w:style>
  <w:style w:type="character" w:styleId="PageNumber">
    <w:name w:val="page number"/>
    <w:basedOn w:val="DefaultParagraphFont"/>
    <w:rsid w:val="00AD2E28"/>
  </w:style>
  <w:style w:type="paragraph" w:styleId="Quote">
    <w:name w:val="Quote"/>
    <w:basedOn w:val="Heading1"/>
    <w:link w:val="QuoteChar"/>
    <w:qFormat/>
    <w:rsid w:val="00AD2E28"/>
    <w:rPr>
      <w:b w:val="0"/>
      <w:sz w:val="72"/>
      <w:szCs w:val="72"/>
      <w:lang w:val="en-NZ"/>
    </w:rPr>
  </w:style>
  <w:style w:type="character" w:customStyle="1" w:styleId="QuoteChar">
    <w:name w:val="Quote Char"/>
    <w:basedOn w:val="DefaultParagraphFont"/>
    <w:link w:val="Quote"/>
    <w:rsid w:val="00AD2E2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D2E28"/>
    <w:pPr>
      <w:pageBreakBefore/>
    </w:pPr>
  </w:style>
  <w:style w:type="paragraph" w:customStyle="1" w:styleId="Border">
    <w:name w:val="Border"/>
    <w:basedOn w:val="Normal"/>
    <w:qFormat/>
    <w:rsid w:val="00AD2E2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D2E28"/>
    <w:rPr>
      <w:b/>
      <w:bCs/>
      <w:i/>
      <w:iCs/>
      <w:color w:val="auto"/>
    </w:rPr>
  </w:style>
  <w:style w:type="paragraph" w:styleId="IntenseQuote">
    <w:name w:val="Intense Quote"/>
    <w:basedOn w:val="Normal"/>
    <w:next w:val="Normal"/>
    <w:link w:val="IntenseQuoteChar"/>
    <w:uiPriority w:val="30"/>
    <w:qFormat/>
    <w:rsid w:val="00AD2E2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D2E2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D2E28"/>
    <w:rPr>
      <w:smallCaps/>
      <w:color w:val="auto"/>
      <w:u w:val="single"/>
    </w:rPr>
  </w:style>
  <w:style w:type="character" w:styleId="IntenseReference">
    <w:name w:val="Intense Reference"/>
    <w:basedOn w:val="DefaultParagraphFont"/>
    <w:uiPriority w:val="32"/>
    <w:qFormat/>
    <w:rsid w:val="00AD2E28"/>
    <w:rPr>
      <w:b/>
      <w:bCs/>
      <w:smallCaps/>
      <w:color w:val="auto"/>
      <w:spacing w:val="5"/>
      <w:u w:val="single"/>
    </w:rPr>
  </w:style>
  <w:style w:type="paragraph" w:customStyle="1" w:styleId="2ColumnHeading">
    <w:name w:val="2Column Heading"/>
    <w:basedOn w:val="BodyText"/>
    <w:qFormat/>
    <w:rsid w:val="00AD2E28"/>
    <w:pPr>
      <w:spacing w:after="60"/>
      <w:ind w:left="-2268"/>
    </w:pPr>
    <w:rPr>
      <w:b/>
    </w:rPr>
  </w:style>
  <w:style w:type="paragraph" w:customStyle="1" w:styleId="Heading1TOC">
    <w:name w:val="Heading1 TOC"/>
    <w:basedOn w:val="Normal"/>
    <w:qFormat/>
    <w:rsid w:val="00AD2E28"/>
    <w:pPr>
      <w:spacing w:before="240" w:after="120"/>
    </w:pPr>
    <w:rPr>
      <w:rFonts w:ascii="Times New Roman" w:hAnsi="Times New Roman"/>
      <w:b/>
      <w:sz w:val="32"/>
    </w:rPr>
  </w:style>
  <w:style w:type="paragraph" w:customStyle="1" w:styleId="Heading2TOC">
    <w:name w:val="Heading2 TOC"/>
    <w:basedOn w:val="Normal"/>
    <w:qFormat/>
    <w:rsid w:val="00AD2E28"/>
    <w:pPr>
      <w:spacing w:before="240" w:after="60"/>
    </w:pPr>
    <w:rPr>
      <w:rFonts w:ascii="Times New Roman" w:hAnsi="Times New Roman"/>
      <w:b/>
      <w:sz w:val="28"/>
    </w:rPr>
  </w:style>
  <w:style w:type="character" w:customStyle="1" w:styleId="Underline">
    <w:name w:val="Underline"/>
    <w:basedOn w:val="DefaultParagraphFont"/>
    <w:qFormat/>
    <w:rsid w:val="00AD2E28"/>
    <w:rPr>
      <w:u w:val="single"/>
    </w:rPr>
  </w:style>
  <w:style w:type="character" w:customStyle="1" w:styleId="BoldandItalics">
    <w:name w:val="Bold and Italics"/>
    <w:qFormat/>
    <w:rsid w:val="00AD2E28"/>
    <w:rPr>
      <w:b/>
      <w:i/>
      <w:u w:val="none"/>
    </w:rPr>
  </w:style>
  <w:style w:type="paragraph" w:styleId="BalloonText">
    <w:name w:val="Balloon Text"/>
    <w:basedOn w:val="Normal"/>
    <w:link w:val="BalloonTextChar"/>
    <w:rsid w:val="00AD2E28"/>
    <w:rPr>
      <w:rFonts w:ascii="Tahoma" w:hAnsi="Tahoma" w:cs="Tahoma"/>
      <w:sz w:val="16"/>
      <w:szCs w:val="16"/>
    </w:rPr>
  </w:style>
  <w:style w:type="character" w:customStyle="1" w:styleId="BalloonTextChar">
    <w:name w:val="Balloon Text Char"/>
    <w:basedOn w:val="DefaultParagraphFont"/>
    <w:link w:val="BalloonText"/>
    <w:rsid w:val="00AD2E2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D2E28"/>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AD2E2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D2E28"/>
    <w:rPr>
      <w:b/>
      <w:color w:val="660033"/>
      <w:spacing w:val="0"/>
    </w:rPr>
  </w:style>
  <w:style w:type="paragraph" w:customStyle="1" w:styleId="Nameditemlist">
    <w:name w:val="Named item list"/>
    <w:basedOn w:val="BodyText"/>
    <w:qFormat/>
    <w:rsid w:val="00AD2E28"/>
    <w:pPr>
      <w:tabs>
        <w:tab w:val="left" w:pos="2835"/>
      </w:tabs>
      <w:ind w:left="2835" w:hanging="2835"/>
    </w:pPr>
  </w:style>
  <w:style w:type="paragraph" w:customStyle="1" w:styleId="BodyTextnopadding">
    <w:name w:val="Body Text no padding"/>
    <w:basedOn w:val="BodyText"/>
    <w:qFormat/>
    <w:rsid w:val="00AD2E28"/>
    <w:pPr>
      <w:spacing w:before="0" w:after="0"/>
    </w:pPr>
  </w:style>
  <w:style w:type="paragraph" w:customStyle="1" w:styleId="BodyTextBold">
    <w:name w:val="Body Text Bold"/>
    <w:basedOn w:val="BodyText"/>
    <w:qFormat/>
    <w:rsid w:val="00AD2E28"/>
    <w:rPr>
      <w:b/>
    </w:rPr>
  </w:style>
  <w:style w:type="character" w:styleId="Hyperlink">
    <w:name w:val="Hyperlink"/>
    <w:basedOn w:val="DefaultParagraphFont"/>
    <w:uiPriority w:val="99"/>
    <w:unhideWhenUsed/>
    <w:rsid w:val="00034372"/>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4</Pages>
  <Words>1011</Words>
  <Characters>6333</Characters>
  <Application>Microsoft Office Word</Application>
  <DocSecurity>0</DocSecurity>
  <Lines>191</Lines>
  <Paragraphs>111</Paragraphs>
  <ScaleCrop>false</ScaleCrop>
  <Company>Author-it Software Corporation Ltd.</Company>
  <LinksUpToDate>false</LinksUpToDate>
  <CharactersWithSpaces>7233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MEA435 Weld aircraft components using the manual metal arc welding process</dc:title>
  <dc:subject>Approved</dc:subject>
  <dc:creator>Manufacturing Industry Skills Alliance</dc:creator>
  <cp:keywords>Release: 2</cp:keywords>
  <dc:description>Review Date: 12 April 2008</dc:description>
  <cp:lastModifiedBy>HSD_TPCMSd.prod</cp:lastModifiedBy>
  <cp:revision>3</cp:revision>
  <dcterms:created xsi:type="dcterms:W3CDTF">2025-03-01T11:41:00Z</dcterms:created>
  <dcterms:modified xsi:type="dcterms:W3CDTF">2025-03-01T11:42:00Z</dcterms:modified>
</cp:coreProperties>
</file>