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76D0B" w:rsidP="00876D0B">
      <w:pPr>
        <w:pStyle w:val="Title"/>
      </w:pPr>
      <w:r>
        <w:fldChar w:fldCharType="begin"/>
      </w:r>
      <w:r>
        <w:instrText xml:space="preserve"> TITLE   \* MERGEFORMAT </w:instrText>
      </w:r>
      <w:r>
        <w:fldChar w:fldCharType="separate"/>
      </w:r>
      <w:r>
        <w:t>MEA423 Aircraft structure major disassembly and reassembly</w:t>
      </w:r>
      <w:r>
        <w:fldChar w:fldCharType="end"/>
      </w:r>
    </w:p>
    <w:p w:rsidR="00876D0B" w:rsidP="00876D0B">
      <w:pPr>
        <w:pStyle w:val="Version"/>
        <w:sectPr w:rsidSect="0039290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92907" w:rsidP="00392907">
      <w:pPr>
        <w:pStyle w:val="SuperHeading"/>
      </w:pPr>
      <w:r w:rsidRPr="00392907">
        <w:t>MEA423 Aircraft structure major disassembly and reassembly</w:t>
      </w:r>
    </w:p>
    <w:p w:rsidR="00000000" w:rsidRPr="00392907" w:rsidP="00392907">
      <w:pPr>
        <w:pStyle w:val="Heading1"/>
      </w:pPr>
      <w:bookmarkStart w:id="1" w:name="O_848623"/>
      <w:bookmarkEnd w:id="1"/>
      <w:r w:rsidRPr="00392907">
        <w:t>Modification History</w:t>
      </w:r>
    </w:p>
    <w:p w:rsidR="00000000" w:rsidRPr="00392907" w:rsidP="00876D0B">
      <w:pPr>
        <w:pStyle w:val="BodyText"/>
      </w:pPr>
      <w:r w:rsidRPr="00392907">
        <w:t>Release 2 – Assessment Conditions amended to permit assessment in a simulated workplace</w:t>
      </w:r>
    </w:p>
    <w:p w:rsidR="00000000" w:rsidRPr="00392907" w:rsidP="00392907">
      <w:pPr>
        <w:pStyle w:val="Heading1"/>
      </w:pPr>
      <w:bookmarkStart w:id="2" w:name="O_848622"/>
      <w:bookmarkEnd w:id="2"/>
      <w:r w:rsidRPr="00392907">
        <w:t>Application</w:t>
      </w:r>
    </w:p>
    <w:p w:rsidR="00000000" w:rsidRPr="00392907" w:rsidP="00876D0B">
      <w:pPr>
        <w:pStyle w:val="BodyText"/>
      </w:pPr>
      <w:r w:rsidRPr="00392907">
        <w:t>This unit of competency requires application of hand skills and use of maintenance publications, drawi</w:t>
      </w:r>
      <w:r w:rsidRPr="00392907">
        <w:t>ngs, and appropriate jigs, fixtures and tools to disassemble and reassemble aircraft structure during scheduled or unscheduled maintenance. Structural repair/modification is covered by MEA422 Repair/modify aircraft metal structure or MEA405 Repair/modify a</w:t>
      </w:r>
      <w:r w:rsidRPr="00392907">
        <w:t>ircraft composite material structure/components. Where fabrication of replacement components is required the applicable units are MEA420 Fabricate basic structural components for aircraft and MEA421 Fabricate advanced structural components for aircraft.</w:t>
      </w:r>
    </w:p>
    <w:p w:rsidR="00000000" w:rsidRPr="00392907" w:rsidP="00876D0B">
      <w:pPr>
        <w:pStyle w:val="BodyText"/>
      </w:pPr>
      <w:r w:rsidRPr="00392907">
        <w:t>W</w:t>
      </w:r>
      <w:r w:rsidRPr="00392907">
        <w:t>ork may be performed individually or as part of a team.</w:t>
      </w:r>
    </w:p>
    <w:p w:rsidR="00000000" w:rsidRPr="00392907" w:rsidP="00876D0B">
      <w:pPr>
        <w:pStyle w:val="BodyText"/>
      </w:pPr>
      <w:r w:rsidRPr="00392907">
        <w:t>Applications include fixed and rotary wing aircraft.</w:t>
      </w:r>
    </w:p>
    <w:p w:rsidR="00000000" w:rsidRPr="00392907" w:rsidP="00876D0B">
      <w:pPr>
        <w:pStyle w:val="BodyText"/>
      </w:pPr>
      <w:r w:rsidRPr="00392907">
        <w:t>This unit of competency is part of the Aeroskills Structures Maintenance Certificate IV training pathway. It is used in workplaces that operate u</w:t>
      </w:r>
      <w:r w:rsidRPr="00392907">
        <w:t>nder the airworthiness regulatory systems of the Australian Defence Force (ADF) and the Civil Aviation Safety Authority (CASA).</w:t>
      </w:r>
    </w:p>
    <w:p w:rsidR="00000000" w:rsidRPr="00392907" w:rsidP="00392907">
      <w:pPr>
        <w:pStyle w:val="Heading1"/>
      </w:pPr>
      <w:bookmarkStart w:id="3" w:name="O_848621"/>
      <w:bookmarkEnd w:id="3"/>
      <w:r w:rsidRPr="00392907">
        <w:t>Pre-requisite Unit</w:t>
      </w:r>
    </w:p>
    <w:tbl>
      <w:tblPr>
        <w:tblW w:w="0" w:type="auto"/>
        <w:tblLayout w:type="fixed"/>
        <w:tblCellMar>
          <w:left w:w="62" w:type="dxa"/>
          <w:right w:w="62" w:type="dxa"/>
        </w:tblCellMar>
        <w:tblLook w:val="0000"/>
      </w:tblPr>
      <w:tblGrid>
        <w:gridCol w:w="1825"/>
        <w:gridCol w:w="6219"/>
      </w:tblGrid>
      <w:tr w:rsidTr="00392907">
        <w:tblPrEx>
          <w:tblW w:w="0" w:type="auto"/>
          <w:tblLayout w:type="fixed"/>
          <w:tblCellMar>
            <w:left w:w="62" w:type="dxa"/>
            <w:right w:w="62" w:type="dxa"/>
          </w:tblCellMar>
          <w:tblLook w:val="0000"/>
        </w:tblPrEx>
        <w:tc>
          <w:tcPr>
            <w:tcW w:w="1825" w:type="dxa"/>
            <w:tcBorders>
              <w:top w:val="nil"/>
              <w:left w:val="nil"/>
              <w:bottom w:val="nil"/>
              <w:right w:val="nil"/>
            </w:tcBorders>
            <w:tcMar>
              <w:top w:w="0" w:type="dxa"/>
              <w:left w:w="62" w:type="dxa"/>
              <w:bottom w:w="0" w:type="dxa"/>
              <w:right w:w="62" w:type="dxa"/>
            </w:tcMar>
          </w:tcPr>
          <w:p w:rsidR="00000000" w:rsidP="00392907">
            <w:pPr>
              <w:pStyle w:val="BodyText"/>
              <w:rPr>
                <w:lang w:val="en-NZ"/>
              </w:rPr>
            </w:pPr>
            <w:r w:rsidRPr="00392907">
              <w:t>MEA401</w:t>
            </w:r>
          </w:p>
        </w:tc>
        <w:tc>
          <w:tcPr>
            <w:tcW w:w="6219" w:type="dxa"/>
            <w:tcBorders>
              <w:top w:val="nil"/>
              <w:left w:val="nil"/>
              <w:bottom w:val="nil"/>
              <w:right w:val="nil"/>
            </w:tcBorders>
            <w:tcMar>
              <w:top w:w="0" w:type="dxa"/>
              <w:left w:w="62" w:type="dxa"/>
              <w:bottom w:w="0" w:type="dxa"/>
              <w:right w:w="62" w:type="dxa"/>
            </w:tcMar>
          </w:tcPr>
          <w:p w:rsidR="00000000" w:rsidRPr="00392907" w:rsidP="00392907">
            <w:pPr>
              <w:pStyle w:val="BodyText"/>
            </w:pPr>
            <w:r w:rsidRPr="00392907">
              <w:t>Inspect aircraft structure</w:t>
            </w:r>
          </w:p>
        </w:tc>
      </w:tr>
    </w:tbl>
    <w:p w:rsidR="00000000" w:rsidRPr="00392907" w:rsidP="00392907">
      <w:pPr>
        <w:pStyle w:val="BodyText"/>
      </w:pPr>
    </w:p>
    <w:p w:rsidR="00000000" w:rsidRPr="00392907" w:rsidP="00392907">
      <w:pPr>
        <w:pStyle w:val="AllowPageBreak"/>
      </w:pPr>
    </w:p>
    <w:p w:rsidR="00000000" w:rsidRPr="00392907" w:rsidP="00392907">
      <w:pPr>
        <w:pStyle w:val="Heading1"/>
      </w:pPr>
      <w:bookmarkStart w:id="4" w:name="O_848620"/>
      <w:bookmarkEnd w:id="4"/>
      <w:r w:rsidRPr="00392907">
        <w:t>Competency Field</w:t>
      </w:r>
    </w:p>
    <w:p w:rsidR="00000000" w:rsidRPr="00392907" w:rsidP="00876D0B">
      <w:pPr>
        <w:pStyle w:val="BodyText"/>
      </w:pPr>
      <w:r w:rsidRPr="00392907">
        <w:t>Aviation maintenance</w:t>
      </w:r>
    </w:p>
    <w:p w:rsidR="00000000" w:rsidRPr="00392907" w:rsidP="00392907">
      <w:pPr>
        <w:pStyle w:val="Heading1"/>
      </w:pPr>
      <w:bookmarkStart w:id="5" w:name="O_848619"/>
      <w:bookmarkEnd w:id="5"/>
      <w:r w:rsidRPr="00392907">
        <w:t>Unit Sector</w:t>
      </w:r>
    </w:p>
    <w:p w:rsidR="00000000" w:rsidRPr="00392907" w:rsidP="00392907">
      <w:pPr>
        <w:pStyle w:val="Heading1"/>
      </w:pPr>
      <w:bookmarkStart w:id="6" w:name="O_848618"/>
      <w:bookmarkEnd w:id="6"/>
      <w:r w:rsidRPr="00392907">
        <w:t>Elements and Performance Criteria</w:t>
      </w:r>
    </w:p>
    <w:tbl>
      <w:tblPr>
        <w:tblW w:w="0" w:type="auto"/>
        <w:tblLayout w:type="fixed"/>
        <w:tblCellMar>
          <w:left w:w="62" w:type="dxa"/>
          <w:right w:w="62" w:type="dxa"/>
        </w:tblCellMar>
        <w:tblLook w:val="0000"/>
      </w:tblPr>
      <w:tblGrid>
        <w:gridCol w:w="714"/>
        <w:gridCol w:w="2328"/>
        <w:gridCol w:w="951"/>
        <w:gridCol w:w="5108"/>
      </w:tblGrid>
      <w:tr w:rsidTr="00392907">
        <w:tblPrEx>
          <w:tblW w:w="0" w:type="auto"/>
          <w:tblLayout w:type="fixed"/>
          <w:tblCellMar>
            <w:left w:w="62" w:type="dxa"/>
            <w:right w:w="62" w:type="dxa"/>
          </w:tblCellMar>
          <w:tblLook w:val="0000"/>
        </w:tblPrEx>
        <w:tc>
          <w:tcPr>
            <w:tcW w:w="3042" w:type="dxa"/>
            <w:gridSpan w:val="2"/>
            <w:tcBorders>
              <w:top w:val="nil"/>
              <w:left w:val="nil"/>
              <w:bottom w:val="nil"/>
              <w:right w:val="nil"/>
            </w:tcBorders>
            <w:tcMar>
              <w:top w:w="0" w:type="dxa"/>
              <w:left w:w="62" w:type="dxa"/>
              <w:bottom w:w="0" w:type="dxa"/>
              <w:right w:w="62" w:type="dxa"/>
            </w:tcMar>
          </w:tcPr>
          <w:p w:rsidR="00000000" w:rsidP="00392907">
            <w:pPr>
              <w:pStyle w:val="BodyText"/>
              <w:rPr>
                <w:lang w:val="en-NZ"/>
              </w:rPr>
            </w:pPr>
            <w:r w:rsidRPr="00392907">
              <w:t>Elements describe the essential outcomes.</w:t>
            </w:r>
          </w:p>
        </w:tc>
        <w:tc>
          <w:tcPr>
            <w:tcW w:w="6059" w:type="dxa"/>
            <w:gridSpan w:val="2"/>
            <w:tcBorders>
              <w:top w:val="nil"/>
              <w:left w:val="nil"/>
              <w:bottom w:val="nil"/>
              <w:right w:val="nil"/>
            </w:tcBorders>
            <w:tcMar>
              <w:top w:w="0" w:type="dxa"/>
              <w:left w:w="62" w:type="dxa"/>
              <w:bottom w:w="0" w:type="dxa"/>
              <w:right w:w="62" w:type="dxa"/>
            </w:tcMar>
          </w:tcPr>
          <w:p w:rsidR="00000000" w:rsidP="00392907">
            <w:pPr>
              <w:pStyle w:val="BodyText"/>
              <w:rPr>
                <w:lang w:val="en-NZ"/>
              </w:rPr>
            </w:pPr>
            <w:r w:rsidRPr="00392907">
              <w:t xml:space="preserve">Performance criteria describe the performance needed to demonstrate achievement of the element. </w:t>
            </w:r>
          </w:p>
        </w:tc>
      </w:tr>
      <w:tr w:rsidTr="00392907">
        <w:tblPrEx>
          <w:tblW w:w="0" w:type="auto"/>
          <w:tblLayout w:type="fixed"/>
          <w:tblCellMar>
            <w:left w:w="62" w:type="dxa"/>
            <w:right w:w="62" w:type="dxa"/>
          </w:tblCellMar>
          <w:tblLook w:val="0000"/>
        </w:tblPrEx>
        <w:tc>
          <w:tcPr>
            <w:tcW w:w="714" w:type="dxa"/>
            <w:tcBorders>
              <w:top w:val="nil"/>
              <w:left w:val="nil"/>
              <w:bottom w:val="nil"/>
              <w:right w:val="nil"/>
            </w:tcBorders>
            <w:tcMar>
              <w:top w:w="0" w:type="dxa"/>
              <w:left w:w="62" w:type="dxa"/>
              <w:bottom w:w="0" w:type="dxa"/>
              <w:right w:w="62" w:type="dxa"/>
            </w:tcMar>
          </w:tcPr>
          <w:p w:rsidR="00000000" w:rsidP="00392907">
            <w:pPr>
              <w:pStyle w:val="BodyText"/>
              <w:rPr>
                <w:lang w:val="en-NZ"/>
              </w:rPr>
            </w:pPr>
            <w:r w:rsidRPr="00392907">
              <w:t>1.</w:t>
            </w:r>
          </w:p>
        </w:tc>
        <w:tc>
          <w:tcPr>
            <w:tcW w:w="2328" w:type="dxa"/>
            <w:tcBorders>
              <w:top w:val="nil"/>
              <w:left w:val="nil"/>
              <w:bottom w:val="nil"/>
              <w:right w:val="nil"/>
            </w:tcBorders>
            <w:tcMar>
              <w:top w:w="0" w:type="dxa"/>
              <w:left w:w="62" w:type="dxa"/>
              <w:bottom w:w="0" w:type="dxa"/>
              <w:right w:w="62" w:type="dxa"/>
            </w:tcMar>
          </w:tcPr>
          <w:p w:rsidR="00000000" w:rsidP="00392907">
            <w:pPr>
              <w:pStyle w:val="BodyText"/>
              <w:rPr>
                <w:lang w:val="en-NZ"/>
              </w:rPr>
            </w:pPr>
            <w:r w:rsidRPr="00392907">
              <w:t>Interpret specifications and orga</w:t>
            </w:r>
            <w:r w:rsidRPr="00392907">
              <w:t>nise materials</w:t>
            </w:r>
          </w:p>
        </w:tc>
        <w:tc>
          <w:tcPr>
            <w:tcW w:w="951" w:type="dxa"/>
            <w:tcBorders>
              <w:top w:val="nil"/>
              <w:left w:val="nil"/>
              <w:bottom w:val="nil"/>
              <w:right w:val="nil"/>
            </w:tcBorders>
            <w:tcMar>
              <w:top w:w="0" w:type="dxa"/>
              <w:left w:w="62" w:type="dxa"/>
              <w:bottom w:w="0" w:type="dxa"/>
              <w:right w:w="62" w:type="dxa"/>
            </w:tcMar>
          </w:tcPr>
          <w:p w:rsidR="00000000" w:rsidP="00392907">
            <w:pPr>
              <w:pStyle w:val="BodyText"/>
              <w:rPr>
                <w:lang w:val="en-NZ"/>
              </w:rPr>
            </w:pPr>
            <w:r w:rsidRPr="00392907">
              <w:t>1.1</w:t>
            </w:r>
          </w:p>
        </w:tc>
        <w:tc>
          <w:tcPr>
            <w:tcW w:w="5108" w:type="dxa"/>
            <w:tcBorders>
              <w:top w:val="nil"/>
              <w:left w:val="nil"/>
              <w:bottom w:val="nil"/>
              <w:right w:val="nil"/>
            </w:tcBorders>
            <w:tcMar>
              <w:top w:w="0" w:type="dxa"/>
              <w:left w:w="62" w:type="dxa"/>
              <w:bottom w:w="0" w:type="dxa"/>
              <w:right w:w="62" w:type="dxa"/>
            </w:tcMar>
          </w:tcPr>
          <w:p w:rsidR="00000000" w:rsidP="00392907">
            <w:pPr>
              <w:pStyle w:val="BodyText"/>
              <w:rPr>
                <w:lang w:val="en-NZ"/>
              </w:rPr>
            </w:pPr>
            <w:r w:rsidRPr="00392907">
              <w:t>The procedure for assembly/disassembly of structure is determined in order to plan equipment use</w:t>
            </w:r>
          </w:p>
        </w:tc>
      </w:tr>
      <w:tr w:rsidTr="00392907">
        <w:tblPrEx>
          <w:tblW w:w="0" w:type="auto"/>
          <w:tblLayout w:type="fixed"/>
          <w:tblCellMar>
            <w:left w:w="62" w:type="dxa"/>
            <w:right w:w="62" w:type="dxa"/>
          </w:tblCellMar>
          <w:tblLook w:val="0000"/>
        </w:tblPrEx>
        <w:tc>
          <w:tcPr>
            <w:tcW w:w="71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2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951" w:type="dxa"/>
            <w:tcBorders>
              <w:top w:val="nil"/>
              <w:left w:val="nil"/>
              <w:bottom w:val="nil"/>
              <w:right w:val="nil"/>
            </w:tcBorders>
            <w:tcMar>
              <w:top w:w="0" w:type="dxa"/>
              <w:left w:w="62" w:type="dxa"/>
              <w:bottom w:w="0" w:type="dxa"/>
              <w:right w:w="62" w:type="dxa"/>
            </w:tcMar>
          </w:tcPr>
          <w:p w:rsidR="00000000" w:rsidP="00392907">
            <w:pPr>
              <w:pStyle w:val="BodyText"/>
              <w:rPr>
                <w:lang w:val="en-NZ"/>
              </w:rPr>
            </w:pPr>
            <w:r w:rsidRPr="00392907">
              <w:t>1.2</w:t>
            </w:r>
          </w:p>
        </w:tc>
        <w:tc>
          <w:tcPr>
            <w:tcW w:w="5108" w:type="dxa"/>
            <w:tcBorders>
              <w:top w:val="nil"/>
              <w:left w:val="nil"/>
              <w:bottom w:val="nil"/>
              <w:right w:val="nil"/>
            </w:tcBorders>
            <w:tcMar>
              <w:top w:w="0" w:type="dxa"/>
              <w:left w:w="62" w:type="dxa"/>
              <w:bottom w:w="0" w:type="dxa"/>
              <w:right w:w="62" w:type="dxa"/>
            </w:tcMar>
          </w:tcPr>
          <w:p w:rsidR="00000000" w:rsidP="00392907">
            <w:pPr>
              <w:pStyle w:val="BodyText"/>
              <w:rPr>
                <w:lang w:val="en-NZ"/>
              </w:rPr>
            </w:pPr>
            <w:r w:rsidRPr="00392907">
              <w:t>Appropriate jigs, fixtures or bracing methods are selected to ensure maintenance of contour/structural integrity during disassembly/assembly operations</w:t>
            </w:r>
          </w:p>
        </w:tc>
      </w:tr>
      <w:tr w:rsidTr="00392907">
        <w:tblPrEx>
          <w:tblW w:w="0" w:type="auto"/>
          <w:tblLayout w:type="fixed"/>
          <w:tblCellMar>
            <w:left w:w="62" w:type="dxa"/>
            <w:right w:w="62" w:type="dxa"/>
          </w:tblCellMar>
          <w:tblLook w:val="0000"/>
        </w:tblPrEx>
        <w:tc>
          <w:tcPr>
            <w:tcW w:w="71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2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951" w:type="dxa"/>
            <w:tcBorders>
              <w:top w:val="nil"/>
              <w:left w:val="nil"/>
              <w:bottom w:val="nil"/>
              <w:right w:val="nil"/>
            </w:tcBorders>
            <w:tcMar>
              <w:top w:w="0" w:type="dxa"/>
              <w:left w:w="62" w:type="dxa"/>
              <w:bottom w:w="0" w:type="dxa"/>
              <w:right w:w="62" w:type="dxa"/>
            </w:tcMar>
          </w:tcPr>
          <w:p w:rsidR="00000000" w:rsidP="00392907">
            <w:pPr>
              <w:pStyle w:val="BodyText"/>
              <w:rPr>
                <w:lang w:val="en-NZ"/>
              </w:rPr>
            </w:pPr>
            <w:r w:rsidRPr="00392907">
              <w:t>1.3</w:t>
            </w:r>
          </w:p>
        </w:tc>
        <w:tc>
          <w:tcPr>
            <w:tcW w:w="5108" w:type="dxa"/>
            <w:tcBorders>
              <w:top w:val="nil"/>
              <w:left w:val="nil"/>
              <w:bottom w:val="nil"/>
              <w:right w:val="nil"/>
            </w:tcBorders>
            <w:tcMar>
              <w:top w:w="0" w:type="dxa"/>
              <w:left w:w="62" w:type="dxa"/>
              <w:bottom w:w="0" w:type="dxa"/>
              <w:right w:w="62" w:type="dxa"/>
            </w:tcMar>
          </w:tcPr>
          <w:p w:rsidR="00000000" w:rsidP="00392907">
            <w:pPr>
              <w:pStyle w:val="BodyText"/>
              <w:rPr>
                <w:lang w:val="en-NZ"/>
              </w:rPr>
            </w:pPr>
            <w:r w:rsidRPr="00392907">
              <w:t>All components and equipment are organised</w:t>
            </w:r>
          </w:p>
        </w:tc>
      </w:tr>
      <w:tr w:rsidTr="00392907">
        <w:tblPrEx>
          <w:tblW w:w="0" w:type="auto"/>
          <w:tblLayout w:type="fixed"/>
          <w:tblCellMar>
            <w:left w:w="62" w:type="dxa"/>
            <w:right w:w="62" w:type="dxa"/>
          </w:tblCellMar>
          <w:tblLook w:val="0000"/>
        </w:tblPrEx>
        <w:tc>
          <w:tcPr>
            <w:tcW w:w="714" w:type="dxa"/>
            <w:tcBorders>
              <w:top w:val="nil"/>
              <w:left w:val="nil"/>
              <w:bottom w:val="nil"/>
              <w:right w:val="nil"/>
            </w:tcBorders>
            <w:tcMar>
              <w:top w:w="0" w:type="dxa"/>
              <w:left w:w="62" w:type="dxa"/>
              <w:bottom w:w="0" w:type="dxa"/>
              <w:right w:w="62" w:type="dxa"/>
            </w:tcMar>
          </w:tcPr>
          <w:p w:rsidR="00000000" w:rsidP="00392907">
            <w:pPr>
              <w:pStyle w:val="BodyText"/>
              <w:rPr>
                <w:lang w:val="en-NZ"/>
              </w:rPr>
            </w:pPr>
            <w:r w:rsidRPr="00392907">
              <w:t>2.</w:t>
            </w:r>
          </w:p>
        </w:tc>
        <w:tc>
          <w:tcPr>
            <w:tcW w:w="2328" w:type="dxa"/>
            <w:tcBorders>
              <w:top w:val="nil"/>
              <w:left w:val="nil"/>
              <w:bottom w:val="nil"/>
              <w:right w:val="nil"/>
            </w:tcBorders>
            <w:tcMar>
              <w:top w:w="0" w:type="dxa"/>
              <w:left w:w="62" w:type="dxa"/>
              <w:bottom w:w="0" w:type="dxa"/>
              <w:right w:w="62" w:type="dxa"/>
            </w:tcMar>
          </w:tcPr>
          <w:p w:rsidR="00000000" w:rsidP="00392907">
            <w:pPr>
              <w:pStyle w:val="BodyText"/>
              <w:rPr>
                <w:lang w:val="en-NZ"/>
              </w:rPr>
            </w:pPr>
            <w:r w:rsidRPr="00392907">
              <w:t>Prepare aircraft or sub-assembly for structural di</w:t>
            </w:r>
            <w:r w:rsidRPr="00392907">
              <w:t>sassembly</w:t>
            </w:r>
          </w:p>
        </w:tc>
        <w:tc>
          <w:tcPr>
            <w:tcW w:w="951" w:type="dxa"/>
            <w:tcBorders>
              <w:top w:val="nil"/>
              <w:left w:val="nil"/>
              <w:bottom w:val="nil"/>
              <w:right w:val="nil"/>
            </w:tcBorders>
            <w:tcMar>
              <w:top w:w="0" w:type="dxa"/>
              <w:left w:w="62" w:type="dxa"/>
              <w:bottom w:w="0" w:type="dxa"/>
              <w:right w:w="62" w:type="dxa"/>
            </w:tcMar>
          </w:tcPr>
          <w:p w:rsidR="00000000" w:rsidP="00392907">
            <w:pPr>
              <w:pStyle w:val="BodyText"/>
              <w:rPr>
                <w:lang w:val="en-NZ"/>
              </w:rPr>
            </w:pPr>
            <w:r w:rsidRPr="00392907">
              <w:t>2.1</w:t>
            </w:r>
          </w:p>
        </w:tc>
        <w:tc>
          <w:tcPr>
            <w:tcW w:w="5108" w:type="dxa"/>
            <w:tcBorders>
              <w:top w:val="nil"/>
              <w:left w:val="nil"/>
              <w:bottom w:val="nil"/>
              <w:right w:val="nil"/>
            </w:tcBorders>
            <w:tcMar>
              <w:top w:w="0" w:type="dxa"/>
              <w:left w:w="62" w:type="dxa"/>
              <w:bottom w:w="0" w:type="dxa"/>
              <w:right w:w="62" w:type="dxa"/>
            </w:tcMar>
          </w:tcPr>
          <w:p w:rsidR="00000000" w:rsidP="00392907">
            <w:pPr>
              <w:pStyle w:val="BodyText"/>
              <w:rPr>
                <w:lang w:val="en-NZ"/>
              </w:rPr>
            </w:pPr>
            <w:r w:rsidRPr="00392907">
              <w:t>Structure is supported with appropriate jigs, fixtures or bracing, as required</w:t>
            </w:r>
          </w:p>
        </w:tc>
      </w:tr>
      <w:tr w:rsidTr="00392907">
        <w:tblPrEx>
          <w:tblW w:w="0" w:type="auto"/>
          <w:tblLayout w:type="fixed"/>
          <w:tblCellMar>
            <w:left w:w="62" w:type="dxa"/>
            <w:right w:w="62" w:type="dxa"/>
          </w:tblCellMar>
          <w:tblLook w:val="0000"/>
        </w:tblPrEx>
        <w:tc>
          <w:tcPr>
            <w:tcW w:w="71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2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951" w:type="dxa"/>
            <w:tcBorders>
              <w:top w:val="nil"/>
              <w:left w:val="nil"/>
              <w:bottom w:val="nil"/>
              <w:right w:val="nil"/>
            </w:tcBorders>
            <w:tcMar>
              <w:top w:w="0" w:type="dxa"/>
              <w:left w:w="62" w:type="dxa"/>
              <w:bottom w:w="0" w:type="dxa"/>
              <w:right w:w="62" w:type="dxa"/>
            </w:tcMar>
          </w:tcPr>
          <w:p w:rsidR="00000000" w:rsidP="00392907">
            <w:pPr>
              <w:pStyle w:val="BodyText"/>
              <w:rPr>
                <w:lang w:val="en-NZ"/>
              </w:rPr>
            </w:pPr>
            <w:r w:rsidRPr="00392907">
              <w:t>2.2</w:t>
            </w:r>
          </w:p>
        </w:tc>
        <w:tc>
          <w:tcPr>
            <w:tcW w:w="5108" w:type="dxa"/>
            <w:tcBorders>
              <w:top w:val="nil"/>
              <w:left w:val="nil"/>
              <w:bottom w:val="nil"/>
              <w:right w:val="nil"/>
            </w:tcBorders>
            <w:tcMar>
              <w:top w:w="0" w:type="dxa"/>
              <w:left w:w="62" w:type="dxa"/>
              <w:bottom w:w="0" w:type="dxa"/>
              <w:right w:w="62" w:type="dxa"/>
            </w:tcMar>
          </w:tcPr>
          <w:p w:rsidR="00000000" w:rsidP="00392907">
            <w:pPr>
              <w:pStyle w:val="BodyText"/>
              <w:rPr>
                <w:lang w:val="en-NZ"/>
              </w:rPr>
            </w:pPr>
            <w:r w:rsidRPr="00392907">
              <w:t>Structural components are removed, as required, to provide access</w:t>
            </w:r>
          </w:p>
        </w:tc>
      </w:tr>
      <w:tr w:rsidTr="00392907">
        <w:tblPrEx>
          <w:tblW w:w="0" w:type="auto"/>
          <w:tblLayout w:type="fixed"/>
          <w:tblCellMar>
            <w:left w:w="62" w:type="dxa"/>
            <w:right w:w="62" w:type="dxa"/>
          </w:tblCellMar>
          <w:tblLook w:val="0000"/>
        </w:tblPrEx>
        <w:tc>
          <w:tcPr>
            <w:tcW w:w="714" w:type="dxa"/>
            <w:tcBorders>
              <w:top w:val="nil"/>
              <w:left w:val="nil"/>
              <w:bottom w:val="nil"/>
              <w:right w:val="nil"/>
            </w:tcBorders>
            <w:tcMar>
              <w:top w:w="0" w:type="dxa"/>
              <w:left w:w="62" w:type="dxa"/>
              <w:bottom w:w="0" w:type="dxa"/>
              <w:right w:w="62" w:type="dxa"/>
            </w:tcMar>
          </w:tcPr>
          <w:p w:rsidR="00000000" w:rsidP="00392907">
            <w:pPr>
              <w:pStyle w:val="BodyText"/>
              <w:rPr>
                <w:lang w:val="en-NZ"/>
              </w:rPr>
            </w:pPr>
            <w:r w:rsidRPr="00392907">
              <w:t>3.</w:t>
            </w:r>
          </w:p>
        </w:tc>
        <w:tc>
          <w:tcPr>
            <w:tcW w:w="2328" w:type="dxa"/>
            <w:tcBorders>
              <w:top w:val="nil"/>
              <w:left w:val="nil"/>
              <w:bottom w:val="nil"/>
              <w:right w:val="nil"/>
            </w:tcBorders>
            <w:tcMar>
              <w:top w:w="0" w:type="dxa"/>
              <w:left w:w="62" w:type="dxa"/>
              <w:bottom w:w="0" w:type="dxa"/>
              <w:right w:w="62" w:type="dxa"/>
            </w:tcMar>
          </w:tcPr>
          <w:p w:rsidR="00000000" w:rsidP="00392907">
            <w:pPr>
              <w:pStyle w:val="BodyText"/>
              <w:rPr>
                <w:lang w:val="en-NZ"/>
              </w:rPr>
            </w:pPr>
            <w:r w:rsidRPr="00392907">
              <w:t>Disassemble aircraft structure or sub-assembly</w:t>
            </w:r>
          </w:p>
        </w:tc>
        <w:tc>
          <w:tcPr>
            <w:tcW w:w="951" w:type="dxa"/>
            <w:tcBorders>
              <w:top w:val="nil"/>
              <w:left w:val="nil"/>
              <w:bottom w:val="nil"/>
              <w:right w:val="nil"/>
            </w:tcBorders>
            <w:tcMar>
              <w:top w:w="0" w:type="dxa"/>
              <w:left w:w="62" w:type="dxa"/>
              <w:bottom w:w="0" w:type="dxa"/>
              <w:right w:w="62" w:type="dxa"/>
            </w:tcMar>
          </w:tcPr>
          <w:p w:rsidR="00000000" w:rsidP="00392907">
            <w:pPr>
              <w:pStyle w:val="BodyText"/>
              <w:rPr>
                <w:lang w:val="en-NZ"/>
              </w:rPr>
            </w:pPr>
            <w:r w:rsidRPr="00392907">
              <w:t>3.1</w:t>
            </w:r>
          </w:p>
        </w:tc>
        <w:tc>
          <w:tcPr>
            <w:tcW w:w="5108" w:type="dxa"/>
            <w:tcBorders>
              <w:top w:val="nil"/>
              <w:left w:val="nil"/>
              <w:bottom w:val="nil"/>
              <w:right w:val="nil"/>
            </w:tcBorders>
            <w:tcMar>
              <w:top w:w="0" w:type="dxa"/>
              <w:left w:w="62" w:type="dxa"/>
              <w:bottom w:w="0" w:type="dxa"/>
              <w:right w:w="62" w:type="dxa"/>
            </w:tcMar>
          </w:tcPr>
          <w:p w:rsidR="00000000" w:rsidP="00392907">
            <w:pPr>
              <w:pStyle w:val="BodyText"/>
              <w:rPr>
                <w:lang w:val="en-NZ"/>
              </w:rPr>
            </w:pPr>
            <w:r w:rsidRPr="00392907">
              <w:t>Aircraft standard practices are app</w:t>
            </w:r>
            <w:r w:rsidRPr="00392907">
              <w:t>lied in the removal of structural hardware and fasteners while observing all relevant work health and safety (WHS) requirements, including the use of material safety data sheets (MSDS) and items of personal protective equipment (PPE)</w:t>
            </w:r>
          </w:p>
        </w:tc>
      </w:tr>
      <w:tr w:rsidTr="00392907">
        <w:tblPrEx>
          <w:tblW w:w="0" w:type="auto"/>
          <w:tblLayout w:type="fixed"/>
          <w:tblCellMar>
            <w:left w:w="62" w:type="dxa"/>
            <w:right w:w="62" w:type="dxa"/>
          </w:tblCellMar>
          <w:tblLook w:val="0000"/>
        </w:tblPrEx>
        <w:tc>
          <w:tcPr>
            <w:tcW w:w="71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2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951" w:type="dxa"/>
            <w:tcBorders>
              <w:top w:val="nil"/>
              <w:left w:val="nil"/>
              <w:bottom w:val="nil"/>
              <w:right w:val="nil"/>
            </w:tcBorders>
            <w:tcMar>
              <w:top w:w="0" w:type="dxa"/>
              <w:left w:w="62" w:type="dxa"/>
              <w:bottom w:w="0" w:type="dxa"/>
              <w:right w:w="62" w:type="dxa"/>
            </w:tcMar>
          </w:tcPr>
          <w:p w:rsidR="00000000" w:rsidP="00392907">
            <w:pPr>
              <w:pStyle w:val="BodyText"/>
              <w:rPr>
                <w:lang w:val="en-NZ"/>
              </w:rPr>
            </w:pPr>
            <w:r w:rsidRPr="00392907">
              <w:t>3.2</w:t>
            </w:r>
          </w:p>
        </w:tc>
        <w:tc>
          <w:tcPr>
            <w:tcW w:w="5108" w:type="dxa"/>
            <w:tcBorders>
              <w:top w:val="nil"/>
              <w:left w:val="nil"/>
              <w:bottom w:val="nil"/>
              <w:right w:val="nil"/>
            </w:tcBorders>
            <w:tcMar>
              <w:top w:w="0" w:type="dxa"/>
              <w:left w:w="62" w:type="dxa"/>
              <w:bottom w:w="0" w:type="dxa"/>
              <w:right w:w="62" w:type="dxa"/>
            </w:tcMar>
          </w:tcPr>
          <w:p w:rsidR="00000000" w:rsidP="00392907">
            <w:pPr>
              <w:pStyle w:val="BodyText"/>
              <w:rPr>
                <w:lang w:val="en-NZ"/>
              </w:rPr>
            </w:pPr>
            <w:r w:rsidRPr="00392907">
              <w:t>Disassembled components are tagged, as required, to facilitate correct reassembly</w:t>
            </w:r>
          </w:p>
        </w:tc>
      </w:tr>
      <w:tr w:rsidTr="00392907">
        <w:tblPrEx>
          <w:tblW w:w="0" w:type="auto"/>
          <w:tblLayout w:type="fixed"/>
          <w:tblCellMar>
            <w:left w:w="62" w:type="dxa"/>
            <w:right w:w="62" w:type="dxa"/>
          </w:tblCellMar>
          <w:tblLook w:val="0000"/>
        </w:tblPrEx>
        <w:tc>
          <w:tcPr>
            <w:tcW w:w="714" w:type="dxa"/>
            <w:tcBorders>
              <w:top w:val="nil"/>
              <w:left w:val="nil"/>
              <w:bottom w:val="nil"/>
              <w:right w:val="nil"/>
            </w:tcBorders>
            <w:tcMar>
              <w:top w:w="0" w:type="dxa"/>
              <w:left w:w="62" w:type="dxa"/>
              <w:bottom w:w="0" w:type="dxa"/>
              <w:right w:w="62" w:type="dxa"/>
            </w:tcMar>
          </w:tcPr>
          <w:p w:rsidR="00000000" w:rsidP="00392907">
            <w:pPr>
              <w:pStyle w:val="BodyText"/>
              <w:rPr>
                <w:lang w:val="en-NZ"/>
              </w:rPr>
            </w:pPr>
            <w:r w:rsidRPr="00392907">
              <w:t>4.</w:t>
            </w:r>
          </w:p>
        </w:tc>
        <w:tc>
          <w:tcPr>
            <w:tcW w:w="2328" w:type="dxa"/>
            <w:tcBorders>
              <w:top w:val="nil"/>
              <w:left w:val="nil"/>
              <w:bottom w:val="nil"/>
              <w:right w:val="nil"/>
            </w:tcBorders>
            <w:tcMar>
              <w:top w:w="0" w:type="dxa"/>
              <w:left w:w="62" w:type="dxa"/>
              <w:bottom w:w="0" w:type="dxa"/>
              <w:right w:w="62" w:type="dxa"/>
            </w:tcMar>
          </w:tcPr>
          <w:p w:rsidR="00000000" w:rsidP="00392907">
            <w:pPr>
              <w:pStyle w:val="BodyText"/>
              <w:rPr>
                <w:lang w:val="en-NZ"/>
              </w:rPr>
            </w:pPr>
            <w:r w:rsidRPr="00392907">
              <w:t>Prepare components and tooling for assembly</w:t>
            </w:r>
          </w:p>
        </w:tc>
        <w:tc>
          <w:tcPr>
            <w:tcW w:w="951" w:type="dxa"/>
            <w:tcBorders>
              <w:top w:val="nil"/>
              <w:left w:val="nil"/>
              <w:bottom w:val="nil"/>
              <w:right w:val="nil"/>
            </w:tcBorders>
            <w:tcMar>
              <w:top w:w="0" w:type="dxa"/>
              <w:left w:w="62" w:type="dxa"/>
              <w:bottom w:w="0" w:type="dxa"/>
              <w:right w:w="62" w:type="dxa"/>
            </w:tcMar>
          </w:tcPr>
          <w:p w:rsidR="00000000" w:rsidP="00392907">
            <w:pPr>
              <w:pStyle w:val="BodyText"/>
              <w:rPr>
                <w:lang w:val="en-NZ"/>
              </w:rPr>
            </w:pPr>
            <w:r w:rsidRPr="00392907">
              <w:t>4.1</w:t>
            </w:r>
          </w:p>
        </w:tc>
        <w:tc>
          <w:tcPr>
            <w:tcW w:w="5108" w:type="dxa"/>
            <w:tcBorders>
              <w:top w:val="nil"/>
              <w:left w:val="nil"/>
              <w:bottom w:val="nil"/>
              <w:right w:val="nil"/>
            </w:tcBorders>
            <w:tcMar>
              <w:top w:w="0" w:type="dxa"/>
              <w:left w:w="62" w:type="dxa"/>
              <w:bottom w:w="0" w:type="dxa"/>
              <w:right w:w="62" w:type="dxa"/>
            </w:tcMar>
          </w:tcPr>
          <w:p w:rsidR="00000000" w:rsidP="00392907">
            <w:pPr>
              <w:pStyle w:val="BodyText"/>
              <w:rPr>
                <w:lang w:val="en-NZ"/>
              </w:rPr>
            </w:pPr>
            <w:r w:rsidRPr="00392907">
              <w:t>Jigs and fixtures are set up to ensure accuracy of component assembly</w:t>
            </w:r>
          </w:p>
        </w:tc>
      </w:tr>
      <w:tr w:rsidTr="00392907">
        <w:tblPrEx>
          <w:tblW w:w="0" w:type="auto"/>
          <w:tblLayout w:type="fixed"/>
          <w:tblCellMar>
            <w:left w:w="62" w:type="dxa"/>
            <w:right w:w="62" w:type="dxa"/>
          </w:tblCellMar>
          <w:tblLook w:val="0000"/>
        </w:tblPrEx>
        <w:tc>
          <w:tcPr>
            <w:tcW w:w="71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2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951" w:type="dxa"/>
            <w:tcBorders>
              <w:top w:val="nil"/>
              <w:left w:val="nil"/>
              <w:bottom w:val="nil"/>
              <w:right w:val="nil"/>
            </w:tcBorders>
            <w:tcMar>
              <w:top w:w="0" w:type="dxa"/>
              <w:left w:w="62" w:type="dxa"/>
              <w:bottom w:w="0" w:type="dxa"/>
              <w:right w:w="62" w:type="dxa"/>
            </w:tcMar>
          </w:tcPr>
          <w:p w:rsidR="00000000" w:rsidP="00392907">
            <w:pPr>
              <w:pStyle w:val="BodyText"/>
              <w:rPr>
                <w:lang w:val="en-NZ"/>
              </w:rPr>
            </w:pPr>
            <w:r w:rsidRPr="00392907">
              <w:t>4.2</w:t>
            </w:r>
          </w:p>
        </w:tc>
        <w:tc>
          <w:tcPr>
            <w:tcW w:w="5108" w:type="dxa"/>
            <w:tcBorders>
              <w:top w:val="nil"/>
              <w:left w:val="nil"/>
              <w:bottom w:val="nil"/>
              <w:right w:val="nil"/>
            </w:tcBorders>
            <w:tcMar>
              <w:top w:w="0" w:type="dxa"/>
              <w:left w:w="62" w:type="dxa"/>
              <w:bottom w:w="0" w:type="dxa"/>
              <w:right w:w="62" w:type="dxa"/>
            </w:tcMar>
          </w:tcPr>
          <w:p w:rsidR="00000000" w:rsidP="00392907">
            <w:pPr>
              <w:pStyle w:val="BodyText"/>
              <w:rPr>
                <w:lang w:val="en-NZ"/>
              </w:rPr>
            </w:pPr>
            <w:r w:rsidRPr="00392907">
              <w:t>Replacement component alignment is checked fo</w:t>
            </w:r>
            <w:r w:rsidRPr="00392907">
              <w:t>r conformance to specifications prior to fastener hole generation</w:t>
            </w:r>
          </w:p>
        </w:tc>
      </w:tr>
      <w:tr w:rsidTr="00392907">
        <w:tblPrEx>
          <w:tblW w:w="0" w:type="auto"/>
          <w:tblLayout w:type="fixed"/>
          <w:tblCellMar>
            <w:left w:w="62" w:type="dxa"/>
            <w:right w:w="62" w:type="dxa"/>
          </w:tblCellMar>
          <w:tblLook w:val="0000"/>
        </w:tblPrEx>
        <w:tc>
          <w:tcPr>
            <w:tcW w:w="71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2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951" w:type="dxa"/>
            <w:tcBorders>
              <w:top w:val="nil"/>
              <w:left w:val="nil"/>
              <w:bottom w:val="nil"/>
              <w:right w:val="nil"/>
            </w:tcBorders>
            <w:tcMar>
              <w:top w:w="0" w:type="dxa"/>
              <w:left w:w="62" w:type="dxa"/>
              <w:bottom w:w="0" w:type="dxa"/>
              <w:right w:w="62" w:type="dxa"/>
            </w:tcMar>
          </w:tcPr>
          <w:p w:rsidR="00000000" w:rsidP="00392907">
            <w:pPr>
              <w:pStyle w:val="BodyText"/>
              <w:rPr>
                <w:lang w:val="en-NZ"/>
              </w:rPr>
            </w:pPr>
            <w:r w:rsidRPr="00392907">
              <w:t>4.3</w:t>
            </w:r>
          </w:p>
        </w:tc>
        <w:tc>
          <w:tcPr>
            <w:tcW w:w="5108" w:type="dxa"/>
            <w:tcBorders>
              <w:top w:val="nil"/>
              <w:left w:val="nil"/>
              <w:bottom w:val="nil"/>
              <w:right w:val="nil"/>
            </w:tcBorders>
            <w:tcMar>
              <w:top w:w="0" w:type="dxa"/>
              <w:left w:w="62" w:type="dxa"/>
              <w:bottom w:w="0" w:type="dxa"/>
              <w:right w:w="62" w:type="dxa"/>
            </w:tcMar>
          </w:tcPr>
          <w:p w:rsidR="00000000" w:rsidP="00392907">
            <w:pPr>
              <w:pStyle w:val="BodyText"/>
              <w:rPr>
                <w:lang w:val="en-NZ"/>
              </w:rPr>
            </w:pPr>
            <w:r w:rsidRPr="00392907">
              <w:t>Hole location/relocation is carried out in accordance with specification procedures and standard practices</w:t>
            </w:r>
          </w:p>
        </w:tc>
      </w:tr>
      <w:tr w:rsidTr="00392907">
        <w:tblPrEx>
          <w:tblW w:w="0" w:type="auto"/>
          <w:tblLayout w:type="fixed"/>
          <w:tblCellMar>
            <w:left w:w="62" w:type="dxa"/>
            <w:right w:w="62" w:type="dxa"/>
          </w:tblCellMar>
          <w:tblLook w:val="0000"/>
        </w:tblPrEx>
        <w:tc>
          <w:tcPr>
            <w:tcW w:w="71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2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951" w:type="dxa"/>
            <w:tcBorders>
              <w:top w:val="nil"/>
              <w:left w:val="nil"/>
              <w:bottom w:val="nil"/>
              <w:right w:val="nil"/>
            </w:tcBorders>
            <w:tcMar>
              <w:top w:w="0" w:type="dxa"/>
              <w:left w:w="62" w:type="dxa"/>
              <w:bottom w:w="0" w:type="dxa"/>
              <w:right w:w="62" w:type="dxa"/>
            </w:tcMar>
          </w:tcPr>
          <w:p w:rsidR="00000000" w:rsidP="00392907">
            <w:pPr>
              <w:pStyle w:val="BodyText"/>
              <w:rPr>
                <w:lang w:val="en-NZ"/>
              </w:rPr>
            </w:pPr>
            <w:r w:rsidRPr="00392907">
              <w:t>4.4</w:t>
            </w:r>
          </w:p>
        </w:tc>
        <w:tc>
          <w:tcPr>
            <w:tcW w:w="5108" w:type="dxa"/>
            <w:tcBorders>
              <w:top w:val="nil"/>
              <w:left w:val="nil"/>
              <w:bottom w:val="nil"/>
              <w:right w:val="nil"/>
            </w:tcBorders>
            <w:tcMar>
              <w:top w:w="0" w:type="dxa"/>
              <w:left w:w="62" w:type="dxa"/>
              <w:bottom w:w="0" w:type="dxa"/>
              <w:right w:w="62" w:type="dxa"/>
            </w:tcMar>
          </w:tcPr>
          <w:p w:rsidR="00000000" w:rsidP="00392907">
            <w:pPr>
              <w:pStyle w:val="BodyText"/>
              <w:rPr>
                <w:lang w:val="en-NZ"/>
              </w:rPr>
            </w:pPr>
            <w:r w:rsidRPr="00392907">
              <w:t>Standard practices in hole genera</w:t>
            </w:r>
            <w:r w:rsidRPr="00392907">
              <w:t>tion sequencing are followed to ensure that assembly stress defects are not built in</w:t>
            </w:r>
          </w:p>
        </w:tc>
      </w:tr>
      <w:tr w:rsidTr="00392907">
        <w:tblPrEx>
          <w:tblW w:w="0" w:type="auto"/>
          <w:tblLayout w:type="fixed"/>
          <w:tblCellMar>
            <w:left w:w="62" w:type="dxa"/>
            <w:right w:w="62" w:type="dxa"/>
          </w:tblCellMar>
          <w:tblLook w:val="0000"/>
        </w:tblPrEx>
        <w:tc>
          <w:tcPr>
            <w:tcW w:w="71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2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951" w:type="dxa"/>
            <w:tcBorders>
              <w:top w:val="nil"/>
              <w:left w:val="nil"/>
              <w:bottom w:val="nil"/>
              <w:right w:val="nil"/>
            </w:tcBorders>
            <w:tcMar>
              <w:top w:w="0" w:type="dxa"/>
              <w:left w:w="62" w:type="dxa"/>
              <w:bottom w:w="0" w:type="dxa"/>
              <w:right w:w="62" w:type="dxa"/>
            </w:tcMar>
          </w:tcPr>
          <w:p w:rsidR="00000000" w:rsidP="00392907">
            <w:pPr>
              <w:pStyle w:val="BodyText"/>
              <w:rPr>
                <w:lang w:val="en-NZ"/>
              </w:rPr>
            </w:pPr>
            <w:r w:rsidRPr="00392907">
              <w:t>4.5</w:t>
            </w:r>
          </w:p>
        </w:tc>
        <w:tc>
          <w:tcPr>
            <w:tcW w:w="5108" w:type="dxa"/>
            <w:tcBorders>
              <w:top w:val="nil"/>
              <w:left w:val="nil"/>
              <w:bottom w:val="nil"/>
              <w:right w:val="nil"/>
            </w:tcBorders>
            <w:tcMar>
              <w:top w:w="0" w:type="dxa"/>
              <w:left w:w="62" w:type="dxa"/>
              <w:bottom w:w="0" w:type="dxa"/>
              <w:right w:w="62" w:type="dxa"/>
            </w:tcMar>
          </w:tcPr>
          <w:p w:rsidR="00000000" w:rsidP="00392907">
            <w:pPr>
              <w:pStyle w:val="BodyText"/>
              <w:rPr>
                <w:lang w:val="en-NZ"/>
              </w:rPr>
            </w:pPr>
            <w:r w:rsidRPr="00392907">
              <w:t>Components are disassembled, cleaned, deburred and surface treatments applied prior to final assembly while observing all relevant WHS requirements, including the u</w:t>
            </w:r>
            <w:r w:rsidRPr="00392907">
              <w:t>se of MSDS and items of PPE</w:t>
            </w:r>
          </w:p>
        </w:tc>
      </w:tr>
      <w:tr w:rsidTr="00392907">
        <w:tblPrEx>
          <w:tblW w:w="0" w:type="auto"/>
          <w:tblLayout w:type="fixed"/>
          <w:tblCellMar>
            <w:left w:w="62" w:type="dxa"/>
            <w:right w:w="62" w:type="dxa"/>
          </w:tblCellMar>
          <w:tblLook w:val="0000"/>
        </w:tblPrEx>
        <w:trPr>
          <w:trHeight w:val="1506"/>
        </w:trPr>
        <w:tc>
          <w:tcPr>
            <w:tcW w:w="714" w:type="dxa"/>
            <w:tcBorders>
              <w:top w:val="nil"/>
              <w:left w:val="nil"/>
              <w:bottom w:val="nil"/>
              <w:right w:val="nil"/>
            </w:tcBorders>
            <w:tcMar>
              <w:top w:w="0" w:type="dxa"/>
              <w:left w:w="62" w:type="dxa"/>
              <w:bottom w:w="0" w:type="dxa"/>
              <w:right w:w="62" w:type="dxa"/>
            </w:tcMar>
          </w:tcPr>
          <w:p w:rsidR="00000000" w:rsidP="00392907">
            <w:pPr>
              <w:pStyle w:val="BodyText"/>
              <w:rPr>
                <w:lang w:val="en-NZ"/>
              </w:rPr>
            </w:pPr>
            <w:r w:rsidRPr="00392907">
              <w:t>5.</w:t>
            </w:r>
          </w:p>
        </w:tc>
        <w:tc>
          <w:tcPr>
            <w:tcW w:w="2328" w:type="dxa"/>
            <w:tcBorders>
              <w:top w:val="nil"/>
              <w:left w:val="nil"/>
              <w:bottom w:val="nil"/>
              <w:right w:val="nil"/>
            </w:tcBorders>
            <w:tcMar>
              <w:top w:w="0" w:type="dxa"/>
              <w:left w:w="62" w:type="dxa"/>
              <w:bottom w:w="0" w:type="dxa"/>
              <w:right w:w="62" w:type="dxa"/>
            </w:tcMar>
          </w:tcPr>
          <w:p w:rsidR="00000000" w:rsidP="00392907">
            <w:pPr>
              <w:pStyle w:val="BodyText"/>
              <w:rPr>
                <w:lang w:val="en-NZ"/>
              </w:rPr>
            </w:pPr>
            <w:r w:rsidRPr="00392907">
              <w:t>Assemble aircraft structure or sub-assembly</w:t>
            </w:r>
          </w:p>
        </w:tc>
        <w:tc>
          <w:tcPr>
            <w:tcW w:w="951" w:type="dxa"/>
            <w:tcBorders>
              <w:top w:val="nil"/>
              <w:left w:val="nil"/>
              <w:bottom w:val="nil"/>
              <w:right w:val="nil"/>
            </w:tcBorders>
            <w:tcMar>
              <w:top w:w="0" w:type="dxa"/>
              <w:left w:w="62" w:type="dxa"/>
              <w:bottom w:w="0" w:type="dxa"/>
              <w:right w:w="62" w:type="dxa"/>
            </w:tcMar>
          </w:tcPr>
          <w:p w:rsidR="00000000" w:rsidP="00392907">
            <w:pPr>
              <w:pStyle w:val="BodyText"/>
              <w:rPr>
                <w:lang w:val="en-NZ"/>
              </w:rPr>
            </w:pPr>
            <w:r w:rsidRPr="00392907">
              <w:t>5.1</w:t>
            </w:r>
          </w:p>
        </w:tc>
        <w:tc>
          <w:tcPr>
            <w:tcW w:w="5108" w:type="dxa"/>
            <w:tcBorders>
              <w:top w:val="nil"/>
              <w:left w:val="nil"/>
              <w:bottom w:val="nil"/>
              <w:right w:val="nil"/>
            </w:tcBorders>
            <w:tcMar>
              <w:top w:w="0" w:type="dxa"/>
              <w:left w:w="62" w:type="dxa"/>
              <w:bottom w:w="0" w:type="dxa"/>
              <w:right w:w="62" w:type="dxa"/>
            </w:tcMar>
          </w:tcPr>
          <w:p w:rsidR="00000000" w:rsidP="00392907">
            <w:pPr>
              <w:pStyle w:val="BodyText"/>
              <w:rPr>
                <w:lang w:val="en-NZ"/>
              </w:rPr>
            </w:pPr>
            <w:r w:rsidRPr="00392907">
              <w:t>Sealants and/or adhesives are selected and applied in accordance with assembly specifications or applicable documentation while observing all relevant WHS requirements, includi</w:t>
            </w:r>
            <w:r w:rsidRPr="00392907">
              <w:t>ng the use of MSDS and items of PPE</w:t>
            </w:r>
          </w:p>
        </w:tc>
      </w:tr>
      <w:tr w:rsidTr="00392907">
        <w:tblPrEx>
          <w:tblW w:w="0" w:type="auto"/>
          <w:tblLayout w:type="fixed"/>
          <w:tblCellMar>
            <w:left w:w="62" w:type="dxa"/>
            <w:right w:w="62" w:type="dxa"/>
          </w:tblCellMar>
          <w:tblLook w:val="0000"/>
        </w:tblPrEx>
        <w:tc>
          <w:tcPr>
            <w:tcW w:w="71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2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951" w:type="dxa"/>
            <w:tcBorders>
              <w:top w:val="nil"/>
              <w:left w:val="nil"/>
              <w:bottom w:val="nil"/>
              <w:right w:val="nil"/>
            </w:tcBorders>
            <w:tcMar>
              <w:top w:w="0" w:type="dxa"/>
              <w:left w:w="62" w:type="dxa"/>
              <w:bottom w:w="0" w:type="dxa"/>
              <w:right w:w="62" w:type="dxa"/>
            </w:tcMar>
          </w:tcPr>
          <w:p w:rsidR="00000000" w:rsidP="00392907">
            <w:pPr>
              <w:pStyle w:val="BodyText"/>
              <w:rPr>
                <w:lang w:val="en-NZ"/>
              </w:rPr>
            </w:pPr>
            <w:r w:rsidRPr="00392907">
              <w:t>5.2</w:t>
            </w:r>
          </w:p>
        </w:tc>
        <w:tc>
          <w:tcPr>
            <w:tcW w:w="5108" w:type="dxa"/>
            <w:tcBorders>
              <w:top w:val="nil"/>
              <w:left w:val="nil"/>
              <w:bottom w:val="nil"/>
              <w:right w:val="nil"/>
            </w:tcBorders>
            <w:tcMar>
              <w:top w:w="0" w:type="dxa"/>
              <w:left w:w="62" w:type="dxa"/>
              <w:bottom w:w="0" w:type="dxa"/>
              <w:right w:w="62" w:type="dxa"/>
            </w:tcMar>
          </w:tcPr>
          <w:p w:rsidR="00000000" w:rsidP="00392907">
            <w:pPr>
              <w:pStyle w:val="BodyText"/>
              <w:rPr>
                <w:lang w:val="en-NZ"/>
              </w:rPr>
            </w:pPr>
            <w:r w:rsidRPr="00392907">
              <w:t>Components are positioned and secured with appropriate temporary fastening devices for accurate assembly</w:t>
            </w:r>
          </w:p>
        </w:tc>
      </w:tr>
      <w:tr w:rsidTr="00392907">
        <w:tblPrEx>
          <w:tblW w:w="0" w:type="auto"/>
          <w:tblLayout w:type="fixed"/>
          <w:tblCellMar>
            <w:left w:w="62" w:type="dxa"/>
            <w:right w:w="62" w:type="dxa"/>
          </w:tblCellMar>
          <w:tblLook w:val="0000"/>
        </w:tblPrEx>
        <w:tc>
          <w:tcPr>
            <w:tcW w:w="71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2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951" w:type="dxa"/>
            <w:tcBorders>
              <w:top w:val="nil"/>
              <w:left w:val="nil"/>
              <w:bottom w:val="nil"/>
              <w:right w:val="nil"/>
            </w:tcBorders>
            <w:tcMar>
              <w:top w:w="0" w:type="dxa"/>
              <w:left w:w="62" w:type="dxa"/>
              <w:bottom w:w="0" w:type="dxa"/>
              <w:right w:w="62" w:type="dxa"/>
            </w:tcMar>
          </w:tcPr>
          <w:p w:rsidR="00000000" w:rsidP="00392907">
            <w:pPr>
              <w:pStyle w:val="BodyText"/>
              <w:rPr>
                <w:lang w:val="en-NZ"/>
              </w:rPr>
            </w:pPr>
            <w:r w:rsidRPr="00392907">
              <w:t>5.3</w:t>
            </w:r>
          </w:p>
        </w:tc>
        <w:tc>
          <w:tcPr>
            <w:tcW w:w="5108" w:type="dxa"/>
            <w:tcBorders>
              <w:top w:val="nil"/>
              <w:left w:val="nil"/>
              <w:bottom w:val="nil"/>
              <w:right w:val="nil"/>
            </w:tcBorders>
            <w:tcMar>
              <w:top w:w="0" w:type="dxa"/>
              <w:left w:w="62" w:type="dxa"/>
              <w:bottom w:w="0" w:type="dxa"/>
              <w:right w:w="62" w:type="dxa"/>
            </w:tcMar>
          </w:tcPr>
          <w:p w:rsidR="00000000" w:rsidP="00392907">
            <w:pPr>
              <w:pStyle w:val="BodyText"/>
              <w:rPr>
                <w:lang w:val="en-NZ"/>
              </w:rPr>
            </w:pPr>
            <w:r w:rsidRPr="00392907">
              <w:t>Fasteners are selected and installed in accordance with assembly specifications or applicable manuals</w:t>
            </w:r>
          </w:p>
        </w:tc>
      </w:tr>
      <w:tr w:rsidTr="00392907">
        <w:tblPrEx>
          <w:tblW w:w="0" w:type="auto"/>
          <w:tblLayout w:type="fixed"/>
          <w:tblCellMar>
            <w:left w:w="62" w:type="dxa"/>
            <w:right w:w="62" w:type="dxa"/>
          </w:tblCellMar>
          <w:tblLook w:val="0000"/>
        </w:tblPrEx>
        <w:tc>
          <w:tcPr>
            <w:tcW w:w="714" w:type="dxa"/>
            <w:tcBorders>
              <w:top w:val="nil"/>
              <w:left w:val="nil"/>
              <w:bottom w:val="nil"/>
              <w:right w:val="nil"/>
            </w:tcBorders>
            <w:tcMar>
              <w:top w:w="0" w:type="dxa"/>
              <w:left w:w="62" w:type="dxa"/>
              <w:bottom w:w="0" w:type="dxa"/>
              <w:right w:w="62" w:type="dxa"/>
            </w:tcMar>
          </w:tcPr>
          <w:p w:rsidR="00000000" w:rsidP="00392907">
            <w:pPr>
              <w:pStyle w:val="BodyText"/>
              <w:rPr>
                <w:lang w:val="en-NZ"/>
              </w:rPr>
            </w:pPr>
            <w:r w:rsidRPr="00392907">
              <w:t>6.</w:t>
            </w:r>
          </w:p>
        </w:tc>
        <w:tc>
          <w:tcPr>
            <w:tcW w:w="2328" w:type="dxa"/>
            <w:tcBorders>
              <w:top w:val="nil"/>
              <w:left w:val="nil"/>
              <w:bottom w:val="nil"/>
              <w:right w:val="nil"/>
            </w:tcBorders>
            <w:tcMar>
              <w:top w:w="0" w:type="dxa"/>
              <w:left w:w="62" w:type="dxa"/>
              <w:bottom w:w="0" w:type="dxa"/>
              <w:right w:w="62" w:type="dxa"/>
            </w:tcMar>
          </w:tcPr>
          <w:p w:rsidR="00000000" w:rsidP="00392907">
            <w:pPr>
              <w:pStyle w:val="BodyText"/>
              <w:rPr>
                <w:lang w:val="en-NZ"/>
              </w:rPr>
            </w:pPr>
            <w:r w:rsidRPr="00392907">
              <w:t>Inspect completed assemblies</w:t>
            </w:r>
          </w:p>
        </w:tc>
        <w:tc>
          <w:tcPr>
            <w:tcW w:w="951" w:type="dxa"/>
            <w:tcBorders>
              <w:top w:val="nil"/>
              <w:left w:val="nil"/>
              <w:bottom w:val="nil"/>
              <w:right w:val="nil"/>
            </w:tcBorders>
            <w:tcMar>
              <w:top w:w="0" w:type="dxa"/>
              <w:left w:w="62" w:type="dxa"/>
              <w:bottom w:w="0" w:type="dxa"/>
              <w:right w:w="62" w:type="dxa"/>
            </w:tcMar>
          </w:tcPr>
          <w:p w:rsidR="00000000" w:rsidP="00392907">
            <w:pPr>
              <w:pStyle w:val="BodyText"/>
              <w:rPr>
                <w:lang w:val="en-NZ"/>
              </w:rPr>
            </w:pPr>
            <w:r w:rsidRPr="00392907">
              <w:t>6.1</w:t>
            </w:r>
          </w:p>
        </w:tc>
        <w:tc>
          <w:tcPr>
            <w:tcW w:w="5108" w:type="dxa"/>
            <w:tcBorders>
              <w:top w:val="nil"/>
              <w:left w:val="nil"/>
              <w:bottom w:val="nil"/>
              <w:right w:val="nil"/>
            </w:tcBorders>
            <w:tcMar>
              <w:top w:w="0" w:type="dxa"/>
              <w:left w:w="62" w:type="dxa"/>
              <w:bottom w:w="0" w:type="dxa"/>
              <w:right w:w="62" w:type="dxa"/>
            </w:tcMar>
          </w:tcPr>
          <w:p w:rsidR="00000000" w:rsidP="00392907">
            <w:pPr>
              <w:pStyle w:val="BodyText"/>
              <w:rPr>
                <w:lang w:val="en-NZ"/>
              </w:rPr>
            </w:pPr>
            <w:r w:rsidRPr="00392907">
              <w:t>Assembled components are inspected to confirm dimensional accuracy and specifications are met</w:t>
            </w:r>
          </w:p>
        </w:tc>
      </w:tr>
      <w:tr w:rsidTr="00392907">
        <w:tblPrEx>
          <w:tblW w:w="0" w:type="auto"/>
          <w:tblLayout w:type="fixed"/>
          <w:tblCellMar>
            <w:left w:w="62" w:type="dxa"/>
            <w:right w:w="62" w:type="dxa"/>
          </w:tblCellMar>
          <w:tblLook w:val="0000"/>
        </w:tblPrEx>
        <w:tc>
          <w:tcPr>
            <w:tcW w:w="71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2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951" w:type="dxa"/>
            <w:tcBorders>
              <w:top w:val="nil"/>
              <w:left w:val="nil"/>
              <w:bottom w:val="nil"/>
              <w:right w:val="nil"/>
            </w:tcBorders>
            <w:tcMar>
              <w:top w:w="0" w:type="dxa"/>
              <w:left w:w="62" w:type="dxa"/>
              <w:bottom w:w="0" w:type="dxa"/>
              <w:right w:w="62" w:type="dxa"/>
            </w:tcMar>
          </w:tcPr>
          <w:p w:rsidR="00000000" w:rsidP="00392907">
            <w:pPr>
              <w:pStyle w:val="BodyText"/>
              <w:rPr>
                <w:lang w:val="en-NZ"/>
              </w:rPr>
            </w:pPr>
            <w:r w:rsidRPr="00392907">
              <w:t>6.2</w:t>
            </w:r>
          </w:p>
        </w:tc>
        <w:tc>
          <w:tcPr>
            <w:tcW w:w="5108" w:type="dxa"/>
            <w:tcBorders>
              <w:top w:val="nil"/>
              <w:left w:val="nil"/>
              <w:bottom w:val="nil"/>
              <w:right w:val="nil"/>
            </w:tcBorders>
            <w:tcMar>
              <w:top w:w="0" w:type="dxa"/>
              <w:left w:w="62" w:type="dxa"/>
              <w:bottom w:w="0" w:type="dxa"/>
              <w:right w:w="62" w:type="dxa"/>
            </w:tcMar>
          </w:tcPr>
          <w:p w:rsidR="00000000" w:rsidP="00392907">
            <w:pPr>
              <w:pStyle w:val="BodyText"/>
              <w:rPr>
                <w:lang w:val="en-NZ"/>
              </w:rPr>
            </w:pPr>
            <w:r w:rsidRPr="00392907">
              <w:t>Checking or testing equipment is used, where appropriate, to ensure requirements are met</w:t>
            </w:r>
          </w:p>
        </w:tc>
      </w:tr>
      <w:tr w:rsidTr="00392907">
        <w:tblPrEx>
          <w:tblW w:w="0" w:type="auto"/>
          <w:tblLayout w:type="fixed"/>
          <w:tblCellMar>
            <w:left w:w="62" w:type="dxa"/>
            <w:right w:w="62" w:type="dxa"/>
          </w:tblCellMar>
          <w:tblLook w:val="0000"/>
        </w:tblPrEx>
        <w:tc>
          <w:tcPr>
            <w:tcW w:w="71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2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951" w:type="dxa"/>
            <w:tcBorders>
              <w:top w:val="nil"/>
              <w:left w:val="nil"/>
              <w:bottom w:val="nil"/>
              <w:right w:val="nil"/>
            </w:tcBorders>
            <w:tcMar>
              <w:top w:w="0" w:type="dxa"/>
              <w:left w:w="62" w:type="dxa"/>
              <w:bottom w:w="0" w:type="dxa"/>
              <w:right w:w="62" w:type="dxa"/>
            </w:tcMar>
          </w:tcPr>
          <w:p w:rsidR="00000000" w:rsidP="00392907">
            <w:pPr>
              <w:pStyle w:val="BodyText"/>
              <w:rPr>
                <w:lang w:val="en-NZ"/>
              </w:rPr>
            </w:pPr>
            <w:r w:rsidRPr="00392907">
              <w:t>6.3</w:t>
            </w:r>
          </w:p>
        </w:tc>
        <w:tc>
          <w:tcPr>
            <w:tcW w:w="5108" w:type="dxa"/>
            <w:tcBorders>
              <w:top w:val="nil"/>
              <w:left w:val="nil"/>
              <w:bottom w:val="nil"/>
              <w:right w:val="nil"/>
            </w:tcBorders>
            <w:tcMar>
              <w:top w:w="0" w:type="dxa"/>
              <w:left w:w="62" w:type="dxa"/>
              <w:bottom w:w="0" w:type="dxa"/>
              <w:right w:w="62" w:type="dxa"/>
            </w:tcMar>
          </w:tcPr>
          <w:p w:rsidR="00000000" w:rsidP="00392907">
            <w:pPr>
              <w:pStyle w:val="BodyText"/>
              <w:rPr>
                <w:lang w:val="en-NZ"/>
              </w:rPr>
            </w:pPr>
            <w:r w:rsidRPr="00392907">
              <w:t xml:space="preserve">Aircraft mensuration </w:t>
            </w:r>
            <w:r w:rsidRPr="00392907">
              <w:t>is checked for compliance with applicable maintenance manuals, where necessary</w:t>
            </w:r>
          </w:p>
        </w:tc>
      </w:tr>
      <w:tr w:rsidTr="00392907">
        <w:tblPrEx>
          <w:tblW w:w="0" w:type="auto"/>
          <w:tblLayout w:type="fixed"/>
          <w:tblCellMar>
            <w:left w:w="62" w:type="dxa"/>
            <w:right w:w="62" w:type="dxa"/>
          </w:tblCellMar>
          <w:tblLook w:val="0000"/>
        </w:tblPrEx>
        <w:tc>
          <w:tcPr>
            <w:tcW w:w="71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2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951" w:type="dxa"/>
            <w:tcBorders>
              <w:top w:val="nil"/>
              <w:left w:val="nil"/>
              <w:bottom w:val="nil"/>
              <w:right w:val="nil"/>
            </w:tcBorders>
            <w:tcMar>
              <w:top w:w="0" w:type="dxa"/>
              <w:left w:w="62" w:type="dxa"/>
              <w:bottom w:w="0" w:type="dxa"/>
              <w:right w:w="62" w:type="dxa"/>
            </w:tcMar>
          </w:tcPr>
          <w:p w:rsidR="00000000" w:rsidP="00392907">
            <w:pPr>
              <w:pStyle w:val="BodyText"/>
              <w:rPr>
                <w:lang w:val="en-NZ"/>
              </w:rPr>
            </w:pPr>
            <w:r w:rsidRPr="00392907">
              <w:t>6.6</w:t>
            </w:r>
          </w:p>
        </w:tc>
        <w:tc>
          <w:tcPr>
            <w:tcW w:w="5108" w:type="dxa"/>
            <w:tcBorders>
              <w:top w:val="nil"/>
              <w:left w:val="nil"/>
              <w:bottom w:val="nil"/>
              <w:right w:val="nil"/>
            </w:tcBorders>
            <w:tcMar>
              <w:top w:w="0" w:type="dxa"/>
              <w:left w:w="62" w:type="dxa"/>
              <w:bottom w:w="0" w:type="dxa"/>
              <w:right w:w="62" w:type="dxa"/>
            </w:tcMar>
          </w:tcPr>
          <w:p w:rsidR="00000000" w:rsidRPr="00392907" w:rsidP="00392907">
            <w:pPr>
              <w:pStyle w:val="BodyText"/>
            </w:pPr>
            <w:r w:rsidRPr="00392907">
              <w:t>Required documentation is completed and processed in accordance with standard enterprise procedures</w:t>
            </w:r>
          </w:p>
        </w:tc>
      </w:tr>
    </w:tbl>
    <w:p w:rsidR="00000000" w:rsidRPr="00392907" w:rsidP="00392907">
      <w:pPr>
        <w:pStyle w:val="BodyText"/>
      </w:pPr>
    </w:p>
    <w:p w:rsidR="00000000" w:rsidRPr="00392907" w:rsidP="00392907">
      <w:pPr>
        <w:pStyle w:val="AllowPageBreak"/>
      </w:pPr>
    </w:p>
    <w:p w:rsidR="00000000" w:rsidRPr="00392907" w:rsidP="00392907">
      <w:pPr>
        <w:pStyle w:val="Heading1"/>
      </w:pPr>
      <w:bookmarkStart w:id="7" w:name="O_848617"/>
      <w:bookmarkEnd w:id="7"/>
      <w:r w:rsidRPr="00392907">
        <w:t>Foundation Skills</w:t>
      </w:r>
    </w:p>
    <w:p w:rsidR="00000000" w:rsidRPr="00392907" w:rsidP="00876D0B">
      <w:pPr>
        <w:pStyle w:val="BodyText"/>
      </w:pPr>
      <w:r w:rsidRPr="00392907">
        <w:t>Foundation skills essential to performance are explicit in the performance criteria of this unit of competency.</w:t>
      </w:r>
    </w:p>
    <w:p w:rsidR="00000000" w:rsidRPr="00392907" w:rsidP="00392907">
      <w:pPr>
        <w:pStyle w:val="Heading1"/>
      </w:pPr>
      <w:bookmarkStart w:id="8" w:name="O_848616"/>
      <w:bookmarkEnd w:id="8"/>
      <w:r w:rsidRPr="00392907">
        <w:t>Range of Conditions</w:t>
      </w:r>
    </w:p>
    <w:tbl>
      <w:tblPr>
        <w:tblW w:w="0" w:type="auto"/>
        <w:tblLayout w:type="fixed"/>
        <w:tblCellMar>
          <w:left w:w="62" w:type="dxa"/>
          <w:right w:w="62" w:type="dxa"/>
        </w:tblCellMar>
        <w:tblLook w:val="0000"/>
      </w:tblPr>
      <w:tblGrid>
        <w:gridCol w:w="3150"/>
        <w:gridCol w:w="5922"/>
      </w:tblGrid>
      <w:tr w:rsidTr="0039290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92907">
            <w:pPr>
              <w:pStyle w:val="BodyText"/>
              <w:rPr>
                <w:lang w:val="en-NZ"/>
              </w:rPr>
            </w:pPr>
            <w:r w:rsidRPr="00392907">
              <w:t>This field allows for different work environments and conditions that may affect performance. Essential ope</w:t>
            </w:r>
            <w:r w:rsidRPr="00392907">
              <w:t>rating conditions that may be present (depending on the work situation, needs of the candidate, accessibility of the item, and local industry and regional contexts) are included.</w:t>
            </w:r>
          </w:p>
        </w:tc>
      </w:tr>
      <w:tr w:rsidTr="00392907">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392907">
            <w:pPr>
              <w:pStyle w:val="BodyText"/>
              <w:rPr>
                <w:lang w:val="en-NZ"/>
              </w:rPr>
            </w:pPr>
            <w:r w:rsidRPr="00392907">
              <w:rPr>
                <w:rStyle w:val="SpecialBold"/>
              </w:rPr>
              <w:t>Scope of unit applies to:</w:t>
            </w:r>
          </w:p>
        </w:tc>
        <w:tc>
          <w:tcPr>
            <w:tcW w:w="5922" w:type="dxa"/>
            <w:tcBorders>
              <w:top w:val="nil"/>
              <w:left w:val="nil"/>
              <w:bottom w:val="nil"/>
              <w:right w:val="nil"/>
            </w:tcBorders>
            <w:tcMar>
              <w:top w:w="0" w:type="dxa"/>
              <w:left w:w="62" w:type="dxa"/>
              <w:bottom w:w="0" w:type="dxa"/>
              <w:right w:w="62" w:type="dxa"/>
            </w:tcMar>
          </w:tcPr>
          <w:p w:rsidR="00000000" w:rsidRPr="00392907" w:rsidP="00392907">
            <w:pPr>
              <w:pStyle w:val="ListBullet"/>
            </w:pPr>
            <w:r w:rsidRPr="00392907">
              <w:t>Assembly of aircraft sub-assemblies or end items from detailed parts using jigs and fixtures</w:t>
            </w:r>
          </w:p>
          <w:p w:rsidR="00000000" w:rsidRPr="00392907" w:rsidP="00392907">
            <w:pPr>
              <w:pStyle w:val="ListBullet"/>
            </w:pPr>
            <w:r w:rsidRPr="00392907">
              <w:t>Disassembly and reassembly of aircraft structure, such as wings, tailplanes or fuselage sections, using trestling, jigs and fixtures</w:t>
            </w:r>
          </w:p>
          <w:p w:rsidR="00000000" w:rsidP="00392907">
            <w:pPr>
              <w:pStyle w:val="ListBullet"/>
              <w:rPr>
                <w:lang w:val="en-NZ"/>
              </w:rPr>
            </w:pPr>
            <w:r w:rsidRPr="00392907">
              <w:t>Replacement of major structura</w:t>
            </w:r>
            <w:r w:rsidRPr="00392907">
              <w:t>l load carrying members, for example, skins, longerons, spars, frames and bulkheads</w:t>
            </w:r>
          </w:p>
        </w:tc>
      </w:tr>
      <w:tr w:rsidTr="00392907">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392907">
            <w:pPr>
              <w:pStyle w:val="BodyText"/>
              <w:rPr>
                <w:lang w:val="en-NZ"/>
              </w:rPr>
            </w:pPr>
            <w:r w:rsidRPr="00392907">
              <w:rPr>
                <w:rStyle w:val="SpecialBold"/>
              </w:rPr>
              <w:t>Assembly procedures include:</w:t>
            </w:r>
          </w:p>
        </w:tc>
        <w:tc>
          <w:tcPr>
            <w:tcW w:w="5922" w:type="dxa"/>
            <w:tcBorders>
              <w:top w:val="nil"/>
              <w:left w:val="nil"/>
              <w:bottom w:val="nil"/>
              <w:right w:val="nil"/>
            </w:tcBorders>
            <w:tcMar>
              <w:top w:w="0" w:type="dxa"/>
              <w:left w:w="62" w:type="dxa"/>
              <w:bottom w:w="0" w:type="dxa"/>
              <w:right w:w="62" w:type="dxa"/>
            </w:tcMar>
          </w:tcPr>
          <w:p w:rsidR="00000000" w:rsidRPr="00392907" w:rsidP="00392907">
            <w:pPr>
              <w:pStyle w:val="ListBullet"/>
            </w:pPr>
            <w:r w:rsidRPr="00392907">
              <w:t>Drilling, reaming and counter-sinking</w:t>
            </w:r>
          </w:p>
          <w:p w:rsidR="00000000" w:rsidRPr="00392907" w:rsidP="00392907">
            <w:pPr>
              <w:pStyle w:val="ListBullet"/>
            </w:pPr>
            <w:r w:rsidRPr="00392907">
              <w:t>Fitting of fasteners and rivets</w:t>
            </w:r>
          </w:p>
          <w:p w:rsidR="00000000" w:rsidRPr="00392907" w:rsidP="00392907">
            <w:pPr>
              <w:pStyle w:val="ListBullet"/>
            </w:pPr>
            <w:r w:rsidRPr="00392907">
              <w:t>Application of adhesives and sealants</w:t>
            </w:r>
          </w:p>
          <w:p w:rsidR="00000000" w:rsidRPr="00392907" w:rsidP="00392907">
            <w:pPr>
              <w:pStyle w:val="ListBullet"/>
            </w:pPr>
            <w:r w:rsidRPr="00392907">
              <w:t>Fitting of hardware</w:t>
            </w:r>
          </w:p>
          <w:p w:rsidR="00000000" w:rsidP="00392907">
            <w:pPr>
              <w:pStyle w:val="ListBullet"/>
              <w:rPr>
                <w:lang w:val="en-NZ"/>
              </w:rPr>
            </w:pPr>
            <w:r w:rsidRPr="00392907">
              <w:t>Application o</w:t>
            </w:r>
            <w:r w:rsidRPr="00392907">
              <w:t>f corrosion inhibitors and protective coatings</w:t>
            </w:r>
          </w:p>
        </w:tc>
      </w:tr>
      <w:tr w:rsidTr="00392907">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392907">
            <w:pPr>
              <w:pStyle w:val="BodyText"/>
              <w:rPr>
                <w:lang w:val="en-NZ"/>
              </w:rPr>
            </w:pPr>
            <w:r w:rsidRPr="00392907">
              <w:rPr>
                <w:rStyle w:val="SpecialBold"/>
              </w:rPr>
              <w:t>Assembly stress defects include:</w:t>
            </w:r>
          </w:p>
        </w:tc>
        <w:tc>
          <w:tcPr>
            <w:tcW w:w="5922" w:type="dxa"/>
            <w:tcBorders>
              <w:top w:val="nil"/>
              <w:left w:val="nil"/>
              <w:bottom w:val="nil"/>
              <w:right w:val="nil"/>
            </w:tcBorders>
            <w:tcMar>
              <w:top w:w="0" w:type="dxa"/>
              <w:left w:w="62" w:type="dxa"/>
              <w:bottom w:w="0" w:type="dxa"/>
              <w:right w:w="62" w:type="dxa"/>
            </w:tcMar>
          </w:tcPr>
          <w:p w:rsidR="00000000" w:rsidP="00392907">
            <w:pPr>
              <w:pStyle w:val="ListBullet"/>
              <w:rPr>
                <w:lang w:val="en-NZ"/>
              </w:rPr>
            </w:pPr>
            <w:r w:rsidRPr="00392907">
              <w:t>Oil canning, buckling, contour misalignment and stress raisers</w:t>
            </w:r>
          </w:p>
        </w:tc>
      </w:tr>
      <w:tr w:rsidTr="00392907">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392907">
            <w:pPr>
              <w:pStyle w:val="BodyText"/>
              <w:rPr>
                <w:lang w:val="en-NZ"/>
              </w:rPr>
            </w:pPr>
            <w:r w:rsidRPr="00392907">
              <w:rPr>
                <w:rStyle w:val="SpecialBold"/>
              </w:rPr>
              <w:t>Procedures and requirements include:</w:t>
            </w:r>
          </w:p>
        </w:tc>
        <w:tc>
          <w:tcPr>
            <w:tcW w:w="5922" w:type="dxa"/>
            <w:tcBorders>
              <w:top w:val="nil"/>
              <w:left w:val="nil"/>
              <w:bottom w:val="nil"/>
              <w:right w:val="nil"/>
            </w:tcBorders>
            <w:tcMar>
              <w:top w:w="0" w:type="dxa"/>
              <w:left w:w="62" w:type="dxa"/>
              <w:bottom w:w="0" w:type="dxa"/>
              <w:right w:w="62" w:type="dxa"/>
            </w:tcMar>
          </w:tcPr>
          <w:p w:rsidR="00000000" w:rsidRPr="00392907" w:rsidP="00392907">
            <w:pPr>
              <w:pStyle w:val="ListBullet"/>
            </w:pPr>
            <w:r w:rsidRPr="00392907">
              <w:t>Industry standard procedures specified by manufacturers, regulatory auth</w:t>
            </w:r>
            <w:r w:rsidRPr="00392907">
              <w:t>orities or the enterprise</w:t>
            </w:r>
          </w:p>
        </w:tc>
      </w:tr>
    </w:tbl>
    <w:p w:rsidR="00000000" w:rsidRPr="00392907" w:rsidP="00392907">
      <w:pPr>
        <w:pStyle w:val="BodyText"/>
      </w:pPr>
    </w:p>
    <w:p w:rsidR="00000000" w:rsidRPr="00392907" w:rsidP="00392907">
      <w:pPr>
        <w:pStyle w:val="AllowPageBreak"/>
      </w:pPr>
    </w:p>
    <w:p w:rsidR="00000000" w:rsidRPr="00392907" w:rsidP="00392907">
      <w:pPr>
        <w:pStyle w:val="Heading1"/>
      </w:pPr>
      <w:bookmarkStart w:id="9" w:name="O_848615"/>
      <w:bookmarkEnd w:id="9"/>
      <w:r w:rsidRPr="00392907">
        <w:t>Unit Mapping Information</w:t>
      </w:r>
    </w:p>
    <w:p w:rsidR="00000000" w:rsidRPr="00392907" w:rsidP="00876D0B">
      <w:pPr>
        <w:pStyle w:val="BodyText"/>
      </w:pPr>
      <w:r w:rsidRPr="00392907">
        <w:t>Release 2 -Assessment Conditions amended to permit assessment in a simulated workplace. Equivalent.</w:t>
      </w:r>
    </w:p>
    <w:p w:rsidR="00000000" w:rsidRPr="00392907" w:rsidP="00876D0B">
      <w:pPr>
        <w:pStyle w:val="BodyText"/>
      </w:pPr>
      <w:r w:rsidRPr="00392907">
        <w:t>Release 1 – equivalent to MEA423A Aircraft structure major disassembly and reassembly</w:t>
      </w:r>
    </w:p>
    <w:p w:rsidR="00000000" w:rsidRPr="00392907" w:rsidP="00392907">
      <w:pPr>
        <w:pStyle w:val="Heading1"/>
      </w:pPr>
      <w:bookmarkStart w:id="10" w:name="O_848624"/>
      <w:bookmarkEnd w:id="10"/>
      <w:r w:rsidRPr="00392907">
        <w:t>Links</w:t>
      </w:r>
    </w:p>
    <w:p w:rsidR="00000000" w:rsidRPr="00392907" w:rsidP="00876D0B">
      <w:pPr>
        <w:pStyle w:val="BodyText"/>
      </w:pPr>
      <w:r w:rsidRPr="00392907">
        <w:t xml:space="preserve">Companion Volume implementation guides are found in VETNet - </w:t>
      </w:r>
      <w:r>
        <w:fldChar w:fldCharType="begin"/>
      </w:r>
      <w:r>
        <w:instrText xml:space="preserve"> HYPERLINK "https://vetnet.education.gov.au/Pages/TrainingDocs.aspx?q=ce216c9c-04d5-4b3b-9bcf-4e81d0950371" </w:instrText>
      </w:r>
      <w:r>
        <w:fldChar w:fldCharType="separate"/>
      </w:r>
      <w:r w:rsidRPr="008B195C">
        <w:rPr>
          <w:rStyle w:val="Hyperlink"/>
        </w:rPr>
        <w:t>https://vetnet.education.gov.au/Pages/TrainingDocs.aspx?q=ce216c9c-04d5-4b3b-9bcf-4e81d0950371</w:t>
      </w:r>
      <w:r>
        <w:fldChar w:fldCharType="end"/>
      </w:r>
    </w:p>
    <w:p w:rsidR="00000000" w:rsidRPr="00392907" w:rsidP="00392907"/>
    <w:sectPr w:rsidSect="0039290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290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2907" w:rsidRPr="00876D0B" w:rsidP="00876D0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290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D0B" w:rsidP="0039290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76D0B" w:rsidP="00392907">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76D0B" w:rsidP="0039290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290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D0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92907" w:rsidRPr="00876D0B" w:rsidP="00876D0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290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D0B" w:rsidRPr="002D2AF8" w:rsidP="00392907">
    <w:pPr>
      <w:pStyle w:val="Header"/>
      <w:framePr w:wrap="around"/>
    </w:pPr>
    <w:r>
      <w:fldChar w:fldCharType="begin"/>
    </w:r>
    <w:r>
      <w:instrText xml:space="preserve"> TITLE   \* MERGEFORMAT </w:instrText>
    </w:r>
    <w:r>
      <w:fldChar w:fldCharType="separate"/>
    </w:r>
    <w:r>
      <w:t>MEA423 Aircraft structure major disassembly and reassembly</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September 2019</w:t>
    </w:r>
    <w:r>
      <w:fldChar w:fldCharType="end"/>
    </w:r>
  </w:p>
  <w:p w:rsidR="00876D0B" w:rsidP="0039290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A2E64C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8AC814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290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92907"/>
    <w:pPr>
      <w:spacing w:before="360" w:after="60"/>
      <w:outlineLvl w:val="0"/>
    </w:pPr>
    <w:rPr>
      <w:sz w:val="32"/>
    </w:rPr>
  </w:style>
  <w:style w:type="paragraph" w:styleId="Heading2">
    <w:name w:val="heading 2"/>
    <w:basedOn w:val="HeadingBase"/>
    <w:next w:val="BodyText"/>
    <w:link w:val="Heading2Char"/>
    <w:qFormat/>
    <w:rsid w:val="00392907"/>
    <w:pPr>
      <w:keepLines/>
      <w:spacing w:before="240" w:after="120"/>
      <w:outlineLvl w:val="1"/>
    </w:pPr>
    <w:rPr>
      <w:sz w:val="28"/>
      <w:szCs w:val="40"/>
    </w:rPr>
  </w:style>
  <w:style w:type="paragraph" w:styleId="Heading3">
    <w:name w:val="heading 3"/>
    <w:basedOn w:val="HeadingBase"/>
    <w:next w:val="BodyText"/>
    <w:link w:val="Heading3Char"/>
    <w:qFormat/>
    <w:rsid w:val="00392907"/>
    <w:pPr>
      <w:spacing w:before="180" w:after="120"/>
      <w:outlineLvl w:val="2"/>
    </w:pPr>
    <w:rPr>
      <w:spacing w:val="-10"/>
      <w:kern w:val="32"/>
    </w:rPr>
  </w:style>
  <w:style w:type="paragraph" w:styleId="Heading4">
    <w:name w:val="heading 4"/>
    <w:basedOn w:val="HeadingBase"/>
    <w:next w:val="BodyText"/>
    <w:link w:val="Heading4Char"/>
    <w:qFormat/>
    <w:rsid w:val="00392907"/>
    <w:pPr>
      <w:spacing w:before="160" w:after="120"/>
      <w:outlineLvl w:val="3"/>
    </w:pPr>
    <w:rPr>
      <w:sz w:val="22"/>
    </w:rPr>
  </w:style>
  <w:style w:type="paragraph" w:styleId="Heading5">
    <w:name w:val="heading 5"/>
    <w:basedOn w:val="HeadingBase"/>
    <w:next w:val="Normal"/>
    <w:link w:val="Heading5Char"/>
    <w:qFormat/>
    <w:rsid w:val="00392907"/>
    <w:pPr>
      <w:spacing w:before="80"/>
      <w:outlineLvl w:val="4"/>
    </w:pPr>
    <w:rPr>
      <w:color w:val="918585"/>
      <w:sz w:val="20"/>
    </w:rPr>
  </w:style>
  <w:style w:type="paragraph" w:styleId="Heading6">
    <w:name w:val="heading 6"/>
    <w:basedOn w:val="HeadingBase"/>
    <w:next w:val="Normal"/>
    <w:link w:val="Heading6Char"/>
    <w:qFormat/>
    <w:rsid w:val="00392907"/>
    <w:pPr>
      <w:spacing w:before="60"/>
      <w:outlineLvl w:val="5"/>
    </w:pPr>
    <w:rPr>
      <w:color w:val="918585"/>
      <w:sz w:val="20"/>
    </w:rPr>
  </w:style>
  <w:style w:type="paragraph" w:styleId="Heading7">
    <w:name w:val="heading 7"/>
    <w:basedOn w:val="Normal"/>
    <w:next w:val="Normal"/>
    <w:link w:val="Heading7Char"/>
    <w:qFormat/>
    <w:rsid w:val="00392907"/>
    <w:pPr>
      <w:ind w:left="720"/>
      <w:outlineLvl w:val="6"/>
    </w:pPr>
    <w:rPr>
      <w:i/>
    </w:rPr>
  </w:style>
  <w:style w:type="paragraph" w:styleId="Heading8">
    <w:name w:val="heading 8"/>
    <w:basedOn w:val="Normal"/>
    <w:next w:val="Normal"/>
    <w:link w:val="Heading8Char"/>
    <w:qFormat/>
    <w:rsid w:val="00392907"/>
    <w:pPr>
      <w:ind w:left="720"/>
      <w:outlineLvl w:val="7"/>
    </w:pPr>
    <w:rPr>
      <w:i/>
    </w:rPr>
  </w:style>
  <w:style w:type="paragraph" w:styleId="Heading9">
    <w:name w:val="heading 9"/>
    <w:basedOn w:val="Normal"/>
    <w:next w:val="Normal"/>
    <w:link w:val="Heading9Char"/>
    <w:qFormat/>
    <w:rsid w:val="00392907"/>
    <w:pPr>
      <w:ind w:left="720"/>
      <w:outlineLvl w:val="8"/>
    </w:pPr>
    <w:rPr>
      <w:i/>
    </w:rPr>
  </w:style>
  <w:style w:type="character" w:default="1" w:styleId="DefaultParagraphFont">
    <w:name w:val="Default Paragraph Font"/>
    <w:uiPriority w:val="1"/>
    <w:unhideWhenUsed/>
    <w:rsid w:val="0039290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92907"/>
  </w:style>
  <w:style w:type="character" w:customStyle="1" w:styleId="Heading1Char">
    <w:name w:val="Heading 1 Char"/>
    <w:basedOn w:val="DefaultParagraphFont"/>
    <w:link w:val="Heading1"/>
    <w:rsid w:val="00392907"/>
    <w:rPr>
      <w:rFonts w:ascii="Times New Roman" w:eastAsia="Times New Roman" w:hAnsi="Times New Roman" w:cs="Times New Roman"/>
      <w:b/>
      <w:sz w:val="32"/>
      <w:szCs w:val="20"/>
      <w:lang w:eastAsia="en-US"/>
    </w:rPr>
  </w:style>
  <w:style w:type="paragraph" w:styleId="BodyText">
    <w:name w:val="Body Text"/>
    <w:basedOn w:val="Normal"/>
    <w:link w:val="BodyTextChar"/>
    <w:rsid w:val="0039290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92907"/>
    <w:rPr>
      <w:rFonts w:ascii="Times New Roman" w:eastAsia="Times New Roman" w:hAnsi="Times New Roman" w:cs="Times New Roman"/>
      <w:sz w:val="24"/>
      <w:lang w:eastAsia="en-US"/>
    </w:rPr>
  </w:style>
  <w:style w:type="paragraph" w:styleId="ListBullet">
    <w:name w:val="List Bullet"/>
    <w:basedOn w:val="List"/>
    <w:rsid w:val="00392907"/>
    <w:pPr>
      <w:numPr>
        <w:numId w:val="11"/>
      </w:numPr>
      <w:tabs>
        <w:tab w:val="clear" w:pos="340"/>
      </w:tabs>
      <w:spacing w:before="40" w:after="40"/>
    </w:pPr>
  </w:style>
  <w:style w:type="character" w:customStyle="1" w:styleId="SpecialBold">
    <w:name w:val="Special Bold"/>
    <w:basedOn w:val="DefaultParagraphFont"/>
    <w:rsid w:val="00392907"/>
    <w:rPr>
      <w:b/>
      <w:spacing w:val="0"/>
    </w:rPr>
  </w:style>
  <w:style w:type="paragraph" w:customStyle="1" w:styleId="SuperHeading">
    <w:name w:val="SuperHeading"/>
    <w:basedOn w:val="Normal"/>
    <w:rsid w:val="00392907"/>
    <w:pPr>
      <w:spacing w:before="240" w:after="120"/>
      <w:outlineLvl w:val="0"/>
    </w:pPr>
    <w:rPr>
      <w:rFonts w:ascii="Times New Roman" w:hAnsi="Times New Roman"/>
      <w:b/>
      <w:sz w:val="32"/>
    </w:rPr>
  </w:style>
  <w:style w:type="paragraph" w:customStyle="1" w:styleId="AllowPageBreak">
    <w:name w:val="AllowPageBreak"/>
    <w:rsid w:val="0039290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9290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9290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9290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9290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9290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9290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9290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92907"/>
    <w:rPr>
      <w:rFonts w:ascii="Courier New" w:eastAsia="Times New Roman" w:hAnsi="Courier New" w:cs="Times New Roman"/>
      <w:i/>
      <w:szCs w:val="20"/>
      <w:lang w:eastAsia="en-US"/>
    </w:rPr>
  </w:style>
  <w:style w:type="paragraph" w:customStyle="1" w:styleId="HeadingBase">
    <w:name w:val="Heading Base"/>
    <w:rsid w:val="0039290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92907"/>
    <w:pPr>
      <w:tabs>
        <w:tab w:val="right" w:leader="dot" w:pos="9072"/>
      </w:tabs>
      <w:ind w:left="567"/>
    </w:pPr>
    <w:rPr>
      <w:szCs w:val="22"/>
    </w:rPr>
  </w:style>
  <w:style w:type="paragraph" w:customStyle="1" w:styleId="TOCBase">
    <w:name w:val="TOC Base"/>
    <w:rsid w:val="0039290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92907"/>
    <w:pPr>
      <w:tabs>
        <w:tab w:val="right" w:leader="dot" w:pos="9072"/>
      </w:tabs>
      <w:spacing w:before="40" w:after="40"/>
      <w:ind w:left="284"/>
    </w:pPr>
    <w:rPr>
      <w:rFonts w:ascii="Times New Roman" w:hAnsi="Times New Roman"/>
    </w:rPr>
  </w:style>
  <w:style w:type="paragraph" w:styleId="TOC1">
    <w:name w:val="toc 1"/>
    <w:basedOn w:val="TOCBase"/>
    <w:next w:val="Normal"/>
    <w:rsid w:val="0039290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9290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92907"/>
    <w:rPr>
      <w:rFonts w:ascii="Times New Roman" w:eastAsia="Times New Roman" w:hAnsi="Times New Roman" w:cs="Times New Roman"/>
      <w:sz w:val="16"/>
      <w:lang w:eastAsia="en-US"/>
    </w:rPr>
  </w:style>
  <w:style w:type="paragraph" w:styleId="Title">
    <w:name w:val="Title"/>
    <w:basedOn w:val="HeadingBase"/>
    <w:link w:val="TitleChar"/>
    <w:qFormat/>
    <w:rsid w:val="00392907"/>
    <w:pPr>
      <w:spacing w:before="5040"/>
      <w:jc w:val="center"/>
    </w:pPr>
    <w:rPr>
      <w:sz w:val="48"/>
      <w:szCs w:val="72"/>
      <w:lang w:val="en-US"/>
    </w:rPr>
  </w:style>
  <w:style w:type="character" w:customStyle="1" w:styleId="TitleChar">
    <w:name w:val="Title Char"/>
    <w:basedOn w:val="DefaultParagraphFont"/>
    <w:link w:val="Title"/>
    <w:rsid w:val="0039290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92907"/>
    <w:pPr>
      <w:tabs>
        <w:tab w:val="left" w:pos="3600"/>
        <w:tab w:val="left" w:pos="3958"/>
      </w:tabs>
    </w:pPr>
  </w:style>
  <w:style w:type="paragraph" w:styleId="List">
    <w:name w:val="List"/>
    <w:basedOn w:val="BodyText"/>
    <w:next w:val="BodyText"/>
    <w:rsid w:val="00392907"/>
    <w:pPr>
      <w:tabs>
        <w:tab w:val="left" w:pos="340"/>
      </w:tabs>
      <w:spacing w:before="60" w:after="60"/>
      <w:ind w:left="340" w:hanging="340"/>
    </w:pPr>
  </w:style>
  <w:style w:type="paragraph" w:customStyle="1" w:styleId="Note">
    <w:name w:val="Note"/>
    <w:basedOn w:val="BodyText"/>
    <w:rsid w:val="0039290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92907"/>
    <w:pPr>
      <w:framePr w:wrap="auto" w:hAnchor="text" w:y="6049"/>
    </w:pPr>
    <w:rPr>
      <w:color w:val="000000"/>
      <w:sz w:val="40"/>
    </w:rPr>
  </w:style>
  <w:style w:type="paragraph" w:customStyle="1" w:styleId="TOCTitle">
    <w:name w:val="TOCTitle"/>
    <w:basedOn w:val="Heading1"/>
    <w:rsid w:val="00392907"/>
    <w:pPr>
      <w:spacing w:after="240"/>
      <w:jc w:val="center"/>
      <w:outlineLvl w:val="9"/>
    </w:pPr>
    <w:rPr>
      <w:caps/>
    </w:rPr>
  </w:style>
  <w:style w:type="paragraph" w:customStyle="1" w:styleId="Version">
    <w:name w:val="Version"/>
    <w:rsid w:val="0039290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92907"/>
    <w:pPr>
      <w:numPr>
        <w:numId w:val="12"/>
      </w:numPr>
      <w:tabs>
        <w:tab w:val="clear" w:pos="680"/>
      </w:tabs>
    </w:pPr>
  </w:style>
  <w:style w:type="paragraph" w:styleId="Index1">
    <w:name w:val="index 1"/>
    <w:basedOn w:val="Normal"/>
    <w:next w:val="Normal"/>
    <w:semiHidden/>
    <w:rsid w:val="00392907"/>
    <w:pPr>
      <w:keepNext w:val="0"/>
      <w:tabs>
        <w:tab w:val="right" w:pos="4176"/>
      </w:tabs>
      <w:ind w:left="198" w:hanging="198"/>
    </w:pPr>
    <w:rPr>
      <w:rFonts w:ascii="Garamond" w:hAnsi="Garamond"/>
    </w:rPr>
  </w:style>
  <w:style w:type="paragraph" w:styleId="IndexHeading">
    <w:name w:val="index heading"/>
    <w:basedOn w:val="Normal"/>
    <w:next w:val="Index1"/>
    <w:semiHidden/>
    <w:rsid w:val="00392907"/>
    <w:pPr>
      <w:spacing w:before="120" w:after="120"/>
    </w:pPr>
    <w:rPr>
      <w:rFonts w:ascii="Arial" w:hAnsi="Arial"/>
      <w:b/>
      <w:color w:val="918585"/>
      <w:sz w:val="24"/>
    </w:rPr>
  </w:style>
  <w:style w:type="paragraph" w:styleId="Header">
    <w:name w:val="header"/>
    <w:basedOn w:val="Normal"/>
    <w:link w:val="HeaderChar"/>
    <w:rsid w:val="0039290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92907"/>
    <w:rPr>
      <w:rFonts w:ascii="Times New Roman" w:eastAsia="Times New Roman" w:hAnsi="Times New Roman" w:cs="Times New Roman"/>
      <w:sz w:val="16"/>
      <w:szCs w:val="20"/>
      <w:lang w:val="en-GB" w:eastAsia="en-US"/>
    </w:rPr>
  </w:style>
  <w:style w:type="paragraph" w:customStyle="1" w:styleId="Chapter">
    <w:name w:val="Chapter"/>
    <w:basedOn w:val="Normal"/>
    <w:rsid w:val="00392907"/>
    <w:pPr>
      <w:spacing w:before="240"/>
    </w:pPr>
    <w:rPr>
      <w:rFonts w:ascii="Times New Roman" w:hAnsi="Times New Roman"/>
      <w:smallCaps/>
      <w:spacing w:val="80"/>
      <w:sz w:val="28"/>
    </w:rPr>
  </w:style>
  <w:style w:type="paragraph" w:customStyle="1" w:styleId="InChapter">
    <w:name w:val="InChapter"/>
    <w:basedOn w:val="Heading3"/>
    <w:rsid w:val="00392907"/>
    <w:pPr>
      <w:spacing w:after="240"/>
      <w:outlineLvl w:val="9"/>
    </w:pPr>
    <w:rPr>
      <w:noProof/>
    </w:rPr>
  </w:style>
  <w:style w:type="paragraph" w:styleId="Index2">
    <w:name w:val="index 2"/>
    <w:basedOn w:val="Normal"/>
    <w:next w:val="Normal"/>
    <w:semiHidden/>
    <w:rsid w:val="00392907"/>
    <w:pPr>
      <w:tabs>
        <w:tab w:val="right" w:pos="4176"/>
      </w:tabs>
      <w:ind w:left="568" w:hanging="284"/>
    </w:pPr>
    <w:rPr>
      <w:rFonts w:ascii="Garamond" w:hAnsi="Garamond"/>
    </w:rPr>
  </w:style>
  <w:style w:type="paragraph" w:customStyle="1" w:styleId="Byline">
    <w:name w:val="Byline"/>
    <w:rsid w:val="0039290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92907"/>
    <w:pPr>
      <w:tabs>
        <w:tab w:val="clear" w:pos="3600"/>
        <w:tab w:val="clear" w:pos="3958"/>
      </w:tabs>
      <w:jc w:val="right"/>
    </w:pPr>
  </w:style>
  <w:style w:type="character" w:styleId="Emphasis">
    <w:name w:val="Emphasis"/>
    <w:basedOn w:val="DefaultParagraphFont"/>
    <w:qFormat/>
    <w:rsid w:val="00392907"/>
    <w:rPr>
      <w:i/>
    </w:rPr>
  </w:style>
  <w:style w:type="paragraph" w:styleId="Caption">
    <w:name w:val="caption"/>
    <w:basedOn w:val="BodyText"/>
    <w:next w:val="Normal"/>
    <w:qFormat/>
    <w:rsid w:val="00392907"/>
    <w:pPr>
      <w:framePr w:w="2268" w:hSpace="181" w:vSpace="181" w:wrap="around" w:vAnchor="text" w:hAnchor="page" w:x="1135" w:y="285" w:anchorLock="1"/>
    </w:pPr>
    <w:rPr>
      <w:i/>
    </w:rPr>
  </w:style>
  <w:style w:type="paragraph" w:customStyle="1" w:styleId="MiniTOCTitle">
    <w:name w:val="MiniTOCTitle"/>
    <w:basedOn w:val="Heading4"/>
    <w:rsid w:val="00392907"/>
    <w:pPr>
      <w:spacing w:before="240"/>
      <w:outlineLvl w:val="9"/>
    </w:pPr>
    <w:rPr>
      <w:noProof/>
      <w:sz w:val="24"/>
    </w:rPr>
  </w:style>
  <w:style w:type="paragraph" w:customStyle="1" w:styleId="MiniTOCItem">
    <w:name w:val="MiniTOCItem"/>
    <w:basedOn w:val="ListBullet"/>
    <w:rsid w:val="00392907"/>
    <w:pPr>
      <w:numPr>
        <w:numId w:val="0"/>
      </w:numPr>
      <w:tabs>
        <w:tab w:val="right" w:leader="dot" w:pos="6521"/>
      </w:tabs>
      <w:spacing w:before="0" w:after="0"/>
    </w:pPr>
  </w:style>
  <w:style w:type="paragraph" w:customStyle="1" w:styleId="TOFTitle">
    <w:name w:val="TOFTitle"/>
    <w:basedOn w:val="TOCTitle"/>
    <w:rsid w:val="00392907"/>
  </w:style>
  <w:style w:type="paragraph" w:styleId="TableofFigures">
    <w:name w:val="table of figures"/>
    <w:basedOn w:val="Normal"/>
    <w:next w:val="Normal"/>
    <w:semiHidden/>
    <w:rsid w:val="00392907"/>
    <w:pPr>
      <w:tabs>
        <w:tab w:val="right" w:leader="dot" w:pos="9072"/>
      </w:tabs>
      <w:ind w:left="970" w:hanging="403"/>
    </w:pPr>
    <w:rPr>
      <w:rFonts w:ascii="Times New Roman" w:hAnsi="Times New Roman"/>
      <w:b/>
    </w:rPr>
  </w:style>
  <w:style w:type="paragraph" w:styleId="ListNumber">
    <w:name w:val="List Number"/>
    <w:basedOn w:val="List"/>
    <w:rsid w:val="00392907"/>
    <w:pPr>
      <w:numPr>
        <w:numId w:val="14"/>
      </w:numPr>
      <w:tabs>
        <w:tab w:val="clear" w:pos="340"/>
      </w:tabs>
    </w:pPr>
  </w:style>
  <w:style w:type="character" w:customStyle="1" w:styleId="WingdingSymbols">
    <w:name w:val="Wingding Symbols"/>
    <w:rsid w:val="00392907"/>
    <w:rPr>
      <w:rFonts w:ascii="Wingdings" w:hAnsi="Wingdings"/>
    </w:rPr>
  </w:style>
  <w:style w:type="paragraph" w:customStyle="1" w:styleId="TableHeading">
    <w:name w:val="Table Heading"/>
    <w:basedOn w:val="HeadingBase"/>
    <w:rsid w:val="00392907"/>
    <w:pPr>
      <w:keepLines/>
      <w:pBdr>
        <w:bottom w:val="single" w:sz="6" w:space="1" w:color="918585"/>
      </w:pBdr>
      <w:spacing w:before="240"/>
    </w:pPr>
  </w:style>
  <w:style w:type="character" w:customStyle="1" w:styleId="HotSpot">
    <w:name w:val="HotSpot"/>
    <w:rsid w:val="00392907"/>
    <w:rPr>
      <w:color w:val="0033CC"/>
      <w:u w:val="none"/>
    </w:rPr>
  </w:style>
  <w:style w:type="paragraph" w:customStyle="1" w:styleId="BodyTextRight">
    <w:name w:val="Body Text Right"/>
    <w:basedOn w:val="BodyText"/>
    <w:rsid w:val="00392907"/>
    <w:pPr>
      <w:spacing w:before="0" w:after="0"/>
      <w:jc w:val="right"/>
    </w:pPr>
  </w:style>
  <w:style w:type="paragraph" w:styleId="Index3">
    <w:name w:val="index 3"/>
    <w:basedOn w:val="ListNumber2"/>
    <w:next w:val="Normal"/>
    <w:semiHidden/>
    <w:rsid w:val="00392907"/>
    <w:pPr>
      <w:numPr>
        <w:numId w:val="0"/>
      </w:numPr>
      <w:tabs>
        <w:tab w:val="right" w:leader="dot" w:pos="4176"/>
      </w:tabs>
    </w:pPr>
  </w:style>
  <w:style w:type="paragraph" w:styleId="ListNumber2">
    <w:name w:val="List Number 2"/>
    <w:basedOn w:val="List2"/>
    <w:rsid w:val="00392907"/>
    <w:pPr>
      <w:numPr>
        <w:numId w:val="9"/>
      </w:numPr>
      <w:tabs>
        <w:tab w:val="clear" w:pos="1060"/>
      </w:tabs>
    </w:pPr>
  </w:style>
  <w:style w:type="paragraph" w:customStyle="1" w:styleId="MarginNote">
    <w:name w:val="Margin Note"/>
    <w:basedOn w:val="BodyText"/>
    <w:rsid w:val="0039290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9290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9290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92907"/>
    <w:rPr>
      <w:sz w:val="32"/>
    </w:rPr>
  </w:style>
  <w:style w:type="paragraph" w:customStyle="1" w:styleId="HeadingProcedure">
    <w:name w:val="Heading Procedure"/>
    <w:basedOn w:val="HeadingBase"/>
    <w:next w:val="Normal"/>
    <w:rsid w:val="00392907"/>
    <w:pPr>
      <w:tabs>
        <w:tab w:val="left" w:pos="0"/>
      </w:tabs>
      <w:spacing w:before="120" w:after="60"/>
    </w:pPr>
    <w:rPr>
      <w:i/>
      <w:color w:val="918585"/>
      <w:sz w:val="22"/>
    </w:rPr>
  </w:style>
  <w:style w:type="paragraph" w:customStyle="1" w:styleId="TableBodyText">
    <w:name w:val="Table Body Text"/>
    <w:basedOn w:val="BodyText"/>
    <w:rsid w:val="00392907"/>
    <w:pPr>
      <w:spacing w:before="60" w:after="60"/>
    </w:pPr>
  </w:style>
  <w:style w:type="paragraph" w:styleId="ListContinue">
    <w:name w:val="List Continue"/>
    <w:basedOn w:val="List"/>
    <w:rsid w:val="00392907"/>
    <w:pPr>
      <w:ind w:firstLine="0"/>
    </w:pPr>
  </w:style>
  <w:style w:type="paragraph" w:customStyle="1" w:styleId="ListNote">
    <w:name w:val="List Note"/>
    <w:basedOn w:val="List"/>
    <w:rsid w:val="00392907"/>
    <w:pPr>
      <w:pBdr>
        <w:top w:val="single" w:sz="6" w:space="2" w:color="918585"/>
        <w:bottom w:val="single" w:sz="6" w:space="2" w:color="918585"/>
      </w:pBdr>
      <w:tabs>
        <w:tab w:val="left" w:pos="1021"/>
      </w:tabs>
      <w:ind w:firstLine="0"/>
    </w:pPr>
  </w:style>
  <w:style w:type="paragraph" w:customStyle="1" w:styleId="Warning">
    <w:name w:val="Warning"/>
    <w:basedOn w:val="BodyText"/>
    <w:rsid w:val="00392907"/>
    <w:pPr>
      <w:shd w:val="clear" w:color="auto" w:fill="D9D9D9"/>
      <w:tabs>
        <w:tab w:val="left" w:pos="992"/>
      </w:tabs>
      <w:ind w:left="119" w:right="119"/>
    </w:pPr>
    <w:rPr>
      <w:sz w:val="20"/>
    </w:rPr>
  </w:style>
  <w:style w:type="paragraph" w:customStyle="1" w:styleId="MarginIcons">
    <w:name w:val="Margin Icons"/>
    <w:basedOn w:val="BodyText"/>
    <w:rsid w:val="0039290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92907"/>
    <w:rPr>
      <w:rFonts w:ascii="Courier New" w:hAnsi="Courier New"/>
    </w:rPr>
  </w:style>
  <w:style w:type="paragraph" w:customStyle="1" w:styleId="NoteBullet">
    <w:name w:val="Note Bullet"/>
    <w:basedOn w:val="Note"/>
    <w:rsid w:val="00392907"/>
    <w:pPr>
      <w:tabs>
        <w:tab w:val="clear" w:pos="680"/>
      </w:tabs>
      <w:spacing w:before="60" w:after="60"/>
    </w:pPr>
  </w:style>
  <w:style w:type="paragraph" w:customStyle="1" w:styleId="SubHeading2">
    <w:name w:val="SubHeading2"/>
    <w:basedOn w:val="HeadingBase"/>
    <w:rsid w:val="00392907"/>
    <w:pPr>
      <w:spacing w:before="240" w:after="60"/>
    </w:pPr>
    <w:rPr>
      <w:sz w:val="20"/>
    </w:rPr>
  </w:style>
  <w:style w:type="paragraph" w:customStyle="1" w:styleId="SubHeading1">
    <w:name w:val="SubHeading1"/>
    <w:basedOn w:val="HeadingBase"/>
    <w:rsid w:val="00392907"/>
    <w:pPr>
      <w:spacing w:before="240" w:after="60"/>
    </w:pPr>
    <w:rPr>
      <w:color w:val="918585"/>
      <w:sz w:val="22"/>
    </w:rPr>
  </w:style>
  <w:style w:type="paragraph" w:customStyle="1" w:styleId="SideHeading">
    <w:name w:val="Side Heading"/>
    <w:basedOn w:val="HeadingBase"/>
    <w:rsid w:val="0039290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92907"/>
    <w:pPr>
      <w:numPr>
        <w:numId w:val="10"/>
      </w:numPr>
    </w:pPr>
  </w:style>
  <w:style w:type="paragraph" w:styleId="PlainText">
    <w:name w:val="Plain Text"/>
    <w:basedOn w:val="Normal"/>
    <w:link w:val="PlainTextChar"/>
    <w:rsid w:val="00392907"/>
    <w:rPr>
      <w:sz w:val="20"/>
    </w:rPr>
  </w:style>
  <w:style w:type="character" w:customStyle="1" w:styleId="PlainTextChar">
    <w:name w:val="Plain Text Char"/>
    <w:basedOn w:val="DefaultParagraphFont"/>
    <w:link w:val="PlainText"/>
    <w:rsid w:val="00392907"/>
    <w:rPr>
      <w:rFonts w:ascii="Courier New" w:eastAsia="Times New Roman" w:hAnsi="Courier New" w:cs="Times New Roman"/>
      <w:sz w:val="20"/>
      <w:szCs w:val="20"/>
      <w:lang w:eastAsia="en-US"/>
    </w:rPr>
  </w:style>
  <w:style w:type="character" w:customStyle="1" w:styleId="MenuOption">
    <w:name w:val="Menu Option"/>
    <w:basedOn w:val="DefaultParagraphFont"/>
    <w:rsid w:val="00392907"/>
    <w:rPr>
      <w:b/>
      <w:smallCaps/>
    </w:rPr>
  </w:style>
  <w:style w:type="paragraph" w:customStyle="1" w:styleId="TableListNumber">
    <w:name w:val="Table List Number"/>
    <w:basedOn w:val="ListNumber"/>
    <w:rsid w:val="00392907"/>
    <w:pPr>
      <w:numPr>
        <w:numId w:val="0"/>
      </w:numPr>
    </w:pPr>
  </w:style>
  <w:style w:type="paragraph" w:styleId="TOC4">
    <w:name w:val="toc 4"/>
    <w:basedOn w:val="TOCBase"/>
    <w:next w:val="Normal"/>
    <w:semiHidden/>
    <w:rsid w:val="00392907"/>
    <w:pPr>
      <w:tabs>
        <w:tab w:val="right" w:leader="dot" w:pos="9071"/>
      </w:tabs>
      <w:ind w:left="1701"/>
    </w:pPr>
  </w:style>
  <w:style w:type="paragraph" w:customStyle="1" w:styleId="ListAlpha">
    <w:name w:val="List Alpha"/>
    <w:basedOn w:val="List"/>
    <w:rsid w:val="00392907"/>
    <w:pPr>
      <w:numPr>
        <w:numId w:val="8"/>
      </w:numPr>
    </w:pPr>
  </w:style>
  <w:style w:type="paragraph" w:customStyle="1" w:styleId="ListAlpha2">
    <w:name w:val="List Alpha 2"/>
    <w:basedOn w:val="List2"/>
    <w:rsid w:val="00392907"/>
    <w:pPr>
      <w:numPr>
        <w:numId w:val="7"/>
      </w:numPr>
    </w:pPr>
  </w:style>
  <w:style w:type="paragraph" w:styleId="List2">
    <w:name w:val="List 2"/>
    <w:basedOn w:val="BodyText"/>
    <w:rsid w:val="00392907"/>
    <w:pPr>
      <w:tabs>
        <w:tab w:val="left" w:pos="680"/>
      </w:tabs>
      <w:spacing w:before="60" w:after="60"/>
      <w:ind w:left="680" w:hanging="340"/>
    </w:pPr>
  </w:style>
  <w:style w:type="paragraph" w:styleId="List3">
    <w:name w:val="List 3"/>
    <w:basedOn w:val="BodyText"/>
    <w:rsid w:val="00392907"/>
    <w:pPr>
      <w:tabs>
        <w:tab w:val="left" w:pos="1021"/>
      </w:tabs>
      <w:spacing w:before="60" w:after="60"/>
      <w:ind w:left="1020" w:hanging="340"/>
    </w:pPr>
  </w:style>
  <w:style w:type="paragraph" w:styleId="List4">
    <w:name w:val="List 4"/>
    <w:basedOn w:val="BodyText"/>
    <w:rsid w:val="00392907"/>
    <w:pPr>
      <w:tabs>
        <w:tab w:val="left" w:pos="1361"/>
      </w:tabs>
      <w:spacing w:before="60" w:after="60"/>
      <w:ind w:left="1361" w:hanging="340"/>
    </w:pPr>
  </w:style>
  <w:style w:type="paragraph" w:styleId="List5">
    <w:name w:val="List 5"/>
    <w:basedOn w:val="BodyText"/>
    <w:rsid w:val="00392907"/>
    <w:pPr>
      <w:tabs>
        <w:tab w:val="left" w:pos="1701"/>
      </w:tabs>
      <w:spacing w:before="60" w:after="60"/>
      <w:ind w:left="1701" w:hanging="340"/>
    </w:pPr>
  </w:style>
  <w:style w:type="paragraph" w:styleId="ListBullet3">
    <w:name w:val="List Bullet 3"/>
    <w:basedOn w:val="List3"/>
    <w:rsid w:val="00392907"/>
    <w:pPr>
      <w:numPr>
        <w:numId w:val="13"/>
      </w:numPr>
      <w:tabs>
        <w:tab w:val="clear" w:pos="1021"/>
      </w:tabs>
      <w:ind w:left="1037" w:hanging="357"/>
    </w:pPr>
  </w:style>
  <w:style w:type="paragraph" w:styleId="ListBullet4">
    <w:name w:val="List Bullet 4"/>
    <w:basedOn w:val="List4"/>
    <w:rsid w:val="00392907"/>
    <w:pPr>
      <w:numPr>
        <w:numId w:val="2"/>
      </w:numPr>
      <w:tabs>
        <w:tab w:val="clear" w:pos="1361"/>
      </w:tabs>
    </w:pPr>
  </w:style>
  <w:style w:type="paragraph" w:styleId="ListBullet5">
    <w:name w:val="List Bullet 5"/>
    <w:basedOn w:val="List5"/>
    <w:rsid w:val="00392907"/>
    <w:pPr>
      <w:numPr>
        <w:numId w:val="3"/>
      </w:numPr>
    </w:pPr>
  </w:style>
  <w:style w:type="paragraph" w:styleId="ListContinue2">
    <w:name w:val="List Continue 2"/>
    <w:basedOn w:val="List2"/>
    <w:rsid w:val="00392907"/>
    <w:pPr>
      <w:ind w:firstLine="0"/>
    </w:pPr>
  </w:style>
  <w:style w:type="paragraph" w:styleId="ListContinue3">
    <w:name w:val="List Continue 3"/>
    <w:basedOn w:val="List3"/>
    <w:rsid w:val="00392907"/>
    <w:pPr>
      <w:ind w:left="1021" w:firstLine="0"/>
    </w:pPr>
  </w:style>
  <w:style w:type="paragraph" w:styleId="ListContinue4">
    <w:name w:val="List Continue 4"/>
    <w:basedOn w:val="List4"/>
    <w:rsid w:val="00392907"/>
    <w:pPr>
      <w:ind w:firstLine="0"/>
    </w:pPr>
  </w:style>
  <w:style w:type="paragraph" w:styleId="ListContinue5">
    <w:name w:val="List Continue 5"/>
    <w:basedOn w:val="List5"/>
    <w:rsid w:val="00392907"/>
    <w:pPr>
      <w:ind w:firstLine="0"/>
    </w:pPr>
  </w:style>
  <w:style w:type="paragraph" w:styleId="ListNumber3">
    <w:name w:val="List Number 3"/>
    <w:basedOn w:val="List3"/>
    <w:rsid w:val="00392907"/>
    <w:pPr>
      <w:numPr>
        <w:numId w:val="4"/>
      </w:numPr>
    </w:pPr>
  </w:style>
  <w:style w:type="paragraph" w:styleId="ListNumber4">
    <w:name w:val="List Number 4"/>
    <w:basedOn w:val="List4"/>
    <w:rsid w:val="00392907"/>
    <w:pPr>
      <w:numPr>
        <w:numId w:val="5"/>
      </w:numPr>
    </w:pPr>
  </w:style>
  <w:style w:type="paragraph" w:styleId="ListNumber5">
    <w:name w:val="List Number 5"/>
    <w:basedOn w:val="List5"/>
    <w:rsid w:val="00392907"/>
    <w:pPr>
      <w:numPr>
        <w:numId w:val="6"/>
      </w:numPr>
    </w:pPr>
  </w:style>
  <w:style w:type="paragraph" w:styleId="BlockText">
    <w:name w:val="Block Text"/>
    <w:basedOn w:val="Normal"/>
    <w:rsid w:val="00392907"/>
    <w:pPr>
      <w:spacing w:after="120"/>
      <w:ind w:left="1440" w:right="1440"/>
    </w:pPr>
  </w:style>
  <w:style w:type="character" w:customStyle="1" w:styleId="Subscript">
    <w:name w:val="Subscript"/>
    <w:basedOn w:val="DefaultParagraphFont"/>
    <w:rsid w:val="00392907"/>
    <w:rPr>
      <w:sz w:val="16"/>
      <w:vertAlign w:val="subscript"/>
    </w:rPr>
  </w:style>
  <w:style w:type="character" w:customStyle="1" w:styleId="Superscript">
    <w:name w:val="Superscript"/>
    <w:basedOn w:val="DefaultParagraphFont"/>
    <w:rsid w:val="00392907"/>
    <w:rPr>
      <w:sz w:val="16"/>
      <w:vertAlign w:val="superscript"/>
    </w:rPr>
  </w:style>
  <w:style w:type="character" w:customStyle="1" w:styleId="Symbols">
    <w:name w:val="Symbols"/>
    <w:basedOn w:val="DefaultParagraphFont"/>
    <w:rsid w:val="00392907"/>
    <w:rPr>
      <w:rFonts w:ascii="Symbol" w:hAnsi="Symbol"/>
    </w:rPr>
  </w:style>
  <w:style w:type="character" w:customStyle="1" w:styleId="MenuOptions">
    <w:name w:val="Menu Options"/>
    <w:basedOn w:val="DefaultParagraphFont"/>
    <w:rsid w:val="00392907"/>
    <w:rPr>
      <w:rFonts w:ascii="Arial Narrow" w:hAnsi="Arial Narrow"/>
      <w:smallCaps/>
    </w:rPr>
  </w:style>
  <w:style w:type="character" w:customStyle="1" w:styleId="Buttons">
    <w:name w:val="Buttons"/>
    <w:basedOn w:val="DefaultParagraphFont"/>
    <w:rsid w:val="00392907"/>
    <w:rPr>
      <w:b/>
    </w:rPr>
  </w:style>
  <w:style w:type="character" w:customStyle="1" w:styleId="Underlined">
    <w:name w:val="Underlined"/>
    <w:basedOn w:val="DefaultParagraphFont"/>
    <w:rsid w:val="00392907"/>
    <w:rPr>
      <w:u w:val="single"/>
    </w:rPr>
  </w:style>
  <w:style w:type="paragraph" w:customStyle="1" w:styleId="TableBodyTextRight">
    <w:name w:val="Table Body Text Right"/>
    <w:basedOn w:val="TableBodyText"/>
    <w:rsid w:val="00392907"/>
    <w:pPr>
      <w:widowControl w:val="0"/>
      <w:autoSpaceDE w:val="0"/>
      <w:autoSpaceDN w:val="0"/>
      <w:adjustRightInd w:val="0"/>
      <w:jc w:val="right"/>
    </w:pPr>
    <w:rPr>
      <w:rFonts w:cs="Arial"/>
      <w:szCs w:val="18"/>
    </w:rPr>
  </w:style>
  <w:style w:type="paragraph" w:customStyle="1" w:styleId="CopyrightText">
    <w:name w:val="Copyright Text"/>
    <w:basedOn w:val="BodyText"/>
    <w:rsid w:val="00392907"/>
    <w:rPr>
      <w:sz w:val="18"/>
    </w:rPr>
  </w:style>
  <w:style w:type="paragraph" w:customStyle="1" w:styleId="BodySmallRight">
    <w:name w:val="Body Small Right"/>
    <w:basedOn w:val="BodyTextRight"/>
    <w:rsid w:val="00392907"/>
    <w:rPr>
      <w:sz w:val="18"/>
      <w:szCs w:val="18"/>
    </w:rPr>
  </w:style>
  <w:style w:type="paragraph" w:customStyle="1" w:styleId="MarginEdition">
    <w:name w:val="Margin Edition"/>
    <w:basedOn w:val="MarginNote"/>
    <w:rsid w:val="00392907"/>
    <w:pPr>
      <w:spacing w:before="0" w:after="0"/>
    </w:pPr>
    <w:rPr>
      <w:rFonts w:ascii="Times New Roman" w:hAnsi="Times New Roman"/>
      <w:color w:val="999999"/>
    </w:rPr>
  </w:style>
  <w:style w:type="paragraph" w:customStyle="1" w:styleId="Spacer">
    <w:name w:val="Spacer"/>
    <w:basedOn w:val="Normal"/>
    <w:rsid w:val="00392907"/>
    <w:rPr>
      <w:sz w:val="2"/>
      <w:szCs w:val="2"/>
    </w:rPr>
  </w:style>
  <w:style w:type="character" w:customStyle="1" w:styleId="Small">
    <w:name w:val="Small"/>
    <w:basedOn w:val="DefaultParagraphFont"/>
    <w:rsid w:val="00392907"/>
    <w:rPr>
      <w:sz w:val="16"/>
    </w:rPr>
  </w:style>
  <w:style w:type="paragraph" w:customStyle="1" w:styleId="WideTable">
    <w:name w:val="Wide Table"/>
    <w:basedOn w:val="Normal"/>
    <w:rsid w:val="00392907"/>
    <w:pPr>
      <w:ind w:left="-1418"/>
    </w:pPr>
    <w:rPr>
      <w:sz w:val="2"/>
      <w:szCs w:val="2"/>
    </w:rPr>
  </w:style>
  <w:style w:type="character" w:styleId="PageNumber">
    <w:name w:val="page number"/>
    <w:basedOn w:val="DefaultParagraphFont"/>
    <w:rsid w:val="00392907"/>
  </w:style>
  <w:style w:type="paragraph" w:styleId="Quote">
    <w:name w:val="Quote"/>
    <w:basedOn w:val="Heading1"/>
    <w:link w:val="QuoteChar"/>
    <w:qFormat/>
    <w:rsid w:val="00392907"/>
    <w:rPr>
      <w:b w:val="0"/>
      <w:sz w:val="72"/>
      <w:szCs w:val="72"/>
      <w:lang w:val="en-NZ"/>
    </w:rPr>
  </w:style>
  <w:style w:type="character" w:customStyle="1" w:styleId="QuoteChar">
    <w:name w:val="Quote Char"/>
    <w:basedOn w:val="DefaultParagraphFont"/>
    <w:link w:val="Quote"/>
    <w:rsid w:val="0039290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92907"/>
    <w:pPr>
      <w:pageBreakBefore/>
    </w:pPr>
  </w:style>
  <w:style w:type="paragraph" w:customStyle="1" w:styleId="Border">
    <w:name w:val="Border"/>
    <w:basedOn w:val="Normal"/>
    <w:qFormat/>
    <w:rsid w:val="0039290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92907"/>
    <w:rPr>
      <w:b/>
      <w:bCs/>
      <w:i/>
      <w:iCs/>
      <w:color w:val="auto"/>
    </w:rPr>
  </w:style>
  <w:style w:type="paragraph" w:styleId="IntenseQuote">
    <w:name w:val="Intense Quote"/>
    <w:basedOn w:val="Normal"/>
    <w:next w:val="Normal"/>
    <w:link w:val="IntenseQuoteChar"/>
    <w:uiPriority w:val="30"/>
    <w:qFormat/>
    <w:rsid w:val="0039290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9290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92907"/>
    <w:rPr>
      <w:smallCaps/>
      <w:color w:val="auto"/>
      <w:u w:val="single"/>
    </w:rPr>
  </w:style>
  <w:style w:type="character" w:styleId="IntenseReference">
    <w:name w:val="Intense Reference"/>
    <w:basedOn w:val="DefaultParagraphFont"/>
    <w:uiPriority w:val="32"/>
    <w:qFormat/>
    <w:rsid w:val="00392907"/>
    <w:rPr>
      <w:b/>
      <w:bCs/>
      <w:smallCaps/>
      <w:color w:val="auto"/>
      <w:spacing w:val="5"/>
      <w:u w:val="single"/>
    </w:rPr>
  </w:style>
  <w:style w:type="paragraph" w:customStyle="1" w:styleId="2ColumnHeading">
    <w:name w:val="2Column Heading"/>
    <w:basedOn w:val="BodyText"/>
    <w:qFormat/>
    <w:rsid w:val="00392907"/>
    <w:pPr>
      <w:spacing w:after="60"/>
      <w:ind w:left="-2268"/>
    </w:pPr>
    <w:rPr>
      <w:b/>
    </w:rPr>
  </w:style>
  <w:style w:type="paragraph" w:customStyle="1" w:styleId="Heading1TOC">
    <w:name w:val="Heading1 TOC"/>
    <w:basedOn w:val="Normal"/>
    <w:qFormat/>
    <w:rsid w:val="00392907"/>
    <w:pPr>
      <w:spacing w:before="240" w:after="120"/>
    </w:pPr>
    <w:rPr>
      <w:rFonts w:ascii="Times New Roman" w:hAnsi="Times New Roman"/>
      <w:b/>
      <w:sz w:val="32"/>
    </w:rPr>
  </w:style>
  <w:style w:type="paragraph" w:customStyle="1" w:styleId="Heading2TOC">
    <w:name w:val="Heading2 TOC"/>
    <w:basedOn w:val="Normal"/>
    <w:qFormat/>
    <w:rsid w:val="00392907"/>
    <w:pPr>
      <w:spacing w:before="240" w:after="60"/>
    </w:pPr>
    <w:rPr>
      <w:rFonts w:ascii="Times New Roman" w:hAnsi="Times New Roman"/>
      <w:b/>
      <w:sz w:val="28"/>
    </w:rPr>
  </w:style>
  <w:style w:type="character" w:customStyle="1" w:styleId="Underline">
    <w:name w:val="Underline"/>
    <w:basedOn w:val="DefaultParagraphFont"/>
    <w:qFormat/>
    <w:rsid w:val="00392907"/>
    <w:rPr>
      <w:u w:val="single"/>
    </w:rPr>
  </w:style>
  <w:style w:type="character" w:customStyle="1" w:styleId="BoldandItalics">
    <w:name w:val="Bold and Italics"/>
    <w:qFormat/>
    <w:rsid w:val="00392907"/>
    <w:rPr>
      <w:b/>
      <w:i/>
      <w:u w:val="none"/>
    </w:rPr>
  </w:style>
  <w:style w:type="paragraph" w:styleId="BalloonText">
    <w:name w:val="Balloon Text"/>
    <w:basedOn w:val="Normal"/>
    <w:link w:val="BalloonTextChar"/>
    <w:rsid w:val="00392907"/>
    <w:rPr>
      <w:rFonts w:ascii="Tahoma" w:hAnsi="Tahoma" w:cs="Tahoma"/>
      <w:sz w:val="16"/>
      <w:szCs w:val="16"/>
    </w:rPr>
  </w:style>
  <w:style w:type="character" w:customStyle="1" w:styleId="BalloonTextChar">
    <w:name w:val="Balloon Text Char"/>
    <w:basedOn w:val="DefaultParagraphFont"/>
    <w:link w:val="BalloonText"/>
    <w:rsid w:val="0039290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9290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9290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92907"/>
    <w:rPr>
      <w:b/>
      <w:color w:val="660033"/>
      <w:spacing w:val="0"/>
    </w:rPr>
  </w:style>
  <w:style w:type="paragraph" w:customStyle="1" w:styleId="Nameditemlist">
    <w:name w:val="Named item list"/>
    <w:basedOn w:val="BodyText"/>
    <w:qFormat/>
    <w:rsid w:val="00392907"/>
    <w:pPr>
      <w:tabs>
        <w:tab w:val="left" w:pos="2835"/>
      </w:tabs>
      <w:ind w:left="2835" w:hanging="2835"/>
    </w:pPr>
  </w:style>
  <w:style w:type="paragraph" w:customStyle="1" w:styleId="BodyTextnopadding">
    <w:name w:val="Body Text no padding"/>
    <w:basedOn w:val="BodyText"/>
    <w:qFormat/>
    <w:rsid w:val="00392907"/>
    <w:pPr>
      <w:spacing w:before="0" w:after="0"/>
    </w:pPr>
  </w:style>
  <w:style w:type="paragraph" w:customStyle="1" w:styleId="BodyTextBold">
    <w:name w:val="Body Text Bold"/>
    <w:basedOn w:val="BodyText"/>
    <w:qFormat/>
    <w:rsid w:val="00392907"/>
    <w:rPr>
      <w:b/>
    </w:rPr>
  </w:style>
  <w:style w:type="character" w:styleId="Hyperlink">
    <w:name w:val="Hyperlink"/>
    <w:basedOn w:val="DefaultParagraphFont"/>
    <w:uiPriority w:val="99"/>
    <w:unhideWhenUsed/>
    <w:rsid w:val="00876D0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786</Words>
  <Characters>5151</Characters>
  <Application>Microsoft Office Word</Application>
  <DocSecurity>0</DocSecurity>
  <Lines>223</Lines>
  <Paragraphs>109</Paragraphs>
  <ScaleCrop>false</ScaleCrop>
  <Company>Author-it Software Corporation Ltd.</Company>
  <LinksUpToDate>false</LinksUpToDate>
  <CharactersWithSpaces>5828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MEA423 Aircraft structure major disassembly and reassembly</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2019-09-30T08:18:00Z</dcterms:created>
  <dcterms:modified xsi:type="dcterms:W3CDTF">2019-09-30T08:18:00Z</dcterms:modified>
</cp:coreProperties>
</file>