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7FF4" w:rsidP="00FB7FF4">
      <w:pPr>
        <w:pStyle w:val="Title"/>
      </w:pPr>
      <w:r>
        <w:fldChar w:fldCharType="begin"/>
      </w:r>
      <w:r>
        <w:instrText xml:space="preserve"> TITLE   \* MERGEFORMAT </w:instrText>
      </w:r>
      <w:r>
        <w:fldChar w:fldCharType="separate"/>
      </w:r>
      <w:r>
        <w:t>MEA417 Apply specialty coatings to aircraft</w:t>
      </w:r>
      <w:r>
        <w:fldChar w:fldCharType="end"/>
      </w:r>
    </w:p>
    <w:p w:rsidR="00FB7FF4" w:rsidP="00FB7FF4">
      <w:pPr>
        <w:pStyle w:val="Version"/>
        <w:sectPr w:rsidSect="00D103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1032C" w:rsidP="00D1032C">
      <w:pPr>
        <w:pStyle w:val="SuperHeading"/>
      </w:pPr>
      <w:r w:rsidRPr="00D1032C">
        <w:t>MEA417 Apply specialty coatings to aircraft</w:t>
      </w:r>
    </w:p>
    <w:p w:rsidR="00000000" w:rsidRPr="00D1032C" w:rsidP="00D1032C">
      <w:pPr>
        <w:pStyle w:val="Heading1"/>
      </w:pPr>
      <w:bookmarkStart w:id="1" w:name="O_997150"/>
      <w:bookmarkEnd w:id="1"/>
      <w:r w:rsidRPr="00D1032C">
        <w:t>Modification History</w:t>
      </w:r>
    </w:p>
    <w:p w:rsidR="00000000" w:rsidRPr="00D1032C" w:rsidP="00FB7FF4">
      <w:pPr>
        <w:pStyle w:val="BodyText"/>
      </w:pPr>
      <w:r w:rsidRPr="00D1032C">
        <w:t>Release 2. Equivalent to MEA417 Apply specialty coatings to aircraft with amended prerequisite codes.</w:t>
      </w:r>
    </w:p>
    <w:p w:rsidR="00000000" w:rsidRPr="00D1032C" w:rsidP="00D1032C">
      <w:pPr>
        <w:pStyle w:val="Heading1"/>
      </w:pPr>
      <w:bookmarkStart w:id="2" w:name="O_997149"/>
      <w:bookmarkEnd w:id="2"/>
      <w:r w:rsidRPr="00D1032C">
        <w:t>Application</w:t>
      </w:r>
    </w:p>
    <w:p w:rsidR="00000000" w:rsidRPr="00D1032C" w:rsidP="00FB7FF4">
      <w:pPr>
        <w:pStyle w:val="BodyText"/>
      </w:pPr>
      <w:r w:rsidRPr="00D1032C">
        <w:t>This unit of competency requires application of skills and knowledge relating to the preparation and app</w:t>
      </w:r>
      <w:r w:rsidRPr="00D1032C">
        <w:t xml:space="preserve">lication of a range of specialty coatings to fixed and rotary wing aircraft and aircraft components using application methods applicable to the specific coating material during the performance of scheduled or unscheduled maintenance. Work may be performed </w:t>
      </w:r>
      <w:r w:rsidRPr="00D1032C">
        <w:t>individually or as part of a team.</w:t>
      </w:r>
    </w:p>
    <w:p w:rsidR="00000000" w:rsidRPr="00D1032C" w:rsidP="00FB7FF4">
      <w:pPr>
        <w:pStyle w:val="BodyText"/>
      </w:pPr>
      <w:r w:rsidRPr="00D1032C">
        <w:t>No licensing requirements apply to this unit at the time of publication, but compliance with legislation and regulations for the handling and disposal of hazardous materials is included in the unit.</w:t>
      </w:r>
    </w:p>
    <w:p w:rsidR="00000000" w:rsidRPr="00D1032C" w:rsidP="00FB7FF4">
      <w:pPr>
        <w:pStyle w:val="BodyText"/>
      </w:pPr>
      <w:r w:rsidRPr="00D1032C">
        <w:t xml:space="preserve">The unit is used in </w:t>
      </w:r>
      <w:r w:rsidRPr="00D1032C">
        <w:t>workplaces that operate under the airworthiness regulatory systems of the Australian Defence Force (ADF) and the Civil Aviation Safety Authority (CASA).</w:t>
      </w:r>
    </w:p>
    <w:p w:rsidR="00000000" w:rsidRPr="00D1032C" w:rsidP="00D1032C">
      <w:pPr>
        <w:pStyle w:val="Heading1"/>
      </w:pPr>
      <w:bookmarkStart w:id="3" w:name="O_997148"/>
      <w:bookmarkEnd w:id="3"/>
      <w:r w:rsidRPr="00D1032C">
        <w:t>Pre-requisite Unit</w:t>
      </w:r>
    </w:p>
    <w:tbl>
      <w:tblPr>
        <w:tblW w:w="0" w:type="auto"/>
        <w:tblLayout w:type="fixed"/>
        <w:tblCellMar>
          <w:left w:w="62" w:type="dxa"/>
          <w:right w:w="62" w:type="dxa"/>
        </w:tblCellMar>
        <w:tblLook w:val="0000"/>
      </w:tblPr>
      <w:tblGrid>
        <w:gridCol w:w="1856"/>
        <w:gridCol w:w="7012"/>
      </w:tblGrid>
      <w:tr w:rsidTr="00D1032C">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MEA107</w:t>
            </w:r>
          </w:p>
        </w:tc>
        <w:tc>
          <w:tcPr>
            <w:tcW w:w="7012"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 xml:space="preserve">Interpret and use aviation maintenance industry manuals and </w:t>
            </w:r>
            <w:r w:rsidRPr="00D1032C">
              <w:t>specifications</w:t>
            </w:r>
          </w:p>
        </w:tc>
      </w:tr>
      <w:tr w:rsidTr="00D1032C">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MEA154</w:t>
            </w:r>
          </w:p>
        </w:tc>
        <w:tc>
          <w:tcPr>
            <w:tcW w:w="7012"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Apply work health and safety practices in aviation maintenance</w:t>
            </w:r>
          </w:p>
        </w:tc>
      </w:tr>
      <w:tr w:rsidTr="00D1032C">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MEA155</w:t>
            </w:r>
          </w:p>
        </w:tc>
        <w:tc>
          <w:tcPr>
            <w:tcW w:w="7012"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Plan and organise aviation maintenance work activities</w:t>
            </w:r>
          </w:p>
        </w:tc>
      </w:tr>
      <w:tr w:rsidTr="00D1032C">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MEA156</w:t>
            </w:r>
          </w:p>
        </w:tc>
        <w:tc>
          <w:tcPr>
            <w:tcW w:w="7012"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Apply quality standards during aviation maintenance activities</w:t>
            </w:r>
          </w:p>
        </w:tc>
      </w:tr>
      <w:tr w:rsidTr="00D1032C">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MEA157</w:t>
            </w:r>
          </w:p>
        </w:tc>
        <w:tc>
          <w:tcPr>
            <w:tcW w:w="7012"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Complete aviation maintenance industry documentation</w:t>
            </w:r>
          </w:p>
        </w:tc>
      </w:tr>
      <w:tr w:rsidTr="00D1032C">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MEA158</w:t>
            </w:r>
          </w:p>
        </w:tc>
        <w:tc>
          <w:tcPr>
            <w:tcW w:w="7012" w:type="dxa"/>
            <w:tcBorders>
              <w:top w:val="nil"/>
              <w:left w:val="nil"/>
              <w:bottom w:val="nil"/>
              <w:right w:val="nil"/>
            </w:tcBorders>
            <w:tcMar>
              <w:top w:w="0" w:type="dxa"/>
              <w:left w:w="62" w:type="dxa"/>
              <w:bottom w:w="0" w:type="dxa"/>
              <w:right w:w="62" w:type="dxa"/>
            </w:tcMar>
          </w:tcPr>
          <w:p w:rsidR="00000000" w:rsidRPr="00D1032C" w:rsidP="00D1032C">
            <w:pPr>
              <w:pStyle w:val="BodyText"/>
            </w:pPr>
            <w:r w:rsidRPr="00D1032C">
              <w:t>Perform basic hand skills, standard trade practices and fundamentals in aviation maintenance</w:t>
            </w:r>
          </w:p>
        </w:tc>
      </w:tr>
    </w:tbl>
    <w:p w:rsidR="00000000" w:rsidRPr="00D1032C" w:rsidP="00D1032C">
      <w:pPr>
        <w:pStyle w:val="BodyText"/>
      </w:pPr>
    </w:p>
    <w:p w:rsidR="00000000" w:rsidRPr="00D1032C" w:rsidP="00D1032C">
      <w:pPr>
        <w:pStyle w:val="AllowPageBreak"/>
      </w:pPr>
    </w:p>
    <w:p w:rsidR="00000000" w:rsidRPr="00D1032C" w:rsidP="00D1032C">
      <w:pPr>
        <w:pStyle w:val="Heading1"/>
      </w:pPr>
      <w:bookmarkStart w:id="4" w:name="O_997147"/>
      <w:bookmarkEnd w:id="4"/>
      <w:r w:rsidRPr="00D1032C">
        <w:t>Competency Field</w:t>
      </w:r>
    </w:p>
    <w:p w:rsidR="00000000" w:rsidRPr="00D1032C" w:rsidP="00FB7FF4">
      <w:pPr>
        <w:pStyle w:val="BodyText"/>
      </w:pPr>
      <w:r w:rsidRPr="00D1032C">
        <w:t>Aviation maintenance</w:t>
      </w:r>
    </w:p>
    <w:p w:rsidR="00000000" w:rsidRPr="00D1032C" w:rsidP="00D1032C">
      <w:pPr>
        <w:pStyle w:val="Heading1"/>
      </w:pPr>
      <w:bookmarkStart w:id="5" w:name="O_997146"/>
      <w:bookmarkEnd w:id="5"/>
      <w:r w:rsidRPr="00D1032C">
        <w:t>Unit Sector</w:t>
      </w:r>
    </w:p>
    <w:p w:rsidR="00000000" w:rsidRPr="00D1032C" w:rsidP="00D1032C">
      <w:pPr>
        <w:pStyle w:val="Heading1"/>
      </w:pPr>
      <w:bookmarkStart w:id="6" w:name="O_997145"/>
      <w:bookmarkEnd w:id="6"/>
      <w:r w:rsidRPr="00D1032C">
        <w:t>Elements and Performance Criteria</w:t>
      </w:r>
    </w:p>
    <w:tbl>
      <w:tblPr>
        <w:tblW w:w="9307" w:type="dxa"/>
        <w:tblLayout w:type="fixed"/>
        <w:tblCellMar>
          <w:left w:w="62" w:type="dxa"/>
          <w:right w:w="62" w:type="dxa"/>
        </w:tblCellMar>
        <w:tblLook w:val="0000"/>
      </w:tblPr>
      <w:tblGrid>
        <w:gridCol w:w="727"/>
        <w:gridCol w:w="2284"/>
        <w:gridCol w:w="913"/>
        <w:gridCol w:w="5383"/>
      </w:tblGrid>
      <w:tr w:rsidTr="00D1032C">
        <w:tblPrEx>
          <w:tblW w:w="9307" w:type="dxa"/>
          <w:tblLayout w:type="fixed"/>
          <w:tblCellMar>
            <w:left w:w="62" w:type="dxa"/>
            <w:right w:w="62" w:type="dxa"/>
          </w:tblCellMar>
          <w:tblLook w:val="0000"/>
        </w:tblPrEx>
        <w:tc>
          <w:tcPr>
            <w:tcW w:w="3011" w:type="dxa"/>
            <w:gridSpan w:val="2"/>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Elements describe the essential outcomes.</w:t>
            </w:r>
          </w:p>
        </w:tc>
        <w:tc>
          <w:tcPr>
            <w:tcW w:w="6296" w:type="dxa"/>
            <w:gridSpan w:val="2"/>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 xml:space="preserve">Performance criteria describe the performance needed to demonstrate achievement of the element. </w:t>
            </w:r>
          </w:p>
        </w:tc>
      </w:tr>
      <w:tr w:rsidTr="00D1032C">
        <w:tblPrEx>
          <w:tblW w:w="9307"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1.</w:t>
            </w:r>
          </w:p>
        </w:tc>
        <w:tc>
          <w:tcPr>
            <w:tcW w:w="2284"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Determine specialty coating requirements</w:t>
            </w:r>
          </w:p>
        </w:tc>
        <w:tc>
          <w:tcPr>
            <w:tcW w:w="913"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1.1</w:t>
            </w:r>
          </w:p>
        </w:tc>
        <w:tc>
          <w:tcPr>
            <w:tcW w:w="5383"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Specialty coating requirements are identified from maintenance documentation and enterprise procedures</w:t>
            </w:r>
          </w:p>
        </w:tc>
      </w:tr>
      <w:tr w:rsidTr="00D1032C">
        <w:tblPrEx>
          <w:tblW w:w="9307"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1.2</w:t>
            </w:r>
          </w:p>
        </w:tc>
        <w:tc>
          <w:tcPr>
            <w:tcW w:w="5383"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Enterprise procedures and maintenance publications are used to identify materials and tools to be used for specialty coating application</w:t>
            </w:r>
          </w:p>
        </w:tc>
      </w:tr>
      <w:tr w:rsidTr="00D1032C">
        <w:tblPrEx>
          <w:tblW w:w="9307"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1.3</w:t>
            </w:r>
          </w:p>
        </w:tc>
        <w:tc>
          <w:tcPr>
            <w:tcW w:w="5383"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Ai</w:t>
            </w:r>
            <w:r w:rsidRPr="00D1032C">
              <w:t>rcraft or component identification is matched with relevant maintenance documentation</w:t>
            </w:r>
          </w:p>
        </w:tc>
      </w:tr>
      <w:tr w:rsidTr="00D1032C">
        <w:tblPrEx>
          <w:tblW w:w="9307"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2.</w:t>
            </w:r>
          </w:p>
        </w:tc>
        <w:tc>
          <w:tcPr>
            <w:tcW w:w="2284"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Prepare surface for coating application</w:t>
            </w:r>
          </w:p>
        </w:tc>
        <w:tc>
          <w:tcPr>
            <w:tcW w:w="913"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2.1</w:t>
            </w:r>
          </w:p>
        </w:tc>
        <w:tc>
          <w:tcPr>
            <w:tcW w:w="5383"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Work health and safety (WHS) requirements are identified and complied with and p</w:t>
            </w:r>
            <w:r w:rsidRPr="00D1032C">
              <w:t>ersonal protective equipment (PPE) is checked for correct fit and function</w:t>
            </w:r>
          </w:p>
        </w:tc>
      </w:tr>
      <w:tr w:rsidTr="00D1032C">
        <w:tblPrEx>
          <w:tblW w:w="9307"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2.2</w:t>
            </w:r>
          </w:p>
        </w:tc>
        <w:tc>
          <w:tcPr>
            <w:tcW w:w="5383"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Materials and equipment required for specialty coating application are assembled</w:t>
            </w:r>
          </w:p>
        </w:tc>
      </w:tr>
      <w:tr w:rsidTr="00D1032C">
        <w:tblPrEx>
          <w:tblW w:w="9307"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2.3</w:t>
            </w:r>
          </w:p>
        </w:tc>
        <w:tc>
          <w:tcPr>
            <w:tcW w:w="5383"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Surfaces are cleaned and degreased in accordance with enterprise procedures</w:t>
            </w:r>
          </w:p>
        </w:tc>
      </w:tr>
      <w:tr w:rsidTr="00D1032C">
        <w:tblPrEx>
          <w:tblW w:w="9307"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2.4</w:t>
            </w:r>
          </w:p>
        </w:tc>
        <w:tc>
          <w:tcPr>
            <w:tcW w:w="5383"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Fin</w:t>
            </w:r>
            <w:r w:rsidRPr="00D1032C">
              <w:t>al finishing of surfaces is performed in accordance with enterprise procedures and/or process specifications</w:t>
            </w:r>
          </w:p>
        </w:tc>
      </w:tr>
      <w:tr w:rsidTr="00D1032C">
        <w:tblPrEx>
          <w:tblW w:w="9307"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2.5</w:t>
            </w:r>
          </w:p>
        </w:tc>
        <w:tc>
          <w:tcPr>
            <w:tcW w:w="5383"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Reject parts and surfaces are identified, recorded and reported in accordance with standard enterprise procedures</w:t>
            </w:r>
          </w:p>
        </w:tc>
      </w:tr>
      <w:tr w:rsidTr="00D1032C">
        <w:tblPrEx>
          <w:tblW w:w="9307"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2.6</w:t>
            </w:r>
          </w:p>
        </w:tc>
        <w:tc>
          <w:tcPr>
            <w:tcW w:w="5383"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Masking is applied to relevant areas</w:t>
            </w:r>
          </w:p>
        </w:tc>
      </w:tr>
      <w:tr w:rsidTr="00D1032C">
        <w:tblPrEx>
          <w:tblW w:w="9307"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3.</w:t>
            </w:r>
          </w:p>
        </w:tc>
        <w:tc>
          <w:tcPr>
            <w:tcW w:w="2284"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Prepare and apply coating</w:t>
            </w:r>
          </w:p>
        </w:tc>
        <w:tc>
          <w:tcPr>
            <w:tcW w:w="913"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3.1</w:t>
            </w:r>
          </w:p>
        </w:tc>
        <w:tc>
          <w:tcPr>
            <w:tcW w:w="5383"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The required coating is prepared in accordance with manufacturer’s specifications and directions while observing all relevant WHS requirements, including the use of material safety data</w:t>
            </w:r>
            <w:r w:rsidRPr="00D1032C">
              <w:t xml:space="preserve"> sheets (MSDS) and items of PPE</w:t>
            </w:r>
          </w:p>
        </w:tc>
      </w:tr>
      <w:tr w:rsidTr="00D1032C">
        <w:tblPrEx>
          <w:tblW w:w="9307"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3.2</w:t>
            </w:r>
          </w:p>
        </w:tc>
        <w:tc>
          <w:tcPr>
            <w:tcW w:w="5383"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Coating mix is inspected in accordance with enterprise procedures and/or process specifications</w:t>
            </w:r>
          </w:p>
        </w:tc>
      </w:tr>
      <w:tr w:rsidTr="00D1032C">
        <w:tblPrEx>
          <w:tblW w:w="9307"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3.3</w:t>
            </w:r>
          </w:p>
        </w:tc>
        <w:tc>
          <w:tcPr>
            <w:tcW w:w="5383"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 xml:space="preserve">Coating is applied to the required surfaces in accordance with enterprise procedures and/or process </w:t>
            </w:r>
            <w:r w:rsidRPr="00D1032C">
              <w:t>specifications</w:t>
            </w:r>
            <w:r w:rsidRPr="00D1032C">
              <w:t xml:space="preserve"> while observing all relevant WHS requirements, including the use of MSDS and items of PPE</w:t>
            </w:r>
          </w:p>
        </w:tc>
      </w:tr>
      <w:tr w:rsidTr="00D1032C">
        <w:tblPrEx>
          <w:tblW w:w="9307"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3.4</w:t>
            </w:r>
          </w:p>
        </w:tc>
        <w:tc>
          <w:tcPr>
            <w:tcW w:w="5383"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Coating is inspected for coating thickness and quality compliance with enterprise procedures and/or process specifications</w:t>
            </w:r>
          </w:p>
        </w:tc>
      </w:tr>
      <w:tr w:rsidTr="00D1032C">
        <w:tblPrEx>
          <w:tblW w:w="9307"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3.5</w:t>
            </w:r>
          </w:p>
        </w:tc>
        <w:tc>
          <w:tcPr>
            <w:tcW w:w="5383"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Defects in the coating are identified and rectified as required</w:t>
            </w:r>
          </w:p>
        </w:tc>
      </w:tr>
      <w:tr w:rsidTr="00D1032C">
        <w:tblPrEx>
          <w:tblW w:w="9307"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3.6</w:t>
            </w:r>
          </w:p>
        </w:tc>
        <w:tc>
          <w:tcPr>
            <w:tcW w:w="5383"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Masking materials are removed and final cleaning of surfaces is performed</w:t>
            </w:r>
          </w:p>
        </w:tc>
      </w:tr>
      <w:tr w:rsidTr="00D1032C">
        <w:tblPrEx>
          <w:tblW w:w="9307"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3.7</w:t>
            </w:r>
          </w:p>
        </w:tc>
        <w:tc>
          <w:tcPr>
            <w:tcW w:w="5383"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Documentation is completed in accordance with standard enterprise procedures</w:t>
            </w:r>
          </w:p>
        </w:tc>
      </w:tr>
      <w:tr w:rsidTr="00D1032C">
        <w:tblPrEx>
          <w:tblW w:w="9307"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4.</w:t>
            </w:r>
          </w:p>
        </w:tc>
        <w:tc>
          <w:tcPr>
            <w:tcW w:w="2284"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Clean up work area and maintain equipment</w:t>
            </w:r>
          </w:p>
        </w:tc>
        <w:tc>
          <w:tcPr>
            <w:tcW w:w="913"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4.1</w:t>
            </w:r>
          </w:p>
        </w:tc>
        <w:tc>
          <w:tcPr>
            <w:tcW w:w="5383"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Waste material is removed and disposed of or stored in accordance with legislative, regulatory and enterprise procedures</w:t>
            </w:r>
          </w:p>
        </w:tc>
      </w:tr>
      <w:tr w:rsidTr="00D1032C">
        <w:tblPrEx>
          <w:tblW w:w="9307"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4.2</w:t>
            </w:r>
          </w:p>
        </w:tc>
        <w:tc>
          <w:tcPr>
            <w:tcW w:w="5383"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Equipment is cleaned in accordance with enterprise procedures or manufacturer’s in</w:t>
            </w:r>
            <w:r w:rsidRPr="00D1032C">
              <w:t>structions</w:t>
            </w:r>
          </w:p>
        </w:tc>
      </w:tr>
      <w:tr w:rsidTr="00D1032C">
        <w:tblPrEx>
          <w:tblW w:w="9307"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4.3</w:t>
            </w:r>
          </w:p>
        </w:tc>
        <w:tc>
          <w:tcPr>
            <w:tcW w:w="5383"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Equipment is checked for serviceability and unserviceable items are dealt with in accordance with enterprise procedures</w:t>
            </w:r>
          </w:p>
        </w:tc>
      </w:tr>
      <w:tr w:rsidTr="00D1032C">
        <w:tblPrEx>
          <w:tblW w:w="9307"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4.4</w:t>
            </w:r>
          </w:p>
        </w:tc>
        <w:tc>
          <w:tcPr>
            <w:tcW w:w="5383"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Tools are cleaned and maintained in accordance with enterprise procedures</w:t>
            </w:r>
          </w:p>
        </w:tc>
      </w:tr>
      <w:tr w:rsidTr="00D1032C">
        <w:tblPrEx>
          <w:tblW w:w="9307"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4.5</w:t>
            </w:r>
          </w:p>
        </w:tc>
        <w:tc>
          <w:tcPr>
            <w:tcW w:w="5383" w:type="dxa"/>
            <w:tcBorders>
              <w:top w:val="nil"/>
              <w:left w:val="nil"/>
              <w:bottom w:val="nil"/>
              <w:right w:val="nil"/>
            </w:tcBorders>
            <w:tcMar>
              <w:top w:w="0" w:type="dxa"/>
              <w:left w:w="62" w:type="dxa"/>
              <w:bottom w:w="0" w:type="dxa"/>
              <w:right w:w="62" w:type="dxa"/>
            </w:tcMar>
          </w:tcPr>
          <w:p w:rsidR="00000000" w:rsidRPr="00D1032C" w:rsidP="00D1032C">
            <w:pPr>
              <w:pStyle w:val="BodyText"/>
            </w:pPr>
            <w:r w:rsidRPr="00D1032C">
              <w:t>Work area is cleaned and inspected for serviceable condition</w:t>
            </w:r>
          </w:p>
        </w:tc>
      </w:tr>
    </w:tbl>
    <w:p w:rsidR="00000000" w:rsidRPr="00D1032C" w:rsidP="00D1032C">
      <w:pPr>
        <w:pStyle w:val="BodyText"/>
      </w:pPr>
    </w:p>
    <w:p w:rsidR="00000000" w:rsidRPr="00D1032C" w:rsidP="00D1032C">
      <w:pPr>
        <w:pStyle w:val="AllowPageBreak"/>
      </w:pPr>
    </w:p>
    <w:p w:rsidR="00000000" w:rsidRPr="00D1032C" w:rsidP="00D1032C">
      <w:pPr>
        <w:pStyle w:val="Heading1"/>
      </w:pPr>
      <w:bookmarkStart w:id="7" w:name="O_997144"/>
      <w:bookmarkEnd w:id="7"/>
      <w:r w:rsidRPr="00D1032C">
        <w:t>Foundation Skills</w:t>
      </w:r>
    </w:p>
    <w:p w:rsidR="00000000" w:rsidRPr="00D1032C" w:rsidP="00FB7FF4">
      <w:pPr>
        <w:pStyle w:val="BodyText"/>
      </w:pPr>
      <w:r w:rsidRPr="00D1032C">
        <w:t>Foundation skills essential to performance are explicit in the performance criteria of this unit of competency.</w:t>
      </w:r>
    </w:p>
    <w:p w:rsidR="00000000" w:rsidRPr="00D1032C" w:rsidP="00D1032C">
      <w:pPr>
        <w:pStyle w:val="Heading1"/>
      </w:pPr>
      <w:bookmarkStart w:id="8" w:name="O_997143"/>
      <w:bookmarkEnd w:id="8"/>
      <w:r w:rsidRPr="00D1032C">
        <w:t>Range of Conditions</w:t>
      </w:r>
    </w:p>
    <w:tbl>
      <w:tblPr>
        <w:tblW w:w="0" w:type="auto"/>
        <w:tblLayout w:type="fixed"/>
        <w:tblCellMar>
          <w:left w:w="62" w:type="dxa"/>
          <w:right w:w="62" w:type="dxa"/>
        </w:tblCellMar>
        <w:tblLook w:val="0000"/>
      </w:tblPr>
      <w:tblGrid>
        <w:gridCol w:w="2970"/>
        <w:gridCol w:w="6102"/>
      </w:tblGrid>
      <w:tr w:rsidTr="00D1032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t>This fiel</w:t>
            </w:r>
            <w:r w:rsidRPr="00D1032C">
              <w:t>d allows for different work environments and conditions that may affect performance. Essential operating conditions that may be present (depending on the work situation, needs of the candidate, accessibility of the item, and local industry and regional con</w:t>
            </w:r>
            <w:r w:rsidRPr="00D1032C">
              <w:t>texts) are included.</w:t>
            </w:r>
          </w:p>
        </w:tc>
      </w:tr>
      <w:tr w:rsidTr="00D1032C">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rPr>
                <w:rStyle w:val="SpecialBold"/>
              </w:rPr>
              <w:t>Procedures and requirements include:</w:t>
            </w:r>
          </w:p>
        </w:tc>
        <w:tc>
          <w:tcPr>
            <w:tcW w:w="6102" w:type="dxa"/>
            <w:tcBorders>
              <w:top w:val="nil"/>
              <w:left w:val="nil"/>
              <w:bottom w:val="nil"/>
              <w:right w:val="nil"/>
            </w:tcBorders>
            <w:tcMar>
              <w:top w:w="0" w:type="dxa"/>
              <w:left w:w="62" w:type="dxa"/>
              <w:bottom w:w="0" w:type="dxa"/>
              <w:right w:w="62" w:type="dxa"/>
            </w:tcMar>
          </w:tcPr>
          <w:p w:rsidR="00000000" w:rsidP="00D1032C">
            <w:pPr>
              <w:pStyle w:val="ListBullet"/>
              <w:rPr>
                <w:lang w:val="en-NZ"/>
              </w:rPr>
            </w:pPr>
            <w:r w:rsidRPr="00D1032C">
              <w:t>Industry standard procedures specified by manufacturers, regulatory authorities or the enterprise</w:t>
            </w:r>
          </w:p>
        </w:tc>
      </w:tr>
      <w:tr w:rsidTr="00D1032C">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rPr>
                <w:rStyle w:val="SpecialBold"/>
              </w:rPr>
              <w:t>Specialty coatings include:</w:t>
            </w:r>
          </w:p>
        </w:tc>
        <w:tc>
          <w:tcPr>
            <w:tcW w:w="6102" w:type="dxa"/>
            <w:tcBorders>
              <w:top w:val="nil"/>
              <w:left w:val="nil"/>
              <w:bottom w:val="nil"/>
              <w:right w:val="nil"/>
            </w:tcBorders>
            <w:tcMar>
              <w:top w:w="0" w:type="dxa"/>
              <w:left w:w="62" w:type="dxa"/>
              <w:bottom w:w="0" w:type="dxa"/>
              <w:right w:w="62" w:type="dxa"/>
            </w:tcMar>
          </w:tcPr>
          <w:p w:rsidR="00000000" w:rsidRPr="00D1032C" w:rsidP="00D1032C">
            <w:pPr>
              <w:pStyle w:val="ListBullet"/>
            </w:pPr>
            <w:r w:rsidRPr="00D1032C">
              <w:t>Specialised inner layer coatings</w:t>
            </w:r>
          </w:p>
          <w:p w:rsidR="00000000" w:rsidRPr="00D1032C" w:rsidP="00D1032C">
            <w:pPr>
              <w:pStyle w:val="ListBullet"/>
            </w:pPr>
            <w:r w:rsidRPr="00D1032C">
              <w:t>Engine coatings</w:t>
            </w:r>
          </w:p>
          <w:p w:rsidR="00000000" w:rsidRPr="00D1032C" w:rsidP="00D1032C">
            <w:pPr>
              <w:pStyle w:val="ListBullet"/>
            </w:pPr>
            <w:r w:rsidRPr="00D1032C">
              <w:t>Leading edge coatings</w:t>
            </w:r>
          </w:p>
          <w:p w:rsidR="00000000" w:rsidRPr="00D1032C" w:rsidP="00D1032C">
            <w:pPr>
              <w:pStyle w:val="ListBullet"/>
            </w:pPr>
            <w:r w:rsidRPr="00D1032C">
              <w:t>Radome coatings</w:t>
            </w:r>
          </w:p>
          <w:p w:rsidR="00000000" w:rsidRPr="00D1032C" w:rsidP="00D1032C">
            <w:pPr>
              <w:pStyle w:val="ListBullet"/>
            </w:pPr>
            <w:r w:rsidRPr="00D1032C">
              <w:t>Waterborne heatproof paints</w:t>
            </w:r>
          </w:p>
          <w:p w:rsidR="00000000" w:rsidRPr="00D1032C" w:rsidP="00D1032C">
            <w:pPr>
              <w:pStyle w:val="ListBullet"/>
            </w:pPr>
            <w:r w:rsidRPr="00D1032C">
              <w:t>Walkway compounds</w:t>
            </w:r>
          </w:p>
          <w:p w:rsidR="00000000" w:rsidRPr="00D1032C" w:rsidP="00D1032C">
            <w:pPr>
              <w:pStyle w:val="ListBullet"/>
            </w:pPr>
            <w:r w:rsidRPr="00D1032C">
              <w:t>Fuel tank coatings</w:t>
            </w:r>
          </w:p>
          <w:p w:rsidR="00000000" w:rsidRPr="00D1032C" w:rsidP="00D1032C">
            <w:pPr>
              <w:pStyle w:val="ListBullet"/>
            </w:pPr>
            <w:r w:rsidRPr="00D1032C">
              <w:t>Heatproof coatings</w:t>
            </w:r>
          </w:p>
          <w:p w:rsidR="00000000" w:rsidP="00D1032C">
            <w:pPr>
              <w:pStyle w:val="ListBullet"/>
              <w:rPr>
                <w:lang w:val="en-NZ"/>
              </w:rPr>
            </w:pPr>
            <w:r w:rsidRPr="00D1032C">
              <w:t>Electrical conductive coatings</w:t>
            </w:r>
          </w:p>
        </w:tc>
      </w:tr>
      <w:tr w:rsidTr="00D1032C">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rPr>
                <w:rStyle w:val="SpecialBold"/>
              </w:rPr>
              <w:t>WHS requirements are identified from relevant:</w:t>
            </w:r>
          </w:p>
        </w:tc>
        <w:tc>
          <w:tcPr>
            <w:tcW w:w="6102" w:type="dxa"/>
            <w:tcBorders>
              <w:top w:val="nil"/>
              <w:left w:val="nil"/>
              <w:bottom w:val="nil"/>
              <w:right w:val="nil"/>
            </w:tcBorders>
            <w:tcMar>
              <w:top w:w="0" w:type="dxa"/>
              <w:left w:w="62" w:type="dxa"/>
              <w:bottom w:w="0" w:type="dxa"/>
              <w:right w:w="62" w:type="dxa"/>
            </w:tcMar>
          </w:tcPr>
          <w:p w:rsidR="00000000" w:rsidRPr="00D1032C" w:rsidP="00D1032C">
            <w:pPr>
              <w:pStyle w:val="ListBullet"/>
            </w:pPr>
            <w:r w:rsidRPr="00D1032C">
              <w:t>Commonwealth/state/territory WHS legislation, regulati</w:t>
            </w:r>
            <w:r w:rsidRPr="00D1032C">
              <w:t>ons and codes</w:t>
            </w:r>
          </w:p>
          <w:p w:rsidR="00000000" w:rsidRPr="00D1032C" w:rsidP="00D1032C">
            <w:pPr>
              <w:pStyle w:val="ListBullet"/>
            </w:pPr>
            <w:r w:rsidRPr="00D1032C">
              <w:t>Procedures manuals</w:t>
            </w:r>
          </w:p>
          <w:p w:rsidR="00000000" w:rsidRPr="00D1032C" w:rsidP="00D1032C">
            <w:pPr>
              <w:pStyle w:val="ListBullet"/>
            </w:pPr>
            <w:r w:rsidRPr="00D1032C">
              <w:t>Safety manuals</w:t>
            </w:r>
          </w:p>
          <w:p w:rsidR="00000000" w:rsidRPr="00D1032C" w:rsidP="00D1032C">
            <w:pPr>
              <w:pStyle w:val="ListBullet"/>
            </w:pPr>
            <w:r w:rsidRPr="00D1032C">
              <w:t>Work instructions</w:t>
            </w:r>
          </w:p>
          <w:p w:rsidR="00000000" w:rsidRPr="00D1032C" w:rsidP="00D1032C">
            <w:pPr>
              <w:pStyle w:val="ListBullet"/>
            </w:pPr>
            <w:r w:rsidRPr="00D1032C">
              <w:t>Maintenance organisation manuals</w:t>
            </w:r>
          </w:p>
          <w:p w:rsidR="00000000" w:rsidRPr="00D1032C" w:rsidP="00D1032C">
            <w:pPr>
              <w:pStyle w:val="ListBullet"/>
            </w:pPr>
            <w:r w:rsidRPr="00D1032C">
              <w:t>MSDS</w:t>
            </w:r>
          </w:p>
          <w:p w:rsidR="00000000" w:rsidRPr="00D1032C" w:rsidP="00D1032C">
            <w:pPr>
              <w:pStyle w:val="ListBullet"/>
            </w:pPr>
            <w:r w:rsidRPr="00D1032C">
              <w:t>Defence regulations and instructions</w:t>
            </w:r>
          </w:p>
          <w:p w:rsidR="00000000" w:rsidP="00D1032C">
            <w:pPr>
              <w:pStyle w:val="ListBullet"/>
              <w:rPr>
                <w:lang w:val="en-NZ"/>
              </w:rPr>
            </w:pPr>
            <w:r w:rsidRPr="00D1032C">
              <w:t>Standing instructions</w:t>
            </w:r>
          </w:p>
        </w:tc>
      </w:tr>
      <w:tr w:rsidTr="00D1032C">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rPr>
                <w:rStyle w:val="SpecialBold"/>
              </w:rPr>
              <w:t>Materials and equipment include:</w:t>
            </w:r>
          </w:p>
        </w:tc>
        <w:tc>
          <w:tcPr>
            <w:tcW w:w="6102" w:type="dxa"/>
            <w:tcBorders>
              <w:top w:val="nil"/>
              <w:left w:val="nil"/>
              <w:bottom w:val="nil"/>
              <w:right w:val="nil"/>
            </w:tcBorders>
            <w:tcMar>
              <w:top w:w="0" w:type="dxa"/>
              <w:left w:w="62" w:type="dxa"/>
              <w:bottom w:w="0" w:type="dxa"/>
              <w:right w:w="62" w:type="dxa"/>
            </w:tcMar>
          </w:tcPr>
          <w:p w:rsidR="00000000" w:rsidRPr="00D1032C" w:rsidP="00D1032C">
            <w:pPr>
              <w:pStyle w:val="ListBullet"/>
            </w:pPr>
            <w:r w:rsidRPr="00D1032C">
              <w:t>Chemicals</w:t>
            </w:r>
          </w:p>
          <w:p w:rsidR="00000000" w:rsidRPr="00D1032C" w:rsidP="00D1032C">
            <w:pPr>
              <w:pStyle w:val="ListBullet"/>
            </w:pPr>
            <w:r w:rsidRPr="00D1032C">
              <w:t>Cleaning materials</w:t>
            </w:r>
          </w:p>
          <w:p w:rsidR="00000000" w:rsidRPr="00D1032C" w:rsidP="00D1032C">
            <w:pPr>
              <w:pStyle w:val="ListBullet"/>
            </w:pPr>
            <w:r w:rsidRPr="00D1032C">
              <w:t>Specialty coating material</w:t>
            </w:r>
          </w:p>
          <w:p w:rsidR="00000000" w:rsidRPr="00D1032C" w:rsidP="00D1032C">
            <w:pPr>
              <w:pStyle w:val="ListBullet"/>
            </w:pPr>
            <w:r w:rsidRPr="00D1032C">
              <w:t>Various spray guns</w:t>
            </w:r>
          </w:p>
          <w:p w:rsidR="00000000" w:rsidRPr="00D1032C" w:rsidP="00D1032C">
            <w:pPr>
              <w:pStyle w:val="ListBullet"/>
            </w:pPr>
            <w:r w:rsidRPr="00D1032C">
              <w:t>Brush</w:t>
            </w:r>
          </w:p>
          <w:p w:rsidR="00000000" w:rsidRPr="00D1032C" w:rsidP="00D1032C">
            <w:pPr>
              <w:pStyle w:val="ListBullet"/>
            </w:pPr>
            <w:r w:rsidRPr="00D1032C">
              <w:t>Roller</w:t>
            </w:r>
          </w:p>
          <w:p w:rsidR="00000000" w:rsidRPr="00D1032C" w:rsidP="00D1032C">
            <w:pPr>
              <w:pStyle w:val="ListBullet"/>
            </w:pPr>
            <w:r w:rsidRPr="00D1032C">
              <w:t>Trowel</w:t>
            </w:r>
          </w:p>
          <w:p w:rsidR="00000000" w:rsidRPr="00D1032C" w:rsidP="00D1032C">
            <w:pPr>
              <w:pStyle w:val="ListBullet"/>
            </w:pPr>
            <w:r w:rsidRPr="00D1032C">
              <w:t xml:space="preserve">PPE </w:t>
            </w:r>
          </w:p>
          <w:p w:rsidR="00000000" w:rsidRPr="00D1032C" w:rsidP="00D1032C">
            <w:pPr>
              <w:pStyle w:val="ListBullet"/>
            </w:pPr>
            <w:r w:rsidRPr="00D1032C">
              <w:t>Baking oven</w:t>
            </w:r>
          </w:p>
          <w:p w:rsidR="00000000" w:rsidRPr="00D1032C" w:rsidP="00D1032C">
            <w:pPr>
              <w:pStyle w:val="ListBullet"/>
            </w:pPr>
            <w:r w:rsidRPr="00D1032C">
              <w:t>Heat lamps</w:t>
            </w:r>
          </w:p>
          <w:p w:rsidR="00000000" w:rsidRPr="00D1032C" w:rsidP="00D1032C">
            <w:pPr>
              <w:pStyle w:val="ListBullet"/>
            </w:pPr>
            <w:r w:rsidRPr="00D1032C">
              <w:t>Electrical test equipment</w:t>
            </w:r>
          </w:p>
          <w:p w:rsidR="00000000" w:rsidP="00D1032C">
            <w:pPr>
              <w:pStyle w:val="ListBullet"/>
              <w:rPr>
                <w:lang w:val="en-NZ"/>
              </w:rPr>
            </w:pPr>
            <w:r w:rsidRPr="00D1032C">
              <w:t>Wet film thickness gauges</w:t>
            </w:r>
          </w:p>
        </w:tc>
      </w:tr>
      <w:tr w:rsidTr="00D1032C">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rPr>
                <w:rStyle w:val="SpecialBold"/>
              </w:rPr>
              <w:t>Defects in the coating include:</w:t>
            </w:r>
          </w:p>
        </w:tc>
        <w:tc>
          <w:tcPr>
            <w:tcW w:w="6102" w:type="dxa"/>
            <w:tcBorders>
              <w:top w:val="nil"/>
              <w:left w:val="nil"/>
              <w:bottom w:val="nil"/>
              <w:right w:val="nil"/>
            </w:tcBorders>
            <w:tcMar>
              <w:top w:w="0" w:type="dxa"/>
              <w:left w:w="62" w:type="dxa"/>
              <w:bottom w:w="0" w:type="dxa"/>
              <w:right w:w="62" w:type="dxa"/>
            </w:tcMar>
          </w:tcPr>
          <w:p w:rsidR="00000000" w:rsidRPr="00D1032C" w:rsidP="00D1032C">
            <w:pPr>
              <w:pStyle w:val="ListBullet"/>
            </w:pPr>
            <w:r w:rsidRPr="00D1032C">
              <w:t>Sags</w:t>
            </w:r>
          </w:p>
          <w:p w:rsidR="00000000" w:rsidRPr="00D1032C" w:rsidP="00D1032C">
            <w:pPr>
              <w:pStyle w:val="ListBullet"/>
            </w:pPr>
            <w:r w:rsidRPr="00D1032C">
              <w:t>Runs</w:t>
            </w:r>
          </w:p>
          <w:p w:rsidR="00000000" w:rsidRPr="00D1032C" w:rsidP="00D1032C">
            <w:pPr>
              <w:pStyle w:val="ListBullet"/>
            </w:pPr>
            <w:r w:rsidRPr="00D1032C">
              <w:t>Delamination</w:t>
            </w:r>
          </w:p>
          <w:p w:rsidR="00000000" w:rsidRPr="00D1032C" w:rsidP="00D1032C">
            <w:pPr>
              <w:pStyle w:val="ListBullet"/>
            </w:pPr>
            <w:r w:rsidRPr="00D1032C">
              <w:t>Imperfections</w:t>
            </w:r>
          </w:p>
          <w:p w:rsidR="00000000" w:rsidRPr="00D1032C" w:rsidP="00D1032C">
            <w:pPr>
              <w:pStyle w:val="ListBullet"/>
            </w:pPr>
            <w:r w:rsidRPr="00D1032C">
              <w:t>Dry spray</w:t>
            </w:r>
          </w:p>
          <w:p w:rsidR="00000000" w:rsidRPr="00D1032C" w:rsidP="00D1032C">
            <w:pPr>
              <w:pStyle w:val="ListBullet"/>
            </w:pPr>
            <w:r w:rsidRPr="00D1032C">
              <w:t>Contamination</w:t>
            </w:r>
          </w:p>
          <w:p w:rsidR="00000000" w:rsidRPr="00D1032C" w:rsidP="00D1032C">
            <w:pPr>
              <w:pStyle w:val="ListBullet"/>
            </w:pPr>
            <w:r w:rsidRPr="00D1032C">
              <w:t>Over-spray</w:t>
            </w:r>
          </w:p>
          <w:p w:rsidR="00000000" w:rsidP="00D1032C">
            <w:pPr>
              <w:pStyle w:val="ListBullet"/>
              <w:rPr>
                <w:lang w:val="en-NZ"/>
              </w:rPr>
            </w:pPr>
            <w:r w:rsidRPr="00D1032C">
              <w:t>Egress</w:t>
            </w:r>
          </w:p>
        </w:tc>
      </w:tr>
      <w:tr w:rsidTr="00D1032C">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D1032C">
            <w:pPr>
              <w:pStyle w:val="BodyText"/>
              <w:rPr>
                <w:lang w:val="en-NZ"/>
              </w:rPr>
            </w:pPr>
            <w:r w:rsidRPr="00D1032C">
              <w:rPr>
                <w:rStyle w:val="SpecialBold"/>
              </w:rPr>
              <w:t>Legislative, regulatory and enterprise procedures include:</w:t>
            </w:r>
          </w:p>
        </w:tc>
        <w:tc>
          <w:tcPr>
            <w:tcW w:w="6102" w:type="dxa"/>
            <w:tcBorders>
              <w:top w:val="nil"/>
              <w:left w:val="nil"/>
              <w:bottom w:val="nil"/>
              <w:right w:val="nil"/>
            </w:tcBorders>
            <w:tcMar>
              <w:top w:w="0" w:type="dxa"/>
              <w:left w:w="62" w:type="dxa"/>
              <w:bottom w:w="0" w:type="dxa"/>
              <w:right w:w="62" w:type="dxa"/>
            </w:tcMar>
          </w:tcPr>
          <w:p w:rsidR="00000000" w:rsidRPr="00D1032C" w:rsidP="00D1032C">
            <w:pPr>
              <w:pStyle w:val="ListBullet"/>
            </w:pPr>
            <w:r w:rsidRPr="00D1032C">
              <w:t>Commonwealth/state/territory environmental legislation, regulations and codes for the storage and disposal of hazardous and toxic materials</w:t>
            </w:r>
          </w:p>
          <w:p w:rsidR="00000000" w:rsidRPr="00D1032C" w:rsidP="00D1032C">
            <w:pPr>
              <w:pStyle w:val="ListBullet"/>
            </w:pPr>
            <w:r w:rsidRPr="00D1032C">
              <w:t>MSDS</w:t>
            </w:r>
          </w:p>
          <w:p w:rsidR="00000000" w:rsidRPr="00D1032C" w:rsidP="00D1032C">
            <w:pPr>
              <w:pStyle w:val="ListBullet"/>
            </w:pPr>
            <w:r w:rsidRPr="00D1032C">
              <w:t>Maintenance organisation manuals</w:t>
            </w:r>
          </w:p>
          <w:p w:rsidR="00000000" w:rsidRPr="00D1032C" w:rsidP="00D1032C">
            <w:pPr>
              <w:pStyle w:val="ListBullet"/>
            </w:pPr>
            <w:r w:rsidRPr="00D1032C">
              <w:t>Procedures manuals</w:t>
            </w:r>
          </w:p>
          <w:p w:rsidR="00000000" w:rsidRPr="00D1032C" w:rsidP="00D1032C">
            <w:pPr>
              <w:pStyle w:val="ListBullet"/>
            </w:pPr>
            <w:r w:rsidRPr="00D1032C">
              <w:t>Work instructions</w:t>
            </w:r>
          </w:p>
          <w:p w:rsidR="00000000" w:rsidRPr="00D1032C" w:rsidP="00D1032C">
            <w:pPr>
              <w:pStyle w:val="ListBullet"/>
            </w:pPr>
            <w:r w:rsidRPr="00D1032C">
              <w:t>Relevant Defence regulations and instructions</w:t>
            </w:r>
          </w:p>
          <w:p w:rsidR="00000000" w:rsidRPr="00D1032C" w:rsidP="00D1032C">
            <w:pPr>
              <w:pStyle w:val="ListBullet"/>
            </w:pPr>
            <w:r w:rsidRPr="00D1032C">
              <w:t>Standing instructions</w:t>
            </w:r>
          </w:p>
        </w:tc>
      </w:tr>
    </w:tbl>
    <w:p w:rsidR="00000000" w:rsidRPr="00D1032C" w:rsidP="00D1032C">
      <w:pPr>
        <w:pStyle w:val="BodyText"/>
      </w:pPr>
    </w:p>
    <w:p w:rsidR="00000000" w:rsidRPr="00D1032C" w:rsidP="00D1032C">
      <w:pPr>
        <w:pStyle w:val="AllowPageBreak"/>
      </w:pPr>
    </w:p>
    <w:p w:rsidR="00000000" w:rsidRPr="00D1032C" w:rsidP="00D1032C">
      <w:pPr>
        <w:pStyle w:val="Heading1"/>
      </w:pPr>
      <w:bookmarkStart w:id="9" w:name="O_997142"/>
      <w:bookmarkEnd w:id="9"/>
      <w:r w:rsidRPr="00D1032C">
        <w:t>Unit Mapping Information</w:t>
      </w:r>
    </w:p>
    <w:p w:rsidR="00000000" w:rsidRPr="00D1032C" w:rsidP="00FB7FF4">
      <w:pPr>
        <w:pStyle w:val="BodyText"/>
      </w:pPr>
      <w:r w:rsidRPr="00D1032C">
        <w:t>Release 2. Equivalent to MEA417 Apply specialty coatings to aircraft</w:t>
      </w:r>
    </w:p>
    <w:p w:rsidR="00000000" w:rsidRPr="00D1032C" w:rsidP="00D1032C">
      <w:pPr>
        <w:pStyle w:val="Heading1"/>
      </w:pPr>
      <w:bookmarkStart w:id="10" w:name="O_997151"/>
      <w:bookmarkEnd w:id="10"/>
      <w:r w:rsidRPr="00D1032C">
        <w:t>Links</w:t>
      </w:r>
    </w:p>
    <w:p w:rsidR="00000000" w:rsidRPr="00D1032C" w:rsidP="00FB7FF4">
      <w:pPr>
        <w:pStyle w:val="BodyText"/>
      </w:pPr>
      <w:r w:rsidRPr="00D1032C">
        <w:t>Companion Volume implementation g</w:t>
      </w:r>
      <w:r w:rsidRPr="00D1032C">
        <w:t xml:space="preserve">uides are found in VETNet - </w:t>
      </w:r>
      <w:r>
        <w:fldChar w:fldCharType="begin"/>
      </w:r>
      <w:r>
        <w:instrText xml:space="preserve"> HYPERLINK "https://vetnet.education.gov.au/Pages/TrainingDocs.aspx?q=ce216c9c-04d5-4b3b-9bcf-4e81d0950371" </w:instrText>
      </w:r>
      <w:r>
        <w:fldChar w:fldCharType="separate"/>
      </w:r>
      <w:r w:rsidRPr="001372DC">
        <w:rPr>
          <w:rStyle w:val="Hyperlink"/>
        </w:rPr>
        <w:t>https://vetnet.education.gov.au/Pages/TrainingDocs.aspx?q=ce216c9c-04d5-4b3b-9bcf-4e81d0950371</w:t>
      </w:r>
      <w:r>
        <w:fldChar w:fldCharType="end"/>
      </w:r>
    </w:p>
    <w:p w:rsidR="00000000" w:rsidRPr="00D1032C" w:rsidP="00D1032C"/>
    <w:sectPr w:rsidSect="00D103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3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32C" w:rsidRPr="00FB7FF4" w:rsidP="00FB7F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3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FF4" w:rsidP="00D103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B7FF4" w:rsidP="00D1032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B7FF4" w:rsidP="00D103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3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F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032C" w:rsidRPr="00FB7FF4" w:rsidP="00FB7F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3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FF4" w:rsidRPr="002D2AF8" w:rsidP="00D1032C">
    <w:pPr>
      <w:pStyle w:val="Header"/>
      <w:framePr w:wrap="around"/>
    </w:pPr>
    <w:r>
      <w:fldChar w:fldCharType="begin"/>
    </w:r>
    <w:r>
      <w:instrText xml:space="preserve"> TITLE   \* MERGEFORMAT </w:instrText>
    </w:r>
    <w:r>
      <w:fldChar w:fldCharType="separate"/>
    </w:r>
    <w:r>
      <w:t>MEA417 Apply specialty coatings to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FB7FF4" w:rsidP="00D103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2FE15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7786E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3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032C"/>
    <w:pPr>
      <w:spacing w:before="360" w:after="60"/>
      <w:outlineLvl w:val="0"/>
    </w:pPr>
    <w:rPr>
      <w:sz w:val="32"/>
    </w:rPr>
  </w:style>
  <w:style w:type="paragraph" w:styleId="Heading2">
    <w:name w:val="heading 2"/>
    <w:basedOn w:val="HeadingBase"/>
    <w:next w:val="BodyText"/>
    <w:link w:val="Heading2Char"/>
    <w:qFormat/>
    <w:rsid w:val="00D1032C"/>
    <w:pPr>
      <w:keepLines/>
      <w:spacing w:before="240" w:after="120"/>
      <w:outlineLvl w:val="1"/>
    </w:pPr>
    <w:rPr>
      <w:sz w:val="28"/>
      <w:szCs w:val="40"/>
    </w:rPr>
  </w:style>
  <w:style w:type="paragraph" w:styleId="Heading3">
    <w:name w:val="heading 3"/>
    <w:basedOn w:val="HeadingBase"/>
    <w:next w:val="BodyText"/>
    <w:link w:val="Heading3Char"/>
    <w:qFormat/>
    <w:rsid w:val="00D1032C"/>
    <w:pPr>
      <w:spacing w:before="180" w:after="120"/>
      <w:outlineLvl w:val="2"/>
    </w:pPr>
    <w:rPr>
      <w:spacing w:val="-10"/>
      <w:kern w:val="32"/>
    </w:rPr>
  </w:style>
  <w:style w:type="paragraph" w:styleId="Heading4">
    <w:name w:val="heading 4"/>
    <w:basedOn w:val="HeadingBase"/>
    <w:next w:val="BodyText"/>
    <w:link w:val="Heading4Char"/>
    <w:qFormat/>
    <w:rsid w:val="00D1032C"/>
    <w:pPr>
      <w:spacing w:before="160" w:after="120"/>
      <w:outlineLvl w:val="3"/>
    </w:pPr>
    <w:rPr>
      <w:sz w:val="22"/>
    </w:rPr>
  </w:style>
  <w:style w:type="paragraph" w:styleId="Heading5">
    <w:name w:val="heading 5"/>
    <w:basedOn w:val="HeadingBase"/>
    <w:next w:val="Normal"/>
    <w:link w:val="Heading5Char"/>
    <w:qFormat/>
    <w:rsid w:val="00D1032C"/>
    <w:pPr>
      <w:spacing w:before="80"/>
      <w:outlineLvl w:val="4"/>
    </w:pPr>
    <w:rPr>
      <w:color w:val="918585"/>
      <w:sz w:val="20"/>
    </w:rPr>
  </w:style>
  <w:style w:type="paragraph" w:styleId="Heading6">
    <w:name w:val="heading 6"/>
    <w:basedOn w:val="HeadingBase"/>
    <w:next w:val="Normal"/>
    <w:link w:val="Heading6Char"/>
    <w:qFormat/>
    <w:rsid w:val="00D1032C"/>
    <w:pPr>
      <w:spacing w:before="60"/>
      <w:outlineLvl w:val="5"/>
    </w:pPr>
    <w:rPr>
      <w:color w:val="918585"/>
      <w:sz w:val="20"/>
    </w:rPr>
  </w:style>
  <w:style w:type="paragraph" w:styleId="Heading7">
    <w:name w:val="heading 7"/>
    <w:basedOn w:val="Normal"/>
    <w:next w:val="Normal"/>
    <w:link w:val="Heading7Char"/>
    <w:qFormat/>
    <w:rsid w:val="00D1032C"/>
    <w:pPr>
      <w:ind w:left="720"/>
      <w:outlineLvl w:val="6"/>
    </w:pPr>
    <w:rPr>
      <w:i/>
    </w:rPr>
  </w:style>
  <w:style w:type="paragraph" w:styleId="Heading8">
    <w:name w:val="heading 8"/>
    <w:basedOn w:val="Normal"/>
    <w:next w:val="Normal"/>
    <w:link w:val="Heading8Char"/>
    <w:qFormat/>
    <w:rsid w:val="00D1032C"/>
    <w:pPr>
      <w:ind w:left="720"/>
      <w:outlineLvl w:val="7"/>
    </w:pPr>
    <w:rPr>
      <w:i/>
    </w:rPr>
  </w:style>
  <w:style w:type="paragraph" w:styleId="Heading9">
    <w:name w:val="heading 9"/>
    <w:basedOn w:val="Normal"/>
    <w:next w:val="Normal"/>
    <w:link w:val="Heading9Char"/>
    <w:qFormat/>
    <w:rsid w:val="00D1032C"/>
    <w:pPr>
      <w:ind w:left="720"/>
      <w:outlineLvl w:val="8"/>
    </w:pPr>
    <w:rPr>
      <w:i/>
    </w:rPr>
  </w:style>
  <w:style w:type="character" w:default="1" w:styleId="DefaultParagraphFont">
    <w:name w:val="Default Paragraph Font"/>
    <w:uiPriority w:val="1"/>
    <w:unhideWhenUsed/>
    <w:rsid w:val="00D103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032C"/>
  </w:style>
  <w:style w:type="character" w:customStyle="1" w:styleId="Heading1Char">
    <w:name w:val="Heading 1 Char"/>
    <w:basedOn w:val="DefaultParagraphFont"/>
    <w:link w:val="Heading1"/>
    <w:rsid w:val="00D1032C"/>
    <w:rPr>
      <w:rFonts w:ascii="Times New Roman" w:eastAsia="Times New Roman" w:hAnsi="Times New Roman" w:cs="Times New Roman"/>
      <w:b/>
      <w:sz w:val="32"/>
      <w:szCs w:val="20"/>
      <w:lang w:eastAsia="en-US"/>
    </w:rPr>
  </w:style>
  <w:style w:type="paragraph" w:styleId="BodyText">
    <w:name w:val="Body Text"/>
    <w:basedOn w:val="Normal"/>
    <w:link w:val="BodyTextChar"/>
    <w:rsid w:val="00D103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032C"/>
    <w:rPr>
      <w:rFonts w:ascii="Times New Roman" w:eastAsia="Times New Roman" w:hAnsi="Times New Roman" w:cs="Times New Roman"/>
      <w:sz w:val="24"/>
      <w:lang w:eastAsia="en-US"/>
    </w:rPr>
  </w:style>
  <w:style w:type="paragraph" w:styleId="ListBullet">
    <w:name w:val="List Bullet"/>
    <w:basedOn w:val="List"/>
    <w:rsid w:val="00D1032C"/>
    <w:pPr>
      <w:numPr>
        <w:numId w:val="11"/>
      </w:numPr>
      <w:tabs>
        <w:tab w:val="clear" w:pos="340"/>
      </w:tabs>
      <w:spacing w:before="40" w:after="40"/>
    </w:pPr>
  </w:style>
  <w:style w:type="character" w:customStyle="1" w:styleId="SpecialBold">
    <w:name w:val="Special Bold"/>
    <w:basedOn w:val="DefaultParagraphFont"/>
    <w:rsid w:val="00D1032C"/>
    <w:rPr>
      <w:b/>
      <w:spacing w:val="0"/>
    </w:rPr>
  </w:style>
  <w:style w:type="paragraph" w:customStyle="1" w:styleId="SuperHeading">
    <w:name w:val="SuperHeading"/>
    <w:basedOn w:val="Normal"/>
    <w:rsid w:val="00D1032C"/>
    <w:pPr>
      <w:spacing w:before="240" w:after="120"/>
      <w:outlineLvl w:val="0"/>
    </w:pPr>
    <w:rPr>
      <w:rFonts w:ascii="Times New Roman" w:hAnsi="Times New Roman"/>
      <w:b/>
      <w:sz w:val="32"/>
    </w:rPr>
  </w:style>
  <w:style w:type="paragraph" w:customStyle="1" w:styleId="AllowPageBreak">
    <w:name w:val="AllowPageBreak"/>
    <w:rsid w:val="00D103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03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03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03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03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03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03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03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032C"/>
    <w:rPr>
      <w:rFonts w:ascii="Courier New" w:eastAsia="Times New Roman" w:hAnsi="Courier New" w:cs="Times New Roman"/>
      <w:i/>
      <w:szCs w:val="20"/>
      <w:lang w:eastAsia="en-US"/>
    </w:rPr>
  </w:style>
  <w:style w:type="paragraph" w:customStyle="1" w:styleId="HeadingBase">
    <w:name w:val="Heading Base"/>
    <w:rsid w:val="00D103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032C"/>
    <w:pPr>
      <w:tabs>
        <w:tab w:val="right" w:leader="dot" w:pos="9072"/>
      </w:tabs>
      <w:ind w:left="567"/>
    </w:pPr>
    <w:rPr>
      <w:szCs w:val="22"/>
    </w:rPr>
  </w:style>
  <w:style w:type="paragraph" w:customStyle="1" w:styleId="TOCBase">
    <w:name w:val="TOC Base"/>
    <w:rsid w:val="00D103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032C"/>
    <w:pPr>
      <w:tabs>
        <w:tab w:val="right" w:leader="dot" w:pos="9072"/>
      </w:tabs>
      <w:spacing w:before="40" w:after="40"/>
      <w:ind w:left="284"/>
    </w:pPr>
    <w:rPr>
      <w:rFonts w:ascii="Times New Roman" w:hAnsi="Times New Roman"/>
    </w:rPr>
  </w:style>
  <w:style w:type="paragraph" w:styleId="TOC1">
    <w:name w:val="toc 1"/>
    <w:basedOn w:val="TOCBase"/>
    <w:next w:val="Normal"/>
    <w:rsid w:val="00D103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03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032C"/>
    <w:rPr>
      <w:rFonts w:ascii="Times New Roman" w:eastAsia="Times New Roman" w:hAnsi="Times New Roman" w:cs="Times New Roman"/>
      <w:sz w:val="16"/>
      <w:lang w:eastAsia="en-US"/>
    </w:rPr>
  </w:style>
  <w:style w:type="paragraph" w:styleId="Title">
    <w:name w:val="Title"/>
    <w:basedOn w:val="HeadingBase"/>
    <w:link w:val="TitleChar"/>
    <w:qFormat/>
    <w:rsid w:val="00D1032C"/>
    <w:pPr>
      <w:spacing w:before="5040"/>
      <w:jc w:val="center"/>
    </w:pPr>
    <w:rPr>
      <w:sz w:val="48"/>
      <w:szCs w:val="72"/>
      <w:lang w:val="en-US"/>
    </w:rPr>
  </w:style>
  <w:style w:type="character" w:customStyle="1" w:styleId="TitleChar">
    <w:name w:val="Title Char"/>
    <w:basedOn w:val="DefaultParagraphFont"/>
    <w:link w:val="Title"/>
    <w:rsid w:val="00D103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032C"/>
    <w:pPr>
      <w:tabs>
        <w:tab w:val="left" w:pos="3600"/>
        <w:tab w:val="left" w:pos="3958"/>
      </w:tabs>
    </w:pPr>
  </w:style>
  <w:style w:type="paragraph" w:styleId="List">
    <w:name w:val="List"/>
    <w:basedOn w:val="BodyText"/>
    <w:next w:val="BodyText"/>
    <w:rsid w:val="00D1032C"/>
    <w:pPr>
      <w:tabs>
        <w:tab w:val="left" w:pos="340"/>
      </w:tabs>
      <w:spacing w:before="60" w:after="60"/>
      <w:ind w:left="340" w:hanging="340"/>
    </w:pPr>
  </w:style>
  <w:style w:type="paragraph" w:customStyle="1" w:styleId="Note">
    <w:name w:val="Note"/>
    <w:basedOn w:val="BodyText"/>
    <w:rsid w:val="00D103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032C"/>
    <w:pPr>
      <w:framePr w:wrap="auto" w:hAnchor="text" w:y="6049"/>
    </w:pPr>
    <w:rPr>
      <w:color w:val="000000"/>
      <w:sz w:val="40"/>
    </w:rPr>
  </w:style>
  <w:style w:type="paragraph" w:customStyle="1" w:styleId="TOCTitle">
    <w:name w:val="TOCTitle"/>
    <w:basedOn w:val="Heading1"/>
    <w:rsid w:val="00D1032C"/>
    <w:pPr>
      <w:spacing w:after="240"/>
      <w:jc w:val="center"/>
      <w:outlineLvl w:val="9"/>
    </w:pPr>
    <w:rPr>
      <w:caps/>
    </w:rPr>
  </w:style>
  <w:style w:type="paragraph" w:customStyle="1" w:styleId="Version">
    <w:name w:val="Version"/>
    <w:rsid w:val="00D103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032C"/>
    <w:pPr>
      <w:numPr>
        <w:numId w:val="12"/>
      </w:numPr>
      <w:tabs>
        <w:tab w:val="clear" w:pos="680"/>
      </w:tabs>
    </w:pPr>
  </w:style>
  <w:style w:type="paragraph" w:styleId="Index1">
    <w:name w:val="index 1"/>
    <w:basedOn w:val="Normal"/>
    <w:next w:val="Normal"/>
    <w:semiHidden/>
    <w:rsid w:val="00D1032C"/>
    <w:pPr>
      <w:keepNext w:val="0"/>
      <w:tabs>
        <w:tab w:val="right" w:pos="4176"/>
      </w:tabs>
      <w:ind w:left="198" w:hanging="198"/>
    </w:pPr>
    <w:rPr>
      <w:rFonts w:ascii="Garamond" w:hAnsi="Garamond"/>
    </w:rPr>
  </w:style>
  <w:style w:type="paragraph" w:styleId="IndexHeading">
    <w:name w:val="index heading"/>
    <w:basedOn w:val="Normal"/>
    <w:next w:val="Index1"/>
    <w:semiHidden/>
    <w:rsid w:val="00D1032C"/>
    <w:pPr>
      <w:spacing w:before="120" w:after="120"/>
    </w:pPr>
    <w:rPr>
      <w:rFonts w:ascii="Arial" w:hAnsi="Arial"/>
      <w:b/>
      <w:color w:val="918585"/>
      <w:sz w:val="24"/>
    </w:rPr>
  </w:style>
  <w:style w:type="paragraph" w:styleId="Header">
    <w:name w:val="header"/>
    <w:basedOn w:val="Normal"/>
    <w:link w:val="HeaderChar"/>
    <w:rsid w:val="00D103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032C"/>
    <w:rPr>
      <w:rFonts w:ascii="Times New Roman" w:eastAsia="Times New Roman" w:hAnsi="Times New Roman" w:cs="Times New Roman"/>
      <w:sz w:val="16"/>
      <w:szCs w:val="20"/>
      <w:lang w:val="en-GB" w:eastAsia="en-US"/>
    </w:rPr>
  </w:style>
  <w:style w:type="paragraph" w:customStyle="1" w:styleId="Chapter">
    <w:name w:val="Chapter"/>
    <w:basedOn w:val="Normal"/>
    <w:rsid w:val="00D1032C"/>
    <w:pPr>
      <w:spacing w:before="240"/>
    </w:pPr>
    <w:rPr>
      <w:rFonts w:ascii="Times New Roman" w:hAnsi="Times New Roman"/>
      <w:smallCaps/>
      <w:spacing w:val="80"/>
      <w:sz w:val="28"/>
    </w:rPr>
  </w:style>
  <w:style w:type="paragraph" w:customStyle="1" w:styleId="InChapter">
    <w:name w:val="InChapter"/>
    <w:basedOn w:val="Heading3"/>
    <w:rsid w:val="00D1032C"/>
    <w:pPr>
      <w:spacing w:after="240"/>
      <w:outlineLvl w:val="9"/>
    </w:pPr>
    <w:rPr>
      <w:noProof/>
    </w:rPr>
  </w:style>
  <w:style w:type="paragraph" w:styleId="Index2">
    <w:name w:val="index 2"/>
    <w:basedOn w:val="Normal"/>
    <w:next w:val="Normal"/>
    <w:semiHidden/>
    <w:rsid w:val="00D1032C"/>
    <w:pPr>
      <w:tabs>
        <w:tab w:val="right" w:pos="4176"/>
      </w:tabs>
      <w:ind w:left="568" w:hanging="284"/>
    </w:pPr>
    <w:rPr>
      <w:rFonts w:ascii="Garamond" w:hAnsi="Garamond"/>
    </w:rPr>
  </w:style>
  <w:style w:type="paragraph" w:customStyle="1" w:styleId="Byline">
    <w:name w:val="Byline"/>
    <w:rsid w:val="00D103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032C"/>
    <w:pPr>
      <w:tabs>
        <w:tab w:val="clear" w:pos="3600"/>
        <w:tab w:val="clear" w:pos="3958"/>
      </w:tabs>
      <w:jc w:val="right"/>
    </w:pPr>
  </w:style>
  <w:style w:type="character" w:styleId="Emphasis">
    <w:name w:val="Emphasis"/>
    <w:basedOn w:val="DefaultParagraphFont"/>
    <w:qFormat/>
    <w:rsid w:val="00D1032C"/>
    <w:rPr>
      <w:i/>
    </w:rPr>
  </w:style>
  <w:style w:type="paragraph" w:styleId="Caption">
    <w:name w:val="caption"/>
    <w:basedOn w:val="BodyText"/>
    <w:next w:val="Normal"/>
    <w:qFormat/>
    <w:rsid w:val="00D1032C"/>
    <w:pPr>
      <w:framePr w:w="2268" w:hSpace="181" w:vSpace="181" w:wrap="around" w:vAnchor="text" w:hAnchor="page" w:x="1135" w:y="285" w:anchorLock="1"/>
    </w:pPr>
    <w:rPr>
      <w:i/>
    </w:rPr>
  </w:style>
  <w:style w:type="paragraph" w:customStyle="1" w:styleId="MiniTOCTitle">
    <w:name w:val="MiniTOCTitle"/>
    <w:basedOn w:val="Heading4"/>
    <w:rsid w:val="00D1032C"/>
    <w:pPr>
      <w:spacing w:before="240"/>
      <w:outlineLvl w:val="9"/>
    </w:pPr>
    <w:rPr>
      <w:noProof/>
      <w:sz w:val="24"/>
    </w:rPr>
  </w:style>
  <w:style w:type="paragraph" w:customStyle="1" w:styleId="MiniTOCItem">
    <w:name w:val="MiniTOCItem"/>
    <w:basedOn w:val="ListBullet"/>
    <w:rsid w:val="00D1032C"/>
    <w:pPr>
      <w:numPr>
        <w:numId w:val="0"/>
      </w:numPr>
      <w:tabs>
        <w:tab w:val="right" w:leader="dot" w:pos="6521"/>
      </w:tabs>
      <w:spacing w:before="0" w:after="0"/>
    </w:pPr>
  </w:style>
  <w:style w:type="paragraph" w:customStyle="1" w:styleId="TOFTitle">
    <w:name w:val="TOFTitle"/>
    <w:basedOn w:val="TOCTitle"/>
    <w:rsid w:val="00D1032C"/>
  </w:style>
  <w:style w:type="paragraph" w:styleId="TableofFigures">
    <w:name w:val="table of figures"/>
    <w:basedOn w:val="Normal"/>
    <w:next w:val="Normal"/>
    <w:semiHidden/>
    <w:rsid w:val="00D1032C"/>
    <w:pPr>
      <w:tabs>
        <w:tab w:val="right" w:leader="dot" w:pos="9072"/>
      </w:tabs>
      <w:ind w:left="970" w:hanging="403"/>
    </w:pPr>
    <w:rPr>
      <w:rFonts w:ascii="Times New Roman" w:hAnsi="Times New Roman"/>
      <w:b/>
    </w:rPr>
  </w:style>
  <w:style w:type="paragraph" w:styleId="ListNumber">
    <w:name w:val="List Number"/>
    <w:basedOn w:val="List"/>
    <w:rsid w:val="00D1032C"/>
    <w:pPr>
      <w:numPr>
        <w:numId w:val="14"/>
      </w:numPr>
      <w:tabs>
        <w:tab w:val="clear" w:pos="340"/>
      </w:tabs>
    </w:pPr>
  </w:style>
  <w:style w:type="character" w:customStyle="1" w:styleId="WingdingSymbols">
    <w:name w:val="Wingding Symbols"/>
    <w:rsid w:val="00D1032C"/>
    <w:rPr>
      <w:rFonts w:ascii="Wingdings" w:hAnsi="Wingdings"/>
    </w:rPr>
  </w:style>
  <w:style w:type="paragraph" w:customStyle="1" w:styleId="TableHeading">
    <w:name w:val="Table Heading"/>
    <w:basedOn w:val="HeadingBase"/>
    <w:rsid w:val="00D1032C"/>
    <w:pPr>
      <w:keepLines/>
      <w:pBdr>
        <w:bottom w:val="single" w:sz="6" w:space="1" w:color="918585"/>
      </w:pBdr>
      <w:spacing w:before="240"/>
    </w:pPr>
  </w:style>
  <w:style w:type="character" w:customStyle="1" w:styleId="HotSpot">
    <w:name w:val="HotSpot"/>
    <w:rsid w:val="00D1032C"/>
    <w:rPr>
      <w:color w:val="0033CC"/>
      <w:u w:val="none"/>
    </w:rPr>
  </w:style>
  <w:style w:type="paragraph" w:customStyle="1" w:styleId="BodyTextRight">
    <w:name w:val="Body Text Right"/>
    <w:basedOn w:val="BodyText"/>
    <w:rsid w:val="00D1032C"/>
    <w:pPr>
      <w:spacing w:before="0" w:after="0"/>
      <w:jc w:val="right"/>
    </w:pPr>
  </w:style>
  <w:style w:type="paragraph" w:styleId="Index3">
    <w:name w:val="index 3"/>
    <w:basedOn w:val="ListNumber2"/>
    <w:next w:val="Normal"/>
    <w:semiHidden/>
    <w:rsid w:val="00D1032C"/>
    <w:pPr>
      <w:numPr>
        <w:numId w:val="0"/>
      </w:numPr>
      <w:tabs>
        <w:tab w:val="right" w:leader="dot" w:pos="4176"/>
      </w:tabs>
    </w:pPr>
  </w:style>
  <w:style w:type="paragraph" w:styleId="ListNumber2">
    <w:name w:val="List Number 2"/>
    <w:basedOn w:val="List2"/>
    <w:rsid w:val="00D1032C"/>
    <w:pPr>
      <w:numPr>
        <w:numId w:val="9"/>
      </w:numPr>
      <w:tabs>
        <w:tab w:val="clear" w:pos="1060"/>
      </w:tabs>
    </w:pPr>
  </w:style>
  <w:style w:type="paragraph" w:customStyle="1" w:styleId="MarginNote">
    <w:name w:val="Margin Note"/>
    <w:basedOn w:val="BodyText"/>
    <w:rsid w:val="00D103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03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03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032C"/>
    <w:rPr>
      <w:sz w:val="32"/>
    </w:rPr>
  </w:style>
  <w:style w:type="paragraph" w:customStyle="1" w:styleId="HeadingProcedure">
    <w:name w:val="Heading Procedure"/>
    <w:basedOn w:val="HeadingBase"/>
    <w:next w:val="Normal"/>
    <w:rsid w:val="00D1032C"/>
    <w:pPr>
      <w:tabs>
        <w:tab w:val="left" w:pos="0"/>
      </w:tabs>
      <w:spacing w:before="120" w:after="60"/>
    </w:pPr>
    <w:rPr>
      <w:i/>
      <w:color w:val="918585"/>
      <w:sz w:val="22"/>
    </w:rPr>
  </w:style>
  <w:style w:type="paragraph" w:customStyle="1" w:styleId="TableBodyText">
    <w:name w:val="Table Body Text"/>
    <w:basedOn w:val="BodyText"/>
    <w:rsid w:val="00D1032C"/>
    <w:pPr>
      <w:spacing w:before="60" w:after="60"/>
    </w:pPr>
  </w:style>
  <w:style w:type="paragraph" w:styleId="ListContinue">
    <w:name w:val="List Continue"/>
    <w:basedOn w:val="List"/>
    <w:rsid w:val="00D1032C"/>
    <w:pPr>
      <w:ind w:firstLine="0"/>
    </w:pPr>
  </w:style>
  <w:style w:type="paragraph" w:customStyle="1" w:styleId="ListNote">
    <w:name w:val="List Note"/>
    <w:basedOn w:val="List"/>
    <w:rsid w:val="00D1032C"/>
    <w:pPr>
      <w:pBdr>
        <w:top w:val="single" w:sz="6" w:space="2" w:color="918585"/>
        <w:bottom w:val="single" w:sz="6" w:space="2" w:color="918585"/>
      </w:pBdr>
      <w:tabs>
        <w:tab w:val="left" w:pos="1021"/>
      </w:tabs>
      <w:ind w:firstLine="0"/>
    </w:pPr>
  </w:style>
  <w:style w:type="paragraph" w:customStyle="1" w:styleId="Warning">
    <w:name w:val="Warning"/>
    <w:basedOn w:val="BodyText"/>
    <w:rsid w:val="00D1032C"/>
    <w:pPr>
      <w:shd w:val="clear" w:color="auto" w:fill="D9D9D9"/>
      <w:tabs>
        <w:tab w:val="left" w:pos="992"/>
      </w:tabs>
      <w:ind w:left="119" w:right="119"/>
    </w:pPr>
    <w:rPr>
      <w:sz w:val="20"/>
    </w:rPr>
  </w:style>
  <w:style w:type="paragraph" w:customStyle="1" w:styleId="MarginIcons">
    <w:name w:val="Margin Icons"/>
    <w:basedOn w:val="BodyText"/>
    <w:rsid w:val="00D103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032C"/>
    <w:rPr>
      <w:rFonts w:ascii="Courier New" w:hAnsi="Courier New"/>
    </w:rPr>
  </w:style>
  <w:style w:type="paragraph" w:customStyle="1" w:styleId="NoteBullet">
    <w:name w:val="Note Bullet"/>
    <w:basedOn w:val="Note"/>
    <w:rsid w:val="00D1032C"/>
    <w:pPr>
      <w:tabs>
        <w:tab w:val="clear" w:pos="680"/>
      </w:tabs>
      <w:spacing w:before="60" w:after="60"/>
    </w:pPr>
  </w:style>
  <w:style w:type="paragraph" w:customStyle="1" w:styleId="SubHeading2">
    <w:name w:val="SubHeading2"/>
    <w:basedOn w:val="HeadingBase"/>
    <w:rsid w:val="00D1032C"/>
    <w:pPr>
      <w:spacing w:before="240" w:after="60"/>
    </w:pPr>
    <w:rPr>
      <w:sz w:val="20"/>
    </w:rPr>
  </w:style>
  <w:style w:type="paragraph" w:customStyle="1" w:styleId="SubHeading1">
    <w:name w:val="SubHeading1"/>
    <w:basedOn w:val="HeadingBase"/>
    <w:rsid w:val="00D1032C"/>
    <w:pPr>
      <w:spacing w:before="240" w:after="60"/>
    </w:pPr>
    <w:rPr>
      <w:color w:val="918585"/>
      <w:sz w:val="22"/>
    </w:rPr>
  </w:style>
  <w:style w:type="paragraph" w:customStyle="1" w:styleId="SideHeading">
    <w:name w:val="Side Heading"/>
    <w:basedOn w:val="HeadingBase"/>
    <w:rsid w:val="00D103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032C"/>
    <w:pPr>
      <w:numPr>
        <w:numId w:val="10"/>
      </w:numPr>
    </w:pPr>
  </w:style>
  <w:style w:type="paragraph" w:styleId="PlainText">
    <w:name w:val="Plain Text"/>
    <w:basedOn w:val="Normal"/>
    <w:link w:val="PlainTextChar"/>
    <w:rsid w:val="00D1032C"/>
    <w:rPr>
      <w:sz w:val="20"/>
    </w:rPr>
  </w:style>
  <w:style w:type="character" w:customStyle="1" w:styleId="PlainTextChar">
    <w:name w:val="Plain Text Char"/>
    <w:basedOn w:val="DefaultParagraphFont"/>
    <w:link w:val="PlainText"/>
    <w:rsid w:val="00D1032C"/>
    <w:rPr>
      <w:rFonts w:ascii="Courier New" w:eastAsia="Times New Roman" w:hAnsi="Courier New" w:cs="Times New Roman"/>
      <w:sz w:val="20"/>
      <w:szCs w:val="20"/>
      <w:lang w:eastAsia="en-US"/>
    </w:rPr>
  </w:style>
  <w:style w:type="character" w:customStyle="1" w:styleId="MenuOption">
    <w:name w:val="Menu Option"/>
    <w:basedOn w:val="DefaultParagraphFont"/>
    <w:rsid w:val="00D1032C"/>
    <w:rPr>
      <w:b/>
      <w:smallCaps/>
    </w:rPr>
  </w:style>
  <w:style w:type="paragraph" w:customStyle="1" w:styleId="TableListNumber">
    <w:name w:val="Table List Number"/>
    <w:basedOn w:val="ListNumber"/>
    <w:rsid w:val="00D1032C"/>
    <w:pPr>
      <w:numPr>
        <w:numId w:val="0"/>
      </w:numPr>
    </w:pPr>
  </w:style>
  <w:style w:type="paragraph" w:styleId="TOC4">
    <w:name w:val="toc 4"/>
    <w:basedOn w:val="TOCBase"/>
    <w:next w:val="Normal"/>
    <w:semiHidden/>
    <w:rsid w:val="00D1032C"/>
    <w:pPr>
      <w:tabs>
        <w:tab w:val="right" w:leader="dot" w:pos="9071"/>
      </w:tabs>
      <w:ind w:left="1701"/>
    </w:pPr>
  </w:style>
  <w:style w:type="paragraph" w:customStyle="1" w:styleId="ListAlpha">
    <w:name w:val="List Alpha"/>
    <w:basedOn w:val="List"/>
    <w:rsid w:val="00D1032C"/>
    <w:pPr>
      <w:numPr>
        <w:numId w:val="8"/>
      </w:numPr>
    </w:pPr>
  </w:style>
  <w:style w:type="paragraph" w:customStyle="1" w:styleId="ListAlpha2">
    <w:name w:val="List Alpha 2"/>
    <w:basedOn w:val="List2"/>
    <w:rsid w:val="00D1032C"/>
    <w:pPr>
      <w:numPr>
        <w:numId w:val="7"/>
      </w:numPr>
    </w:pPr>
  </w:style>
  <w:style w:type="paragraph" w:styleId="List2">
    <w:name w:val="List 2"/>
    <w:basedOn w:val="BodyText"/>
    <w:rsid w:val="00D1032C"/>
    <w:pPr>
      <w:tabs>
        <w:tab w:val="left" w:pos="680"/>
      </w:tabs>
      <w:spacing w:before="60" w:after="60"/>
      <w:ind w:left="680" w:hanging="340"/>
    </w:pPr>
  </w:style>
  <w:style w:type="paragraph" w:styleId="List3">
    <w:name w:val="List 3"/>
    <w:basedOn w:val="BodyText"/>
    <w:rsid w:val="00D1032C"/>
    <w:pPr>
      <w:tabs>
        <w:tab w:val="left" w:pos="1021"/>
      </w:tabs>
      <w:spacing w:before="60" w:after="60"/>
      <w:ind w:left="1020" w:hanging="340"/>
    </w:pPr>
  </w:style>
  <w:style w:type="paragraph" w:styleId="List4">
    <w:name w:val="List 4"/>
    <w:basedOn w:val="BodyText"/>
    <w:rsid w:val="00D1032C"/>
    <w:pPr>
      <w:tabs>
        <w:tab w:val="left" w:pos="1361"/>
      </w:tabs>
      <w:spacing w:before="60" w:after="60"/>
      <w:ind w:left="1361" w:hanging="340"/>
    </w:pPr>
  </w:style>
  <w:style w:type="paragraph" w:styleId="List5">
    <w:name w:val="List 5"/>
    <w:basedOn w:val="BodyText"/>
    <w:rsid w:val="00D1032C"/>
    <w:pPr>
      <w:tabs>
        <w:tab w:val="left" w:pos="1701"/>
      </w:tabs>
      <w:spacing w:before="60" w:after="60"/>
      <w:ind w:left="1701" w:hanging="340"/>
    </w:pPr>
  </w:style>
  <w:style w:type="paragraph" w:styleId="ListBullet3">
    <w:name w:val="List Bullet 3"/>
    <w:basedOn w:val="List3"/>
    <w:rsid w:val="00D1032C"/>
    <w:pPr>
      <w:numPr>
        <w:numId w:val="13"/>
      </w:numPr>
      <w:tabs>
        <w:tab w:val="clear" w:pos="1021"/>
      </w:tabs>
      <w:ind w:left="1037" w:hanging="357"/>
    </w:pPr>
  </w:style>
  <w:style w:type="paragraph" w:styleId="ListBullet4">
    <w:name w:val="List Bullet 4"/>
    <w:basedOn w:val="List4"/>
    <w:rsid w:val="00D1032C"/>
    <w:pPr>
      <w:numPr>
        <w:numId w:val="2"/>
      </w:numPr>
      <w:tabs>
        <w:tab w:val="clear" w:pos="1361"/>
      </w:tabs>
    </w:pPr>
  </w:style>
  <w:style w:type="paragraph" w:styleId="ListBullet5">
    <w:name w:val="List Bullet 5"/>
    <w:basedOn w:val="List5"/>
    <w:rsid w:val="00D1032C"/>
    <w:pPr>
      <w:numPr>
        <w:numId w:val="3"/>
      </w:numPr>
    </w:pPr>
  </w:style>
  <w:style w:type="paragraph" w:styleId="ListContinue2">
    <w:name w:val="List Continue 2"/>
    <w:basedOn w:val="List2"/>
    <w:rsid w:val="00D1032C"/>
    <w:pPr>
      <w:ind w:firstLine="0"/>
    </w:pPr>
  </w:style>
  <w:style w:type="paragraph" w:styleId="ListContinue3">
    <w:name w:val="List Continue 3"/>
    <w:basedOn w:val="List3"/>
    <w:rsid w:val="00D1032C"/>
    <w:pPr>
      <w:ind w:left="1021" w:firstLine="0"/>
    </w:pPr>
  </w:style>
  <w:style w:type="paragraph" w:styleId="ListContinue4">
    <w:name w:val="List Continue 4"/>
    <w:basedOn w:val="List4"/>
    <w:rsid w:val="00D1032C"/>
    <w:pPr>
      <w:ind w:firstLine="0"/>
    </w:pPr>
  </w:style>
  <w:style w:type="paragraph" w:styleId="ListContinue5">
    <w:name w:val="List Continue 5"/>
    <w:basedOn w:val="List5"/>
    <w:rsid w:val="00D1032C"/>
    <w:pPr>
      <w:ind w:firstLine="0"/>
    </w:pPr>
  </w:style>
  <w:style w:type="paragraph" w:styleId="ListNumber3">
    <w:name w:val="List Number 3"/>
    <w:basedOn w:val="List3"/>
    <w:rsid w:val="00D1032C"/>
    <w:pPr>
      <w:numPr>
        <w:numId w:val="4"/>
      </w:numPr>
    </w:pPr>
  </w:style>
  <w:style w:type="paragraph" w:styleId="ListNumber4">
    <w:name w:val="List Number 4"/>
    <w:basedOn w:val="List4"/>
    <w:rsid w:val="00D1032C"/>
    <w:pPr>
      <w:numPr>
        <w:numId w:val="5"/>
      </w:numPr>
    </w:pPr>
  </w:style>
  <w:style w:type="paragraph" w:styleId="ListNumber5">
    <w:name w:val="List Number 5"/>
    <w:basedOn w:val="List5"/>
    <w:rsid w:val="00D1032C"/>
    <w:pPr>
      <w:numPr>
        <w:numId w:val="6"/>
      </w:numPr>
    </w:pPr>
  </w:style>
  <w:style w:type="paragraph" w:styleId="BlockText">
    <w:name w:val="Block Text"/>
    <w:basedOn w:val="Normal"/>
    <w:rsid w:val="00D1032C"/>
    <w:pPr>
      <w:spacing w:after="120"/>
      <w:ind w:left="1440" w:right="1440"/>
    </w:pPr>
  </w:style>
  <w:style w:type="character" w:customStyle="1" w:styleId="Subscript">
    <w:name w:val="Subscript"/>
    <w:basedOn w:val="DefaultParagraphFont"/>
    <w:rsid w:val="00D1032C"/>
    <w:rPr>
      <w:sz w:val="16"/>
      <w:vertAlign w:val="subscript"/>
    </w:rPr>
  </w:style>
  <w:style w:type="character" w:customStyle="1" w:styleId="Superscript">
    <w:name w:val="Superscript"/>
    <w:basedOn w:val="DefaultParagraphFont"/>
    <w:rsid w:val="00D1032C"/>
    <w:rPr>
      <w:sz w:val="16"/>
      <w:vertAlign w:val="superscript"/>
    </w:rPr>
  </w:style>
  <w:style w:type="character" w:customStyle="1" w:styleId="Symbols">
    <w:name w:val="Symbols"/>
    <w:basedOn w:val="DefaultParagraphFont"/>
    <w:rsid w:val="00D1032C"/>
    <w:rPr>
      <w:rFonts w:ascii="Symbol" w:hAnsi="Symbol"/>
    </w:rPr>
  </w:style>
  <w:style w:type="character" w:customStyle="1" w:styleId="MenuOptions">
    <w:name w:val="Menu Options"/>
    <w:basedOn w:val="DefaultParagraphFont"/>
    <w:rsid w:val="00D1032C"/>
    <w:rPr>
      <w:rFonts w:ascii="Arial Narrow" w:hAnsi="Arial Narrow"/>
      <w:smallCaps/>
    </w:rPr>
  </w:style>
  <w:style w:type="character" w:customStyle="1" w:styleId="Buttons">
    <w:name w:val="Buttons"/>
    <w:basedOn w:val="DefaultParagraphFont"/>
    <w:rsid w:val="00D1032C"/>
    <w:rPr>
      <w:b/>
    </w:rPr>
  </w:style>
  <w:style w:type="character" w:customStyle="1" w:styleId="Underlined">
    <w:name w:val="Underlined"/>
    <w:basedOn w:val="DefaultParagraphFont"/>
    <w:rsid w:val="00D1032C"/>
    <w:rPr>
      <w:u w:val="single"/>
    </w:rPr>
  </w:style>
  <w:style w:type="paragraph" w:customStyle="1" w:styleId="TableBodyTextRight">
    <w:name w:val="Table Body Text Right"/>
    <w:basedOn w:val="TableBodyText"/>
    <w:rsid w:val="00D1032C"/>
    <w:pPr>
      <w:widowControl w:val="0"/>
      <w:autoSpaceDE w:val="0"/>
      <w:autoSpaceDN w:val="0"/>
      <w:adjustRightInd w:val="0"/>
      <w:jc w:val="right"/>
    </w:pPr>
    <w:rPr>
      <w:rFonts w:cs="Arial"/>
      <w:szCs w:val="18"/>
    </w:rPr>
  </w:style>
  <w:style w:type="paragraph" w:customStyle="1" w:styleId="CopyrightText">
    <w:name w:val="Copyright Text"/>
    <w:basedOn w:val="BodyText"/>
    <w:rsid w:val="00D1032C"/>
    <w:rPr>
      <w:sz w:val="18"/>
    </w:rPr>
  </w:style>
  <w:style w:type="paragraph" w:customStyle="1" w:styleId="BodySmallRight">
    <w:name w:val="Body Small Right"/>
    <w:basedOn w:val="BodyTextRight"/>
    <w:rsid w:val="00D1032C"/>
    <w:rPr>
      <w:sz w:val="18"/>
      <w:szCs w:val="18"/>
    </w:rPr>
  </w:style>
  <w:style w:type="paragraph" w:customStyle="1" w:styleId="MarginEdition">
    <w:name w:val="Margin Edition"/>
    <w:basedOn w:val="MarginNote"/>
    <w:rsid w:val="00D1032C"/>
    <w:pPr>
      <w:spacing w:before="0" w:after="0"/>
    </w:pPr>
    <w:rPr>
      <w:rFonts w:ascii="Times New Roman" w:hAnsi="Times New Roman"/>
      <w:color w:val="999999"/>
    </w:rPr>
  </w:style>
  <w:style w:type="paragraph" w:customStyle="1" w:styleId="Spacer">
    <w:name w:val="Spacer"/>
    <w:basedOn w:val="Normal"/>
    <w:rsid w:val="00D1032C"/>
    <w:rPr>
      <w:sz w:val="2"/>
      <w:szCs w:val="2"/>
    </w:rPr>
  </w:style>
  <w:style w:type="character" w:customStyle="1" w:styleId="Small">
    <w:name w:val="Small"/>
    <w:basedOn w:val="DefaultParagraphFont"/>
    <w:rsid w:val="00D1032C"/>
    <w:rPr>
      <w:sz w:val="16"/>
    </w:rPr>
  </w:style>
  <w:style w:type="paragraph" w:customStyle="1" w:styleId="WideTable">
    <w:name w:val="Wide Table"/>
    <w:basedOn w:val="Normal"/>
    <w:rsid w:val="00D1032C"/>
    <w:pPr>
      <w:ind w:left="-1418"/>
    </w:pPr>
    <w:rPr>
      <w:sz w:val="2"/>
      <w:szCs w:val="2"/>
    </w:rPr>
  </w:style>
  <w:style w:type="character" w:styleId="PageNumber">
    <w:name w:val="page number"/>
    <w:basedOn w:val="DefaultParagraphFont"/>
    <w:rsid w:val="00D1032C"/>
  </w:style>
  <w:style w:type="paragraph" w:styleId="Quote">
    <w:name w:val="Quote"/>
    <w:basedOn w:val="Heading1"/>
    <w:link w:val="QuoteChar"/>
    <w:qFormat/>
    <w:rsid w:val="00D1032C"/>
    <w:rPr>
      <w:b w:val="0"/>
      <w:sz w:val="72"/>
      <w:szCs w:val="72"/>
      <w:lang w:val="en-NZ"/>
    </w:rPr>
  </w:style>
  <w:style w:type="character" w:customStyle="1" w:styleId="QuoteChar">
    <w:name w:val="Quote Char"/>
    <w:basedOn w:val="DefaultParagraphFont"/>
    <w:link w:val="Quote"/>
    <w:rsid w:val="00D103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032C"/>
    <w:pPr>
      <w:pageBreakBefore/>
    </w:pPr>
  </w:style>
  <w:style w:type="paragraph" w:customStyle="1" w:styleId="Border">
    <w:name w:val="Border"/>
    <w:basedOn w:val="Normal"/>
    <w:qFormat/>
    <w:rsid w:val="00D103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032C"/>
    <w:rPr>
      <w:b/>
      <w:bCs/>
      <w:i/>
      <w:iCs/>
      <w:color w:val="auto"/>
    </w:rPr>
  </w:style>
  <w:style w:type="paragraph" w:styleId="IntenseQuote">
    <w:name w:val="Intense Quote"/>
    <w:basedOn w:val="Normal"/>
    <w:next w:val="Normal"/>
    <w:link w:val="IntenseQuoteChar"/>
    <w:uiPriority w:val="30"/>
    <w:qFormat/>
    <w:rsid w:val="00D103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03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032C"/>
    <w:rPr>
      <w:smallCaps/>
      <w:color w:val="auto"/>
      <w:u w:val="single"/>
    </w:rPr>
  </w:style>
  <w:style w:type="character" w:styleId="IntenseReference">
    <w:name w:val="Intense Reference"/>
    <w:basedOn w:val="DefaultParagraphFont"/>
    <w:uiPriority w:val="32"/>
    <w:qFormat/>
    <w:rsid w:val="00D1032C"/>
    <w:rPr>
      <w:b/>
      <w:bCs/>
      <w:smallCaps/>
      <w:color w:val="auto"/>
      <w:spacing w:val="5"/>
      <w:u w:val="single"/>
    </w:rPr>
  </w:style>
  <w:style w:type="paragraph" w:customStyle="1" w:styleId="2ColumnHeading">
    <w:name w:val="2Column Heading"/>
    <w:basedOn w:val="BodyText"/>
    <w:qFormat/>
    <w:rsid w:val="00D1032C"/>
    <w:pPr>
      <w:spacing w:after="60"/>
      <w:ind w:left="-2268"/>
    </w:pPr>
    <w:rPr>
      <w:b/>
    </w:rPr>
  </w:style>
  <w:style w:type="paragraph" w:customStyle="1" w:styleId="Heading1TOC">
    <w:name w:val="Heading1 TOC"/>
    <w:basedOn w:val="Normal"/>
    <w:qFormat/>
    <w:rsid w:val="00D1032C"/>
    <w:pPr>
      <w:spacing w:before="240" w:after="120"/>
    </w:pPr>
    <w:rPr>
      <w:rFonts w:ascii="Times New Roman" w:hAnsi="Times New Roman"/>
      <w:b/>
      <w:sz w:val="32"/>
    </w:rPr>
  </w:style>
  <w:style w:type="paragraph" w:customStyle="1" w:styleId="Heading2TOC">
    <w:name w:val="Heading2 TOC"/>
    <w:basedOn w:val="Normal"/>
    <w:qFormat/>
    <w:rsid w:val="00D1032C"/>
    <w:pPr>
      <w:spacing w:before="240" w:after="60"/>
    </w:pPr>
    <w:rPr>
      <w:rFonts w:ascii="Times New Roman" w:hAnsi="Times New Roman"/>
      <w:b/>
      <w:sz w:val="28"/>
    </w:rPr>
  </w:style>
  <w:style w:type="character" w:customStyle="1" w:styleId="Underline">
    <w:name w:val="Underline"/>
    <w:basedOn w:val="DefaultParagraphFont"/>
    <w:qFormat/>
    <w:rsid w:val="00D1032C"/>
    <w:rPr>
      <w:u w:val="single"/>
    </w:rPr>
  </w:style>
  <w:style w:type="character" w:customStyle="1" w:styleId="BoldandItalics">
    <w:name w:val="Bold and Italics"/>
    <w:qFormat/>
    <w:rsid w:val="00D1032C"/>
    <w:rPr>
      <w:b/>
      <w:i/>
      <w:u w:val="none"/>
    </w:rPr>
  </w:style>
  <w:style w:type="paragraph" w:styleId="BalloonText">
    <w:name w:val="Balloon Text"/>
    <w:basedOn w:val="Normal"/>
    <w:link w:val="BalloonTextChar"/>
    <w:rsid w:val="00D1032C"/>
    <w:rPr>
      <w:rFonts w:ascii="Tahoma" w:hAnsi="Tahoma" w:cs="Tahoma"/>
      <w:sz w:val="16"/>
      <w:szCs w:val="16"/>
    </w:rPr>
  </w:style>
  <w:style w:type="character" w:customStyle="1" w:styleId="BalloonTextChar">
    <w:name w:val="Balloon Text Char"/>
    <w:basedOn w:val="DefaultParagraphFont"/>
    <w:link w:val="BalloonText"/>
    <w:rsid w:val="00D103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03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03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032C"/>
    <w:rPr>
      <w:b/>
      <w:color w:val="660033"/>
      <w:spacing w:val="0"/>
    </w:rPr>
  </w:style>
  <w:style w:type="paragraph" w:customStyle="1" w:styleId="Nameditemlist">
    <w:name w:val="Named item list"/>
    <w:basedOn w:val="BodyText"/>
    <w:qFormat/>
    <w:rsid w:val="00D1032C"/>
    <w:pPr>
      <w:tabs>
        <w:tab w:val="left" w:pos="2835"/>
      </w:tabs>
      <w:ind w:left="2835" w:hanging="2835"/>
    </w:pPr>
  </w:style>
  <w:style w:type="paragraph" w:customStyle="1" w:styleId="BodyTextnopadding">
    <w:name w:val="Body Text no padding"/>
    <w:basedOn w:val="BodyText"/>
    <w:qFormat/>
    <w:rsid w:val="00D1032C"/>
    <w:pPr>
      <w:spacing w:before="0" w:after="0"/>
    </w:pPr>
  </w:style>
  <w:style w:type="paragraph" w:customStyle="1" w:styleId="BodyTextBold">
    <w:name w:val="Body Text Bold"/>
    <w:basedOn w:val="BodyText"/>
    <w:qFormat/>
    <w:rsid w:val="00D1032C"/>
    <w:rPr>
      <w:b/>
    </w:rPr>
  </w:style>
  <w:style w:type="character" w:styleId="Hyperlink">
    <w:name w:val="Hyperlink"/>
    <w:basedOn w:val="DefaultParagraphFont"/>
    <w:uiPriority w:val="99"/>
    <w:unhideWhenUsed/>
    <w:rsid w:val="00FB7F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838</Words>
  <Characters>5560</Characters>
  <Application>Microsoft Office Word</Application>
  <DocSecurity>0</DocSecurity>
  <Lines>264</Lines>
  <Paragraphs>159</Paragraphs>
  <ScaleCrop>false</ScaleCrop>
  <Company>Author-it Software Corporation Ltd.</Company>
  <LinksUpToDate>false</LinksUpToDate>
  <CharactersWithSpaces>6239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MEA417 Apply specialty coatings to aircraft</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2019-09-30T08:33:00Z</dcterms:created>
  <dcterms:modified xsi:type="dcterms:W3CDTF">2019-09-30T08:33:00Z</dcterms:modified>
</cp:coreProperties>
</file>