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BF3" w:rsidP="00EF5BF3">
      <w:pPr>
        <w:pStyle w:val="Title"/>
      </w:pPr>
      <w:r>
        <w:fldChar w:fldCharType="begin"/>
      </w:r>
      <w:r>
        <w:instrText xml:space="preserve"> TITLE   \* MERGEFORMAT </w:instrText>
      </w:r>
      <w:r>
        <w:fldChar w:fldCharType="separate"/>
      </w:r>
      <w:r>
        <w:t>MEA417 Apply specialty coatings to aircraft</w:t>
      </w:r>
      <w:r>
        <w:fldChar w:fldCharType="end"/>
      </w:r>
    </w:p>
    <w:p w:rsidR="00EF5BF3" w:rsidP="00EF5BF3">
      <w:pPr>
        <w:pStyle w:val="Version"/>
        <w:sectPr w:rsidSect="006E2F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2F7D" w:rsidP="006E2F7D">
      <w:pPr>
        <w:pStyle w:val="SuperHeading"/>
      </w:pPr>
      <w:r w:rsidRPr="006E2F7D">
        <w:t>MEA417 Apply specialty coatings to aircraft</w:t>
      </w:r>
    </w:p>
    <w:p w:rsidR="00000000" w:rsidRPr="006E2F7D" w:rsidP="006E2F7D">
      <w:pPr>
        <w:pStyle w:val="Heading1"/>
      </w:pPr>
      <w:bookmarkStart w:id="1" w:name="O_997150"/>
      <w:bookmarkEnd w:id="1"/>
      <w:r w:rsidRPr="006E2F7D">
        <w:t>Modification History</w:t>
      </w:r>
    </w:p>
    <w:p w:rsidR="00000000" w:rsidRPr="006E2F7D" w:rsidP="00EF5BF3">
      <w:pPr>
        <w:pStyle w:val="BodyText"/>
      </w:pPr>
      <w:r w:rsidRPr="006E2F7D">
        <w:t>Release 2. Equivalent to MEA417 Apply specialty coatings to aircraft with amended prerequisite codes.</w:t>
      </w:r>
    </w:p>
    <w:p w:rsidR="00000000" w:rsidRPr="006E2F7D" w:rsidP="006E2F7D">
      <w:pPr>
        <w:pStyle w:val="Heading1"/>
      </w:pPr>
      <w:bookmarkStart w:id="2" w:name="O_997149"/>
      <w:bookmarkEnd w:id="2"/>
      <w:r w:rsidRPr="006E2F7D">
        <w:t>Application</w:t>
      </w:r>
    </w:p>
    <w:p w:rsidR="00000000" w:rsidRPr="006E2F7D" w:rsidP="00EF5BF3">
      <w:pPr>
        <w:pStyle w:val="BodyText"/>
      </w:pPr>
      <w:r w:rsidRPr="006E2F7D">
        <w:t>This unit of competency requires application of skills and knowledge relating to the preparation and app</w:t>
      </w:r>
      <w:r w:rsidRPr="006E2F7D">
        <w:t xml:space="preserve">lication of a range of specialty coatings to fixed and rotary wing aircraft and aircraft components using application methods applicable to the specific coating material during the performance of scheduled or unscheduled maintenance. Work may be performed </w:t>
      </w:r>
      <w:r w:rsidRPr="006E2F7D">
        <w:t>individually or as part of a team.</w:t>
      </w:r>
    </w:p>
    <w:p w:rsidR="00000000" w:rsidRPr="006E2F7D" w:rsidP="00EF5BF3">
      <w:pPr>
        <w:pStyle w:val="BodyText"/>
      </w:pPr>
      <w:r w:rsidRPr="006E2F7D">
        <w:t>No licensing requirements apply to this unit at the time of publication, but compliance with legislation and regulations for the handling and disposal of hazardous materials is included in the unit.</w:t>
      </w:r>
    </w:p>
    <w:p w:rsidR="00000000" w:rsidRPr="006E2F7D" w:rsidP="00EF5BF3">
      <w:pPr>
        <w:pStyle w:val="BodyText"/>
      </w:pPr>
      <w:r w:rsidRPr="006E2F7D">
        <w:t xml:space="preserve">The unit is used in </w:t>
      </w:r>
      <w:r w:rsidRPr="006E2F7D">
        <w:t>workplaces that operate under the airworthiness regulatory systems of the Australian Defence Force (ADF) and the Civil Aviation Safety Authority (CASA).</w:t>
      </w:r>
    </w:p>
    <w:p w:rsidR="00000000" w:rsidRPr="006E2F7D" w:rsidP="006E2F7D">
      <w:pPr>
        <w:pStyle w:val="Heading1"/>
      </w:pPr>
      <w:bookmarkStart w:id="3" w:name="O_997148"/>
      <w:bookmarkEnd w:id="3"/>
      <w:r w:rsidRPr="006E2F7D">
        <w:t>Pre-requisite Unit</w:t>
      </w:r>
    </w:p>
    <w:tbl>
      <w:tblPr>
        <w:tblW w:w="0" w:type="auto"/>
        <w:tblLayout w:type="fixed"/>
        <w:tblCellMar>
          <w:left w:w="62" w:type="dxa"/>
          <w:right w:w="62" w:type="dxa"/>
        </w:tblCellMar>
        <w:tblLook w:val="0000"/>
      </w:tblPr>
      <w:tblGrid>
        <w:gridCol w:w="1856"/>
        <w:gridCol w:w="7012"/>
      </w:tblGrid>
      <w:tr w:rsidTr="006E2F7D">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MEA107</w:t>
            </w:r>
          </w:p>
        </w:tc>
        <w:tc>
          <w:tcPr>
            <w:tcW w:w="7012"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 xml:space="preserve">Interpret and use aviation maintenance industry manuals and </w:t>
            </w:r>
            <w:r w:rsidRPr="006E2F7D">
              <w:t>specifications</w:t>
            </w:r>
          </w:p>
        </w:tc>
      </w:tr>
      <w:tr w:rsidTr="006E2F7D">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MEA154</w:t>
            </w:r>
          </w:p>
        </w:tc>
        <w:tc>
          <w:tcPr>
            <w:tcW w:w="7012"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Apply work health and safety practices in aviation maintenance</w:t>
            </w:r>
          </w:p>
        </w:tc>
      </w:tr>
      <w:tr w:rsidTr="006E2F7D">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MEA155</w:t>
            </w:r>
          </w:p>
        </w:tc>
        <w:tc>
          <w:tcPr>
            <w:tcW w:w="7012"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Plan and organise aviation maintenance work activities</w:t>
            </w:r>
          </w:p>
        </w:tc>
      </w:tr>
      <w:tr w:rsidTr="006E2F7D">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MEA156</w:t>
            </w:r>
          </w:p>
        </w:tc>
        <w:tc>
          <w:tcPr>
            <w:tcW w:w="7012"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Apply quality standards during aviation maintenance activities</w:t>
            </w:r>
          </w:p>
        </w:tc>
      </w:tr>
      <w:tr w:rsidTr="006E2F7D">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MEA157</w:t>
            </w:r>
          </w:p>
        </w:tc>
        <w:tc>
          <w:tcPr>
            <w:tcW w:w="7012"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Complete aviation maintenance industry documentation</w:t>
            </w:r>
          </w:p>
        </w:tc>
      </w:tr>
      <w:tr w:rsidTr="006E2F7D">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MEA158</w:t>
            </w:r>
          </w:p>
        </w:tc>
        <w:tc>
          <w:tcPr>
            <w:tcW w:w="7012" w:type="dxa"/>
            <w:tcBorders>
              <w:top w:val="nil"/>
              <w:left w:val="nil"/>
              <w:bottom w:val="nil"/>
              <w:right w:val="nil"/>
            </w:tcBorders>
            <w:tcMar>
              <w:top w:w="0" w:type="dxa"/>
              <w:left w:w="62" w:type="dxa"/>
              <w:bottom w:w="0" w:type="dxa"/>
              <w:right w:w="62" w:type="dxa"/>
            </w:tcMar>
          </w:tcPr>
          <w:p w:rsidR="00000000" w:rsidRPr="006E2F7D" w:rsidP="006E2F7D">
            <w:pPr>
              <w:pStyle w:val="BodyText"/>
            </w:pPr>
            <w:r w:rsidRPr="006E2F7D">
              <w:t>Perform basic hand skills, standard trade practices and fundamentals in aviation maintenance</w:t>
            </w:r>
          </w:p>
        </w:tc>
      </w:tr>
    </w:tbl>
    <w:p w:rsidR="00000000" w:rsidRPr="006E2F7D" w:rsidP="006E2F7D">
      <w:pPr>
        <w:pStyle w:val="BodyText"/>
      </w:pPr>
    </w:p>
    <w:p w:rsidR="00000000" w:rsidRPr="006E2F7D" w:rsidP="006E2F7D">
      <w:pPr>
        <w:pStyle w:val="AllowPageBreak"/>
      </w:pPr>
    </w:p>
    <w:p w:rsidR="00000000" w:rsidRPr="006E2F7D" w:rsidP="006E2F7D">
      <w:pPr>
        <w:pStyle w:val="Heading1"/>
      </w:pPr>
      <w:bookmarkStart w:id="4" w:name="O_997147"/>
      <w:bookmarkEnd w:id="4"/>
      <w:r w:rsidRPr="006E2F7D">
        <w:t>Competency Field</w:t>
      </w:r>
    </w:p>
    <w:p w:rsidR="00000000" w:rsidRPr="006E2F7D" w:rsidP="00EF5BF3">
      <w:pPr>
        <w:pStyle w:val="BodyText"/>
      </w:pPr>
      <w:r w:rsidRPr="006E2F7D">
        <w:t>Aviation maintenance</w:t>
      </w:r>
    </w:p>
    <w:p w:rsidR="00000000" w:rsidRPr="006E2F7D" w:rsidP="006E2F7D">
      <w:pPr>
        <w:pStyle w:val="Heading1"/>
      </w:pPr>
      <w:bookmarkStart w:id="5" w:name="O_997146"/>
      <w:bookmarkEnd w:id="5"/>
      <w:r w:rsidRPr="006E2F7D">
        <w:t>Unit Sector</w:t>
      </w:r>
    </w:p>
    <w:p w:rsidR="00000000" w:rsidRPr="006E2F7D" w:rsidP="006E2F7D">
      <w:pPr>
        <w:pStyle w:val="Heading1"/>
      </w:pPr>
      <w:bookmarkStart w:id="6" w:name="O_997145"/>
      <w:bookmarkEnd w:id="6"/>
      <w:r w:rsidRPr="006E2F7D">
        <w:t>Elements and Performance Criteria</w:t>
      </w:r>
    </w:p>
    <w:tbl>
      <w:tblPr>
        <w:tblW w:w="9307" w:type="dxa"/>
        <w:tblLayout w:type="fixed"/>
        <w:tblCellMar>
          <w:left w:w="62" w:type="dxa"/>
          <w:right w:w="62" w:type="dxa"/>
        </w:tblCellMar>
        <w:tblLook w:val="0000"/>
      </w:tblPr>
      <w:tblGrid>
        <w:gridCol w:w="727"/>
        <w:gridCol w:w="2284"/>
        <w:gridCol w:w="913"/>
        <w:gridCol w:w="5383"/>
      </w:tblGrid>
      <w:tr w:rsidTr="006E2F7D">
        <w:tblPrEx>
          <w:tblW w:w="9307" w:type="dxa"/>
          <w:tblLayout w:type="fixed"/>
          <w:tblCellMar>
            <w:left w:w="62" w:type="dxa"/>
            <w:right w:w="62" w:type="dxa"/>
          </w:tblCellMar>
          <w:tblLook w:val="0000"/>
        </w:tblPrEx>
        <w:tc>
          <w:tcPr>
            <w:tcW w:w="3011" w:type="dxa"/>
            <w:gridSpan w:val="2"/>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Elements describe the essential outcomes.</w:t>
            </w:r>
          </w:p>
        </w:tc>
        <w:tc>
          <w:tcPr>
            <w:tcW w:w="6296" w:type="dxa"/>
            <w:gridSpan w:val="2"/>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 xml:space="preserve">Performance criteria describe the performance needed to demonstrate achievement of the element. </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1.</w:t>
            </w:r>
          </w:p>
        </w:tc>
        <w:tc>
          <w:tcPr>
            <w:tcW w:w="2284"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Determine specialty coating requirements</w:t>
            </w: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1.1</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Specialty coating requirements are identified from maintenance documentation and enterprise procedures</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1.2</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Enterprise procedures and maintenance publications are used to identify materials and tools to be used for specialty coating application</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1.3</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Ai</w:t>
            </w:r>
            <w:r w:rsidRPr="006E2F7D">
              <w:t>rcraft or component identification is matched with relevant maintenance documentation</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2.</w:t>
            </w:r>
          </w:p>
        </w:tc>
        <w:tc>
          <w:tcPr>
            <w:tcW w:w="2284"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Prepare surface for coating application</w:t>
            </w: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2.1</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Work health and safety (WHS) requirements are identified and complied with and personal protective equipment (PP</w:t>
            </w:r>
            <w:r w:rsidRPr="006E2F7D">
              <w:t>E) is checked for correct fit and function</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2.2</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Materials and equipment required for specialty coating application are assembled</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2.3</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Surfaces are cleaned and degreased in accordance with enterprise procedures</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2.4</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Final finishing of surfaces is perf</w:t>
            </w:r>
            <w:r w:rsidRPr="006E2F7D">
              <w:t>ormed in accordance with enterprise procedures and/or process specifications</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2.5</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Reject parts and surfaces are identified, recorded and reported in accordance with standard enterprise procedures</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2.6</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Masking is applied to relevant areas</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3.</w:t>
            </w:r>
          </w:p>
        </w:tc>
        <w:tc>
          <w:tcPr>
            <w:tcW w:w="2284"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Prepare and apply coating</w:t>
            </w: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3.1</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The required coating is prepared in accordance with manufacturer’s specifications and directions while observing all relevant WHS requirements, including the use of material safety data sheets (MSDS) and items of PPE</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3.2</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Co</w:t>
            </w:r>
            <w:r w:rsidRPr="006E2F7D">
              <w:t>ating mix is inspected in accordance with enterprise procedures and/or process specifications</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3.3</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 xml:space="preserve">Coating is applied to the required surfaces in accordance with enterprise procedures and/or process </w:t>
            </w:r>
            <w:r w:rsidRPr="006E2F7D">
              <w:t>specifications while observing all relevant WHS require</w:t>
            </w:r>
            <w:r w:rsidRPr="006E2F7D">
              <w:t>ments, including the use of MSDS and items of PPE</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3.4</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Coating is inspected for coating thickness and quality compliance with enterprise procedures and/or process specifications</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3.5</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Defects in the coating are identified and rectified as required</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3.6</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Masking materials are removed and final cleaning of surfaces is performed</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3.7</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Documentation is completed in accordance with standard enterprise procedures</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4.</w:t>
            </w:r>
          </w:p>
        </w:tc>
        <w:tc>
          <w:tcPr>
            <w:tcW w:w="2284"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Clean up work area and maintain equipment</w:t>
            </w: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4.1</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Waste material is removed and disposed of or stored in accordance with legislative, regulatory and enterprise procedures</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4.2</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Equipment is cleaned in accordance with enterprise procedures or manufacturer’s instructions</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4.3</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Equipment is checked for ser</w:t>
            </w:r>
            <w:r w:rsidRPr="006E2F7D">
              <w:t>viceability and unserviceable items are dealt with in accordance with enterprise procedures</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4.4</w:t>
            </w:r>
          </w:p>
        </w:tc>
        <w:tc>
          <w:tcPr>
            <w:tcW w:w="538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Tools are cleaned and maintained in accordance with enterprise procedures</w:t>
            </w:r>
          </w:p>
        </w:tc>
      </w:tr>
      <w:tr w:rsidTr="006E2F7D">
        <w:tblPrEx>
          <w:tblW w:w="9307" w:type="dxa"/>
          <w:tblLayout w:type="fixed"/>
          <w:tblCellMar>
            <w:left w:w="62" w:type="dxa"/>
            <w:right w:w="62" w:type="dxa"/>
          </w:tblCellMar>
          <w:tblLook w:val="0000"/>
        </w:tblPrEx>
        <w:tc>
          <w:tcPr>
            <w:tcW w:w="7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13"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4.5</w:t>
            </w:r>
          </w:p>
        </w:tc>
        <w:tc>
          <w:tcPr>
            <w:tcW w:w="5383" w:type="dxa"/>
            <w:tcBorders>
              <w:top w:val="nil"/>
              <w:left w:val="nil"/>
              <w:bottom w:val="nil"/>
              <w:right w:val="nil"/>
            </w:tcBorders>
            <w:tcMar>
              <w:top w:w="0" w:type="dxa"/>
              <w:left w:w="62" w:type="dxa"/>
              <w:bottom w:w="0" w:type="dxa"/>
              <w:right w:w="62" w:type="dxa"/>
            </w:tcMar>
          </w:tcPr>
          <w:p w:rsidR="00000000" w:rsidRPr="006E2F7D" w:rsidP="006E2F7D">
            <w:pPr>
              <w:pStyle w:val="BodyText"/>
            </w:pPr>
            <w:r w:rsidRPr="006E2F7D">
              <w:t>Work area is cleaned and inspected for serviceable condition</w:t>
            </w:r>
          </w:p>
        </w:tc>
      </w:tr>
    </w:tbl>
    <w:p w:rsidR="00000000" w:rsidRPr="006E2F7D" w:rsidP="006E2F7D">
      <w:pPr>
        <w:pStyle w:val="BodyText"/>
      </w:pPr>
    </w:p>
    <w:p w:rsidR="00000000" w:rsidRPr="006E2F7D" w:rsidP="006E2F7D">
      <w:pPr>
        <w:pStyle w:val="AllowPageBreak"/>
      </w:pPr>
    </w:p>
    <w:p w:rsidR="00000000" w:rsidRPr="006E2F7D" w:rsidP="006E2F7D">
      <w:pPr>
        <w:pStyle w:val="Heading1"/>
      </w:pPr>
      <w:bookmarkStart w:id="7" w:name="O_997144"/>
      <w:bookmarkEnd w:id="7"/>
      <w:r w:rsidRPr="006E2F7D">
        <w:t>Foundation Skills</w:t>
      </w:r>
    </w:p>
    <w:p w:rsidR="00000000" w:rsidRPr="006E2F7D" w:rsidP="00EF5BF3">
      <w:pPr>
        <w:pStyle w:val="BodyText"/>
      </w:pPr>
      <w:r w:rsidRPr="006E2F7D">
        <w:t>Foundation skills essential to performance are explicit in the performance criteria of this unit of competency.</w:t>
      </w:r>
    </w:p>
    <w:p w:rsidR="00000000" w:rsidRPr="006E2F7D" w:rsidP="006E2F7D">
      <w:pPr>
        <w:pStyle w:val="Heading1"/>
      </w:pPr>
      <w:bookmarkStart w:id="8" w:name="O_997143"/>
      <w:bookmarkEnd w:id="8"/>
      <w:r w:rsidRPr="006E2F7D">
        <w:t>Range of Conditions</w:t>
      </w:r>
    </w:p>
    <w:tbl>
      <w:tblPr>
        <w:tblW w:w="0" w:type="auto"/>
        <w:tblLayout w:type="fixed"/>
        <w:tblCellMar>
          <w:left w:w="62" w:type="dxa"/>
          <w:right w:w="62" w:type="dxa"/>
        </w:tblCellMar>
        <w:tblLook w:val="0000"/>
      </w:tblPr>
      <w:tblGrid>
        <w:gridCol w:w="2970"/>
        <w:gridCol w:w="6102"/>
      </w:tblGrid>
      <w:tr w:rsidTr="006E2F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t xml:space="preserve">This field allows for different work environments and conditions that may affect </w:t>
            </w:r>
            <w:r w:rsidRPr="006E2F7D">
              <w:t>performance. Essential operating conditions that may be present (depending on the work situation, needs of the candidate, accessibility of the item, and local industry and regional contexts) are included.</w:t>
            </w:r>
          </w:p>
        </w:tc>
      </w:tr>
      <w:tr w:rsidTr="006E2F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P="006E2F7D">
            <w:pPr>
              <w:pStyle w:val="ListBullet"/>
              <w:rPr>
                <w:lang w:val="en-NZ"/>
              </w:rPr>
            </w:pPr>
            <w:r w:rsidRPr="006E2F7D">
              <w:t>Industry st</w:t>
            </w:r>
            <w:r w:rsidRPr="006E2F7D">
              <w:t>andard procedures specified by manufacturers, regulatory authorities or the enterprise</w:t>
            </w:r>
          </w:p>
        </w:tc>
      </w:tr>
      <w:tr w:rsidTr="006E2F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rPr>
                <w:rStyle w:val="SpecialBold"/>
              </w:rPr>
              <w:t>Specialty coatings include:</w:t>
            </w:r>
          </w:p>
        </w:tc>
        <w:tc>
          <w:tcPr>
            <w:tcW w:w="6102" w:type="dxa"/>
            <w:tcBorders>
              <w:top w:val="nil"/>
              <w:left w:val="nil"/>
              <w:bottom w:val="nil"/>
              <w:right w:val="nil"/>
            </w:tcBorders>
            <w:tcMar>
              <w:top w:w="0" w:type="dxa"/>
              <w:left w:w="62" w:type="dxa"/>
              <w:bottom w:w="0" w:type="dxa"/>
              <w:right w:w="62" w:type="dxa"/>
            </w:tcMar>
          </w:tcPr>
          <w:p w:rsidR="00000000" w:rsidRPr="006E2F7D" w:rsidP="006E2F7D">
            <w:pPr>
              <w:pStyle w:val="ListBullet"/>
            </w:pPr>
            <w:r w:rsidRPr="006E2F7D">
              <w:t>Specialised inner layer coatings</w:t>
            </w:r>
          </w:p>
          <w:p w:rsidR="00000000" w:rsidRPr="006E2F7D" w:rsidP="006E2F7D">
            <w:pPr>
              <w:pStyle w:val="ListBullet"/>
            </w:pPr>
            <w:r w:rsidRPr="006E2F7D">
              <w:t>Engine coatings</w:t>
            </w:r>
          </w:p>
          <w:p w:rsidR="00000000" w:rsidRPr="006E2F7D" w:rsidP="006E2F7D">
            <w:pPr>
              <w:pStyle w:val="ListBullet"/>
            </w:pPr>
            <w:r w:rsidRPr="006E2F7D">
              <w:t>Leading edge coatings</w:t>
            </w:r>
          </w:p>
          <w:p w:rsidR="00000000" w:rsidRPr="006E2F7D" w:rsidP="006E2F7D">
            <w:pPr>
              <w:pStyle w:val="ListBullet"/>
            </w:pPr>
            <w:r w:rsidRPr="006E2F7D">
              <w:t>Radome coatings</w:t>
            </w:r>
          </w:p>
          <w:p w:rsidR="00000000" w:rsidRPr="006E2F7D" w:rsidP="006E2F7D">
            <w:pPr>
              <w:pStyle w:val="ListBullet"/>
            </w:pPr>
            <w:r w:rsidRPr="006E2F7D">
              <w:t>Waterborne heatproof paints</w:t>
            </w:r>
          </w:p>
          <w:p w:rsidR="00000000" w:rsidRPr="006E2F7D" w:rsidP="006E2F7D">
            <w:pPr>
              <w:pStyle w:val="ListBullet"/>
            </w:pPr>
            <w:r w:rsidRPr="006E2F7D">
              <w:t>Walkway compounds</w:t>
            </w:r>
          </w:p>
          <w:p w:rsidR="00000000" w:rsidRPr="006E2F7D" w:rsidP="006E2F7D">
            <w:pPr>
              <w:pStyle w:val="ListBullet"/>
            </w:pPr>
            <w:r w:rsidRPr="006E2F7D">
              <w:t>Fuel tank coatings</w:t>
            </w:r>
          </w:p>
          <w:p w:rsidR="00000000" w:rsidRPr="006E2F7D" w:rsidP="006E2F7D">
            <w:pPr>
              <w:pStyle w:val="ListBullet"/>
            </w:pPr>
            <w:r w:rsidRPr="006E2F7D">
              <w:t>Heatproof coatings</w:t>
            </w:r>
          </w:p>
          <w:p w:rsidR="00000000" w:rsidP="006E2F7D">
            <w:pPr>
              <w:pStyle w:val="ListBullet"/>
              <w:rPr>
                <w:lang w:val="en-NZ"/>
              </w:rPr>
            </w:pPr>
            <w:r w:rsidRPr="006E2F7D">
              <w:t>Electrical conductive coatings</w:t>
            </w:r>
          </w:p>
        </w:tc>
      </w:tr>
      <w:tr w:rsidTr="006E2F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rPr>
                <w:rStyle w:val="SpecialBold"/>
              </w:rPr>
              <w:t>WHS requirements are identified from relevant:</w:t>
            </w:r>
          </w:p>
        </w:tc>
        <w:tc>
          <w:tcPr>
            <w:tcW w:w="6102" w:type="dxa"/>
            <w:tcBorders>
              <w:top w:val="nil"/>
              <w:left w:val="nil"/>
              <w:bottom w:val="nil"/>
              <w:right w:val="nil"/>
            </w:tcBorders>
            <w:tcMar>
              <w:top w:w="0" w:type="dxa"/>
              <w:left w:w="62" w:type="dxa"/>
              <w:bottom w:w="0" w:type="dxa"/>
              <w:right w:w="62" w:type="dxa"/>
            </w:tcMar>
          </w:tcPr>
          <w:p w:rsidR="00000000" w:rsidRPr="006E2F7D" w:rsidP="006E2F7D">
            <w:pPr>
              <w:pStyle w:val="ListBullet"/>
            </w:pPr>
            <w:r w:rsidRPr="006E2F7D">
              <w:t>Commonwealth/state/territory WHS legislation, regulations and codes</w:t>
            </w:r>
          </w:p>
          <w:p w:rsidR="00000000" w:rsidRPr="006E2F7D" w:rsidP="006E2F7D">
            <w:pPr>
              <w:pStyle w:val="ListBullet"/>
            </w:pPr>
            <w:r w:rsidRPr="006E2F7D">
              <w:t>Procedures manuals</w:t>
            </w:r>
          </w:p>
          <w:p w:rsidR="00000000" w:rsidRPr="006E2F7D" w:rsidP="006E2F7D">
            <w:pPr>
              <w:pStyle w:val="ListBullet"/>
            </w:pPr>
            <w:r w:rsidRPr="006E2F7D">
              <w:t>Safety manuals</w:t>
            </w:r>
          </w:p>
          <w:p w:rsidR="00000000" w:rsidRPr="006E2F7D" w:rsidP="006E2F7D">
            <w:pPr>
              <w:pStyle w:val="ListBullet"/>
            </w:pPr>
            <w:r w:rsidRPr="006E2F7D">
              <w:t>Work instructions</w:t>
            </w:r>
          </w:p>
          <w:p w:rsidR="00000000" w:rsidRPr="006E2F7D" w:rsidP="006E2F7D">
            <w:pPr>
              <w:pStyle w:val="ListBullet"/>
            </w:pPr>
            <w:r w:rsidRPr="006E2F7D">
              <w:t>Maintenance organisation manuals</w:t>
            </w:r>
          </w:p>
          <w:p w:rsidR="00000000" w:rsidRPr="006E2F7D" w:rsidP="006E2F7D">
            <w:pPr>
              <w:pStyle w:val="ListBullet"/>
            </w:pPr>
            <w:r w:rsidRPr="006E2F7D">
              <w:t>MSDS</w:t>
            </w:r>
          </w:p>
          <w:p w:rsidR="00000000" w:rsidRPr="006E2F7D" w:rsidP="006E2F7D">
            <w:pPr>
              <w:pStyle w:val="ListBullet"/>
            </w:pPr>
            <w:r w:rsidRPr="006E2F7D">
              <w:t>Defence regulations and instructions</w:t>
            </w:r>
          </w:p>
          <w:p w:rsidR="00000000" w:rsidP="006E2F7D">
            <w:pPr>
              <w:pStyle w:val="ListBullet"/>
              <w:rPr>
                <w:lang w:val="en-NZ"/>
              </w:rPr>
            </w:pPr>
            <w:r w:rsidRPr="006E2F7D">
              <w:t>Standing instructions</w:t>
            </w:r>
          </w:p>
        </w:tc>
      </w:tr>
      <w:tr w:rsidTr="006E2F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rPr>
                <w:rStyle w:val="SpecialBold"/>
              </w:rPr>
              <w:t>Materials and equipment include:</w:t>
            </w:r>
          </w:p>
        </w:tc>
        <w:tc>
          <w:tcPr>
            <w:tcW w:w="6102" w:type="dxa"/>
            <w:tcBorders>
              <w:top w:val="nil"/>
              <w:left w:val="nil"/>
              <w:bottom w:val="nil"/>
              <w:right w:val="nil"/>
            </w:tcBorders>
            <w:tcMar>
              <w:top w:w="0" w:type="dxa"/>
              <w:left w:w="62" w:type="dxa"/>
              <w:bottom w:w="0" w:type="dxa"/>
              <w:right w:w="62" w:type="dxa"/>
            </w:tcMar>
          </w:tcPr>
          <w:p w:rsidR="00000000" w:rsidRPr="006E2F7D" w:rsidP="006E2F7D">
            <w:pPr>
              <w:pStyle w:val="ListBullet"/>
            </w:pPr>
            <w:r w:rsidRPr="006E2F7D">
              <w:t>Chemicals</w:t>
            </w:r>
          </w:p>
          <w:p w:rsidR="00000000" w:rsidRPr="006E2F7D" w:rsidP="006E2F7D">
            <w:pPr>
              <w:pStyle w:val="ListBullet"/>
            </w:pPr>
            <w:r w:rsidRPr="006E2F7D">
              <w:t>Cleaning materials</w:t>
            </w:r>
          </w:p>
          <w:p w:rsidR="00000000" w:rsidRPr="006E2F7D" w:rsidP="006E2F7D">
            <w:pPr>
              <w:pStyle w:val="ListBullet"/>
            </w:pPr>
            <w:r w:rsidRPr="006E2F7D">
              <w:t>Specialty coating material</w:t>
            </w:r>
          </w:p>
          <w:p w:rsidR="00000000" w:rsidRPr="006E2F7D" w:rsidP="006E2F7D">
            <w:pPr>
              <w:pStyle w:val="ListBullet"/>
            </w:pPr>
            <w:r w:rsidRPr="006E2F7D">
              <w:t>Various spray guns</w:t>
            </w:r>
          </w:p>
          <w:p w:rsidR="00000000" w:rsidRPr="006E2F7D" w:rsidP="006E2F7D">
            <w:pPr>
              <w:pStyle w:val="ListBullet"/>
            </w:pPr>
            <w:r w:rsidRPr="006E2F7D">
              <w:t>Brush</w:t>
            </w:r>
          </w:p>
          <w:p w:rsidR="00000000" w:rsidRPr="006E2F7D" w:rsidP="006E2F7D">
            <w:pPr>
              <w:pStyle w:val="ListBullet"/>
            </w:pPr>
            <w:r w:rsidRPr="006E2F7D">
              <w:t>Roller</w:t>
            </w:r>
          </w:p>
          <w:p w:rsidR="00000000" w:rsidRPr="006E2F7D" w:rsidP="006E2F7D">
            <w:pPr>
              <w:pStyle w:val="ListBullet"/>
            </w:pPr>
            <w:r w:rsidRPr="006E2F7D">
              <w:t>Trowel</w:t>
            </w:r>
          </w:p>
          <w:p w:rsidR="00000000" w:rsidRPr="006E2F7D" w:rsidP="006E2F7D">
            <w:pPr>
              <w:pStyle w:val="ListBullet"/>
            </w:pPr>
            <w:r w:rsidRPr="006E2F7D">
              <w:t xml:space="preserve">PPE </w:t>
            </w:r>
          </w:p>
          <w:p w:rsidR="00000000" w:rsidRPr="006E2F7D" w:rsidP="006E2F7D">
            <w:pPr>
              <w:pStyle w:val="ListBullet"/>
            </w:pPr>
            <w:r w:rsidRPr="006E2F7D">
              <w:t>Baking oven</w:t>
            </w:r>
          </w:p>
          <w:p w:rsidR="00000000" w:rsidRPr="006E2F7D" w:rsidP="006E2F7D">
            <w:pPr>
              <w:pStyle w:val="ListBullet"/>
            </w:pPr>
            <w:r w:rsidRPr="006E2F7D">
              <w:t>Heat lamps</w:t>
            </w:r>
          </w:p>
          <w:p w:rsidR="00000000" w:rsidRPr="006E2F7D" w:rsidP="006E2F7D">
            <w:pPr>
              <w:pStyle w:val="ListBullet"/>
            </w:pPr>
            <w:r w:rsidRPr="006E2F7D">
              <w:t>Electrical test equipment</w:t>
            </w:r>
          </w:p>
          <w:p w:rsidR="00000000" w:rsidP="006E2F7D">
            <w:pPr>
              <w:pStyle w:val="ListBullet"/>
              <w:rPr>
                <w:lang w:val="en-NZ"/>
              </w:rPr>
            </w:pPr>
            <w:r w:rsidRPr="006E2F7D">
              <w:t>Wet film thickness gauges</w:t>
            </w:r>
          </w:p>
        </w:tc>
      </w:tr>
      <w:tr w:rsidTr="006E2F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rPr>
                <w:rStyle w:val="SpecialBold"/>
              </w:rPr>
              <w:t>Defects in the coating include:</w:t>
            </w:r>
          </w:p>
        </w:tc>
        <w:tc>
          <w:tcPr>
            <w:tcW w:w="6102" w:type="dxa"/>
            <w:tcBorders>
              <w:top w:val="nil"/>
              <w:left w:val="nil"/>
              <w:bottom w:val="nil"/>
              <w:right w:val="nil"/>
            </w:tcBorders>
            <w:tcMar>
              <w:top w:w="0" w:type="dxa"/>
              <w:left w:w="62" w:type="dxa"/>
              <w:bottom w:w="0" w:type="dxa"/>
              <w:right w:w="62" w:type="dxa"/>
            </w:tcMar>
          </w:tcPr>
          <w:p w:rsidR="00000000" w:rsidRPr="006E2F7D" w:rsidP="006E2F7D">
            <w:pPr>
              <w:pStyle w:val="ListBullet"/>
            </w:pPr>
            <w:r w:rsidRPr="006E2F7D">
              <w:t>Sags</w:t>
            </w:r>
          </w:p>
          <w:p w:rsidR="00000000" w:rsidRPr="006E2F7D" w:rsidP="006E2F7D">
            <w:pPr>
              <w:pStyle w:val="ListBullet"/>
            </w:pPr>
            <w:r w:rsidRPr="006E2F7D">
              <w:t>Runs</w:t>
            </w:r>
          </w:p>
          <w:p w:rsidR="00000000" w:rsidRPr="006E2F7D" w:rsidP="006E2F7D">
            <w:pPr>
              <w:pStyle w:val="ListBullet"/>
            </w:pPr>
            <w:r w:rsidRPr="006E2F7D">
              <w:t>Delamination</w:t>
            </w:r>
          </w:p>
          <w:p w:rsidR="00000000" w:rsidRPr="006E2F7D" w:rsidP="006E2F7D">
            <w:pPr>
              <w:pStyle w:val="ListBullet"/>
            </w:pPr>
            <w:r w:rsidRPr="006E2F7D">
              <w:t>Imperfections</w:t>
            </w:r>
          </w:p>
          <w:p w:rsidR="00000000" w:rsidRPr="006E2F7D" w:rsidP="006E2F7D">
            <w:pPr>
              <w:pStyle w:val="ListBullet"/>
            </w:pPr>
            <w:r w:rsidRPr="006E2F7D">
              <w:t>Dry spray</w:t>
            </w:r>
          </w:p>
          <w:p w:rsidR="00000000" w:rsidRPr="006E2F7D" w:rsidP="006E2F7D">
            <w:pPr>
              <w:pStyle w:val="ListBullet"/>
            </w:pPr>
            <w:r w:rsidRPr="006E2F7D">
              <w:t>Contamination</w:t>
            </w:r>
          </w:p>
          <w:p w:rsidR="00000000" w:rsidRPr="006E2F7D" w:rsidP="006E2F7D">
            <w:pPr>
              <w:pStyle w:val="ListBullet"/>
            </w:pPr>
            <w:r w:rsidRPr="006E2F7D">
              <w:t>Over-spray</w:t>
            </w:r>
          </w:p>
          <w:p w:rsidR="00000000" w:rsidP="006E2F7D">
            <w:pPr>
              <w:pStyle w:val="ListBullet"/>
              <w:rPr>
                <w:lang w:val="en-NZ"/>
              </w:rPr>
            </w:pPr>
            <w:r w:rsidRPr="006E2F7D">
              <w:t>Egress</w:t>
            </w:r>
          </w:p>
        </w:tc>
      </w:tr>
      <w:tr w:rsidTr="006E2F7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E2F7D">
            <w:pPr>
              <w:pStyle w:val="BodyText"/>
              <w:rPr>
                <w:lang w:val="en-NZ"/>
              </w:rPr>
            </w:pPr>
            <w:r w:rsidRPr="006E2F7D">
              <w:rPr>
                <w:rStyle w:val="SpecialBold"/>
              </w:rPr>
              <w:t>Legislative, regulatory and enterprise procedures include:</w:t>
            </w:r>
          </w:p>
        </w:tc>
        <w:tc>
          <w:tcPr>
            <w:tcW w:w="6102" w:type="dxa"/>
            <w:tcBorders>
              <w:top w:val="nil"/>
              <w:left w:val="nil"/>
              <w:bottom w:val="nil"/>
              <w:right w:val="nil"/>
            </w:tcBorders>
            <w:tcMar>
              <w:top w:w="0" w:type="dxa"/>
              <w:left w:w="62" w:type="dxa"/>
              <w:bottom w:w="0" w:type="dxa"/>
              <w:right w:w="62" w:type="dxa"/>
            </w:tcMar>
          </w:tcPr>
          <w:p w:rsidR="00000000" w:rsidRPr="006E2F7D" w:rsidP="006E2F7D">
            <w:pPr>
              <w:pStyle w:val="ListBullet"/>
            </w:pPr>
            <w:r w:rsidRPr="006E2F7D">
              <w:t>Commonwealth/state/territory environmental legislation, regulations and codes for the storage and disposal of hazardous and toxic materials</w:t>
            </w:r>
          </w:p>
          <w:p w:rsidR="00000000" w:rsidRPr="006E2F7D" w:rsidP="006E2F7D">
            <w:pPr>
              <w:pStyle w:val="ListBullet"/>
            </w:pPr>
            <w:r w:rsidRPr="006E2F7D">
              <w:t>MSDS</w:t>
            </w:r>
          </w:p>
          <w:p w:rsidR="00000000" w:rsidRPr="006E2F7D" w:rsidP="006E2F7D">
            <w:pPr>
              <w:pStyle w:val="ListBullet"/>
            </w:pPr>
            <w:r w:rsidRPr="006E2F7D">
              <w:t>Maintenance organisation manuals</w:t>
            </w:r>
          </w:p>
          <w:p w:rsidR="00000000" w:rsidRPr="006E2F7D" w:rsidP="006E2F7D">
            <w:pPr>
              <w:pStyle w:val="ListBullet"/>
            </w:pPr>
            <w:r w:rsidRPr="006E2F7D">
              <w:t>Procedures manuals</w:t>
            </w:r>
          </w:p>
          <w:p w:rsidR="00000000" w:rsidRPr="006E2F7D" w:rsidP="006E2F7D">
            <w:pPr>
              <w:pStyle w:val="ListBullet"/>
            </w:pPr>
            <w:r w:rsidRPr="006E2F7D">
              <w:t>Work instructions</w:t>
            </w:r>
          </w:p>
          <w:p w:rsidR="00000000" w:rsidRPr="006E2F7D" w:rsidP="006E2F7D">
            <w:pPr>
              <w:pStyle w:val="ListBullet"/>
            </w:pPr>
            <w:r w:rsidRPr="006E2F7D">
              <w:t>Relevant Defence regulations and instruct</w:t>
            </w:r>
            <w:r w:rsidRPr="006E2F7D">
              <w:t>ions</w:t>
            </w:r>
          </w:p>
          <w:p w:rsidR="00000000" w:rsidRPr="006E2F7D" w:rsidP="006E2F7D">
            <w:pPr>
              <w:pStyle w:val="ListBullet"/>
            </w:pPr>
            <w:r w:rsidRPr="006E2F7D">
              <w:t>Standing instructions</w:t>
            </w:r>
          </w:p>
        </w:tc>
      </w:tr>
    </w:tbl>
    <w:p w:rsidR="00000000" w:rsidRPr="006E2F7D" w:rsidP="006E2F7D">
      <w:pPr>
        <w:pStyle w:val="BodyText"/>
      </w:pPr>
    </w:p>
    <w:p w:rsidR="00000000" w:rsidRPr="006E2F7D" w:rsidP="006E2F7D">
      <w:pPr>
        <w:pStyle w:val="AllowPageBreak"/>
      </w:pPr>
    </w:p>
    <w:p w:rsidR="00000000" w:rsidRPr="006E2F7D" w:rsidP="006E2F7D">
      <w:pPr>
        <w:pStyle w:val="Heading1"/>
      </w:pPr>
      <w:bookmarkStart w:id="9" w:name="O_997142"/>
      <w:bookmarkEnd w:id="9"/>
      <w:r w:rsidRPr="006E2F7D">
        <w:t>Unit Mapping Information</w:t>
      </w:r>
    </w:p>
    <w:p w:rsidR="00000000" w:rsidRPr="006E2F7D" w:rsidP="00EF5BF3">
      <w:pPr>
        <w:pStyle w:val="BodyText"/>
      </w:pPr>
      <w:r w:rsidRPr="006E2F7D">
        <w:t>Release 2. Equivalent to MEA417 Apply specialty coatings to aircraft</w:t>
      </w:r>
    </w:p>
    <w:p w:rsidR="00000000" w:rsidRPr="006E2F7D" w:rsidP="006E2F7D">
      <w:pPr>
        <w:pStyle w:val="Heading1"/>
      </w:pPr>
      <w:bookmarkStart w:id="10" w:name="O_997151"/>
      <w:bookmarkEnd w:id="10"/>
      <w:r w:rsidRPr="006E2F7D">
        <w:t>Links</w:t>
      </w:r>
    </w:p>
    <w:p w:rsidR="00000000" w:rsidRPr="006E2F7D" w:rsidP="00EF5BF3">
      <w:pPr>
        <w:pStyle w:val="BodyText"/>
      </w:pPr>
      <w:r w:rsidRPr="006E2F7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E1528">
        <w:rPr>
          <w:rStyle w:val="Hyperlink"/>
        </w:rPr>
        <w:t>https://vetnet.gov.au/Pages/TrainingDocs.aspx?q=ce216c9c-04d5-4b3b-9bcf-4e81d0950371</w:t>
      </w:r>
      <w:r>
        <w:fldChar w:fldCharType="end"/>
      </w:r>
    </w:p>
    <w:p w:rsidR="00000000" w:rsidRPr="006E2F7D" w:rsidP="00EF5BF3">
      <w:pPr>
        <w:pStyle w:val="BodyText"/>
        <w:sectPr w:rsidSect="006E2F7D">
          <w:headerReference w:type="default" r:id="rId10"/>
          <w:footerReference w:type="default" r:id="rId11"/>
          <w:pgSz w:w="11908" w:h="16833"/>
          <w:pgMar w:top="1702" w:right="1418" w:bottom="1702" w:left="1418" w:header="992" w:footer="992" w:gutter="0"/>
          <w:cols w:space="720"/>
          <w:noEndnote/>
          <w:docGrid w:linePitch="299"/>
        </w:sectPr>
      </w:pPr>
    </w:p>
    <w:p w:rsidR="00000000" w:rsidRPr="006E2F7D" w:rsidP="006E2F7D">
      <w:pPr>
        <w:pStyle w:val="SuperHeading"/>
      </w:pPr>
      <w:r w:rsidRPr="006E2F7D">
        <w:t xml:space="preserve">Assessment Requirements for MEA417 Apply specialty coatings to </w:t>
      </w:r>
      <w:r w:rsidRPr="006E2F7D">
        <w:t>aircraft</w:t>
      </w:r>
    </w:p>
    <w:p w:rsidR="00000000" w:rsidRPr="006E2F7D" w:rsidP="006E2F7D">
      <w:pPr>
        <w:pStyle w:val="Heading1"/>
      </w:pPr>
      <w:bookmarkStart w:id="11" w:name="O_997140"/>
      <w:bookmarkEnd w:id="11"/>
      <w:r w:rsidRPr="006E2F7D">
        <w:t>Modification History</w:t>
      </w:r>
    </w:p>
    <w:p w:rsidR="00000000" w:rsidRPr="006E2F7D" w:rsidP="00EF5BF3">
      <w:pPr>
        <w:pStyle w:val="BodyText"/>
      </w:pPr>
      <w:r w:rsidRPr="006E2F7D">
        <w:t>Release 2. Equivalent to MEA417 Apply specialty coatings to aircraft with amended prerequisite codes.</w:t>
      </w:r>
    </w:p>
    <w:p w:rsidR="00000000" w:rsidRPr="006E2F7D" w:rsidP="006E2F7D">
      <w:pPr>
        <w:pStyle w:val="Heading1"/>
      </w:pPr>
      <w:bookmarkStart w:id="12" w:name="O_997139"/>
      <w:bookmarkEnd w:id="12"/>
      <w:r w:rsidRPr="006E2F7D">
        <w:t>Performance Evidence</w:t>
      </w:r>
    </w:p>
    <w:p w:rsidR="00000000" w:rsidRPr="006E2F7D" w:rsidP="00EF5BF3">
      <w:pPr>
        <w:pStyle w:val="BodyText"/>
      </w:pPr>
      <w:r w:rsidRPr="006E2F7D">
        <w:t>Evidence required to demonstrate competency in this unit must be relev</w:t>
      </w:r>
      <w:r w:rsidRPr="006E2F7D">
        <w:t>ant to and satisfy all of the requirements of the elements and performance criteria under the specified conditions of assessment, and must include:</w:t>
      </w:r>
    </w:p>
    <w:p w:rsidR="00000000" w:rsidRPr="006E2F7D" w:rsidP="006E2F7D">
      <w:pPr>
        <w:pStyle w:val="ListBullet"/>
      </w:pPr>
      <w:r w:rsidRPr="006E2F7D">
        <w:t xml:space="preserve">applying WHS procedures relating to specialty coating application, including the selection and correct use </w:t>
      </w:r>
      <w:r w:rsidRPr="006E2F7D">
        <w:t>of PPE</w:t>
      </w:r>
    </w:p>
    <w:p w:rsidR="00000000" w:rsidRPr="006E2F7D" w:rsidP="006E2F7D">
      <w:pPr>
        <w:pStyle w:val="ListBullet"/>
      </w:pPr>
      <w:r w:rsidRPr="006E2F7D">
        <w:t>using procedures, process specification and manufacturer’s data to identify coating preparation and application requirements</w:t>
      </w:r>
    </w:p>
    <w:p w:rsidR="00000000" w:rsidRPr="006E2F7D" w:rsidP="006E2F7D">
      <w:pPr>
        <w:pStyle w:val="ListBullet"/>
      </w:pPr>
      <w:r w:rsidRPr="006E2F7D">
        <w:t>selecting and applying masking materials</w:t>
      </w:r>
    </w:p>
    <w:p w:rsidR="00000000" w:rsidRPr="006E2F7D" w:rsidP="006E2F7D">
      <w:pPr>
        <w:pStyle w:val="ListBullet"/>
      </w:pPr>
      <w:r w:rsidRPr="006E2F7D">
        <w:t xml:space="preserve">selecting and using correct specialty coating </w:t>
      </w:r>
    </w:p>
    <w:p w:rsidR="00000000" w:rsidRPr="006E2F7D" w:rsidP="006E2F7D">
      <w:pPr>
        <w:pStyle w:val="ListBullet"/>
      </w:pPr>
      <w:r w:rsidRPr="006E2F7D">
        <w:t>using MSDS</w:t>
      </w:r>
    </w:p>
    <w:p w:rsidR="00000000" w:rsidRPr="006E2F7D" w:rsidP="006E2F7D">
      <w:pPr>
        <w:pStyle w:val="ListBullet"/>
      </w:pPr>
      <w:r w:rsidRPr="006E2F7D">
        <w:t>selecting and using applicable coating application methods</w:t>
      </w:r>
    </w:p>
    <w:p w:rsidR="00000000" w:rsidRPr="006E2F7D" w:rsidP="006E2F7D">
      <w:pPr>
        <w:pStyle w:val="ListBullet"/>
      </w:pPr>
      <w:r w:rsidRPr="006E2F7D">
        <w:t>cleaning and preparing surfaces for coating application</w:t>
      </w:r>
    </w:p>
    <w:p w:rsidR="00000000" w:rsidRPr="006E2F7D" w:rsidP="006E2F7D">
      <w:pPr>
        <w:pStyle w:val="ListBullet"/>
      </w:pPr>
      <w:r w:rsidRPr="006E2F7D">
        <w:t>correctly disposing of waste materials</w:t>
      </w:r>
    </w:p>
    <w:p w:rsidR="00000000" w:rsidRPr="006E2F7D" w:rsidP="006E2F7D">
      <w:pPr>
        <w:pStyle w:val="ListBullet"/>
      </w:pPr>
      <w:r w:rsidRPr="006E2F7D">
        <w:t>cleaning and maintenance of equipment and tools.</w:t>
      </w:r>
    </w:p>
    <w:p w:rsidR="00000000" w:rsidRPr="006E2F7D" w:rsidP="00EF5BF3">
      <w:pPr>
        <w:pStyle w:val="BodyText"/>
      </w:pPr>
      <w:r w:rsidRPr="006E2F7D">
        <w:t>The underlying skills inherent in this unit should be</w:t>
      </w:r>
      <w:r w:rsidRPr="006E2F7D">
        <w:t xml:space="preserve"> transferable across a range of specialty coating application tasks associated with aircraft. It is essential that cleanliness requirements and safety precautions, including the correct use of PPE, and application of environmental protection procedures are</w:t>
      </w:r>
      <w:r w:rsidRPr="006E2F7D">
        <w:t xml:space="preserve"> fully observed, understood and complied with. Ability to interpret drawing and specification requirements and application procedures and apply them in practice is critical.</w:t>
      </w:r>
    </w:p>
    <w:p w:rsidR="00EF5BF3" w:rsidP="00EF5BF3">
      <w:pPr>
        <w:pStyle w:val="BodyText"/>
      </w:pPr>
      <w:r w:rsidRPr="006E2F7D">
        <w:t>This is to be demonstrated through application of various types of specialty coati</w:t>
      </w:r>
      <w:r w:rsidRPr="006E2F7D">
        <w:t xml:space="preserve">ng as listed in the Range of Conditions across a range of aircraft applications. </w:t>
      </w:r>
    </w:p>
    <w:p w:rsidR="00000000" w:rsidRPr="006E2F7D" w:rsidP="006E2F7D">
      <w:pPr>
        <w:pStyle w:val="Heading1"/>
      </w:pPr>
      <w:bookmarkStart w:id="13" w:name="O_997138"/>
      <w:bookmarkEnd w:id="13"/>
      <w:r w:rsidRPr="006E2F7D">
        <w:t>Knowledge Evidence</w:t>
      </w:r>
    </w:p>
    <w:p w:rsidR="00000000" w:rsidRPr="006E2F7D" w:rsidP="00EF5BF3">
      <w:pPr>
        <w:pStyle w:val="BodyText"/>
      </w:pPr>
      <w:r w:rsidRPr="006E2F7D">
        <w:t>Evidence required to demonstrate competency in this unit must be relevant to and satisfy all of the requirements of the elements and performance criteria and include knowledge of:</w:t>
      </w:r>
    </w:p>
    <w:p w:rsidR="00000000" w:rsidRPr="006E2F7D" w:rsidP="006E2F7D">
      <w:pPr>
        <w:pStyle w:val="ListBullet"/>
      </w:pPr>
      <w:r w:rsidRPr="006E2F7D">
        <w:t>relevant enterprise procedures and maintenance publications</w:t>
      </w:r>
    </w:p>
    <w:p w:rsidR="00000000" w:rsidRPr="006E2F7D" w:rsidP="006E2F7D">
      <w:pPr>
        <w:pStyle w:val="ListBullet"/>
      </w:pPr>
      <w:r w:rsidRPr="006E2F7D">
        <w:t xml:space="preserve">WHS procedures </w:t>
      </w:r>
      <w:r w:rsidRPr="006E2F7D">
        <w:t>relating to the application of specialty aerospace coatings, including PPE</w:t>
      </w:r>
    </w:p>
    <w:p w:rsidR="00000000" w:rsidRPr="006E2F7D" w:rsidP="006E2F7D">
      <w:pPr>
        <w:pStyle w:val="ListBullet"/>
      </w:pPr>
      <w:r w:rsidRPr="006E2F7D">
        <w:t>relevant data from manufacturers of specialty coatings</w:t>
      </w:r>
    </w:p>
    <w:p w:rsidR="00000000" w:rsidRPr="006E2F7D" w:rsidP="006E2F7D">
      <w:pPr>
        <w:pStyle w:val="ListBullet"/>
      </w:pPr>
      <w:r w:rsidRPr="006E2F7D">
        <w:t>how to obtain MSDS</w:t>
      </w:r>
    </w:p>
    <w:p w:rsidR="00000000" w:rsidRPr="006E2F7D" w:rsidP="006E2F7D">
      <w:pPr>
        <w:pStyle w:val="ListBullet"/>
      </w:pPr>
      <w:r w:rsidRPr="006E2F7D">
        <w:t>criticality of areas of aircraft structure with regard to coating application</w:t>
      </w:r>
    </w:p>
    <w:p w:rsidR="00000000" w:rsidRPr="006E2F7D" w:rsidP="006E2F7D">
      <w:pPr>
        <w:pStyle w:val="ListBullet"/>
      </w:pPr>
      <w:r w:rsidRPr="006E2F7D">
        <w:t>cleaning processes and chemic</w:t>
      </w:r>
      <w:r w:rsidRPr="006E2F7D">
        <w:t>als used to prepare surfaces for coating application</w:t>
      </w:r>
    </w:p>
    <w:p w:rsidR="00000000" w:rsidRPr="006E2F7D" w:rsidP="006E2F7D">
      <w:pPr>
        <w:pStyle w:val="ListBullet"/>
      </w:pPr>
      <w:r w:rsidRPr="006E2F7D">
        <w:t>coating application methods</w:t>
      </w:r>
    </w:p>
    <w:p w:rsidR="00000000" w:rsidRPr="006E2F7D" w:rsidP="006E2F7D">
      <w:pPr>
        <w:pStyle w:val="ListBullet"/>
      </w:pPr>
      <w:r w:rsidRPr="006E2F7D">
        <w:t>masking materials</w:t>
      </w:r>
    </w:p>
    <w:p w:rsidR="00000000" w:rsidRPr="006E2F7D" w:rsidP="006E2F7D">
      <w:pPr>
        <w:pStyle w:val="ListBullet"/>
      </w:pPr>
      <w:r w:rsidRPr="006E2F7D">
        <w:t>environmental legislation and regulations relating to the storage, use and disposal of hazardous materials.</w:t>
      </w:r>
    </w:p>
    <w:p w:rsidR="00000000" w:rsidRPr="006E2F7D" w:rsidP="006E2F7D">
      <w:pPr>
        <w:pStyle w:val="AllowPageBreak"/>
      </w:pPr>
    </w:p>
    <w:p w:rsidR="00000000" w:rsidRPr="006E2F7D" w:rsidP="006E2F7D">
      <w:pPr>
        <w:pStyle w:val="Heading1"/>
      </w:pPr>
      <w:bookmarkStart w:id="14" w:name="O_997137"/>
      <w:bookmarkEnd w:id="14"/>
      <w:r w:rsidRPr="006E2F7D">
        <w:t>Assessment Conditions</w:t>
      </w:r>
    </w:p>
    <w:p w:rsidR="00000000" w:rsidRPr="006E2F7D" w:rsidP="006E2F7D">
      <w:pPr>
        <w:pStyle w:val="ListBullet"/>
      </w:pPr>
      <w:r w:rsidRPr="006E2F7D">
        <w:t>Competency should be assessed in the workplace or simulated workplace using materials, tools and equipment specified in the maintenance manuals and applicable procedures. It is also expected that general and special-purpose tools and ground support equipme</w:t>
      </w:r>
      <w:r w:rsidRPr="006E2F7D">
        <w:t>nt would be used where appropriate.</w:t>
      </w:r>
    </w:p>
    <w:p w:rsidR="00000000" w:rsidRPr="006E2F7D" w:rsidP="006E2F7D">
      <w:pPr>
        <w:pStyle w:val="ListBullet"/>
      </w:pPr>
      <w:r w:rsidRPr="006E2F7D">
        <w:t>The work plan should take account of applicable safety and quality requirements in accordance with the industry and regulatory standards.</w:t>
      </w:r>
    </w:p>
    <w:p w:rsidR="00000000" w:rsidRPr="006E2F7D" w:rsidP="006E2F7D">
      <w:pPr>
        <w:pStyle w:val="ListBullet"/>
      </w:pPr>
      <w:r w:rsidRPr="006E2F7D">
        <w:t>The following conditions of assessment represent the requirements of the Regulator</w:t>
      </w:r>
      <w:r w:rsidRPr="006E2F7D">
        <w:t>s (ADF and CASA) and maintenance stakeholders and must be rigorously observed.</w:t>
      </w:r>
    </w:p>
    <w:p w:rsidR="00000000" w:rsidRPr="006E2F7D" w:rsidP="006E2F7D">
      <w:pPr>
        <w:pStyle w:val="ListBullet"/>
      </w:pPr>
      <w:r w:rsidRPr="006E2F7D">
        <w:t>A person cannot be assessed as competent until it can be demonstrated to the satisfaction of the workplace assessor that the relevant elements and performance criteria of the un</w:t>
      </w:r>
      <w:r w:rsidRPr="006E2F7D">
        <w:t xml:space="preserve">it of competency are being achieved under routine supervision on a minimum of two (2) types of specialty coating on at least three (3) application tasks. </w:t>
      </w:r>
    </w:p>
    <w:p w:rsidR="00000000" w:rsidRPr="006E2F7D" w:rsidP="006E2F7D">
      <w:pPr>
        <w:pStyle w:val="ListBullet"/>
      </w:pPr>
      <w:r w:rsidRPr="006E2F7D">
        <w:t>This shall be established via the records in the Log of Industrial Experience and Achievement or, whe</w:t>
      </w:r>
      <w:r w:rsidRPr="006E2F7D">
        <w:t>re appropriate, an equivalent Industry Evidence Guide (for details refer to the Companion Volume Assessment Guidelines).</w:t>
      </w:r>
    </w:p>
    <w:p w:rsidR="00000000" w:rsidRPr="006E2F7D" w:rsidP="006E2F7D">
      <w:pPr>
        <w:pStyle w:val="ListBullet"/>
      </w:pPr>
      <w:r w:rsidRPr="006E2F7D">
        <w:t>Assessors must satisfy the requirements of the National Vocational Education and Training Regulator (Australian Skills Quality Authorit</w:t>
      </w:r>
      <w:r w:rsidRPr="006E2F7D">
        <w:t>y, or its successors).</w:t>
      </w:r>
    </w:p>
    <w:p w:rsidR="00000000" w:rsidRPr="006E2F7D" w:rsidP="006E2F7D">
      <w:pPr>
        <w:pStyle w:val="AllowPageBreak"/>
      </w:pPr>
    </w:p>
    <w:p w:rsidR="00000000" w:rsidRPr="006E2F7D" w:rsidP="006E2F7D">
      <w:pPr>
        <w:pStyle w:val="Heading1"/>
      </w:pPr>
      <w:bookmarkStart w:id="15" w:name="O_997152"/>
      <w:bookmarkEnd w:id="15"/>
      <w:r w:rsidRPr="006E2F7D">
        <w:t>Links</w:t>
      </w:r>
    </w:p>
    <w:p w:rsidR="00000000" w:rsidRPr="006E2F7D" w:rsidP="00EF5BF3">
      <w:pPr>
        <w:pStyle w:val="BodyText"/>
      </w:pPr>
      <w:r w:rsidRPr="006E2F7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E1528">
        <w:rPr>
          <w:rStyle w:val="Hyperlink"/>
        </w:rPr>
        <w:t>https://vetnet.gov.au/Pages/TrainingDocs.aspx?q=ce216c9c-04d5-4b3b-9bcf-4e81d0950371</w:t>
      </w:r>
      <w:r>
        <w:fldChar w:fldCharType="end"/>
      </w:r>
    </w:p>
    <w:p w:rsidR="00000000" w:rsidRPr="006E2F7D" w:rsidP="006E2F7D"/>
    <w:sectPr w:rsidSect="006E2F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F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F7D" w:rsidRPr="00EF5BF3" w:rsidP="00EF5B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F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BF3" w:rsidP="006E2F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F5BF3" w:rsidP="006E2F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F5BF3" w:rsidP="006E2F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F7D" w:rsidP="006E2F7D">
    <w:pPr>
      <w:pStyle w:val="Footer"/>
      <w:framePr w:wrap="around"/>
    </w:pPr>
    <w:r>
      <w:fldChar w:fldCharType="begin"/>
    </w:r>
    <w:r>
      <w:instrText xml:space="preserve"> DOCPROPERTY  Subject  \* MERGEFORMAT </w:instrText>
    </w:r>
    <w:r>
      <w:fldChar w:fldCharType="separate"/>
    </w:r>
    <w:r w:rsidR="00EF5BF3">
      <w:t>Approved</w:t>
    </w:r>
    <w:r w:rsidR="00EF5BF3">
      <w:fldChar w:fldCharType="end"/>
    </w:r>
    <w:r>
      <w:tab/>
      <w:t xml:space="preserve">Page </w:t>
    </w:r>
    <w:r>
      <w:fldChar w:fldCharType="begin"/>
    </w:r>
    <w:r>
      <w:instrText xml:space="preserve"> PAGE  \* Arabic  \* MERGEFORMAT </w:instrText>
    </w:r>
    <w:r>
      <w:fldChar w:fldCharType="separate"/>
    </w:r>
    <w:r w:rsidR="00EF5BF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5BF3">
      <w:rPr>
        <w:noProof/>
      </w:rPr>
      <w:t>6</w:t>
    </w:r>
    <w:r>
      <w:rPr>
        <w:noProof/>
      </w:rPr>
      <w:fldChar w:fldCharType="end"/>
    </w:r>
  </w:p>
  <w:p w:rsidR="006E2F7D" w:rsidP="006E2F7D">
    <w:pPr>
      <w:pStyle w:val="Footer"/>
      <w:framePr w:wrap="around"/>
    </w:pPr>
    <w:r>
      <w:t xml:space="preserve">© Commonwealth of Australia, </w:t>
    </w:r>
    <w:r>
      <w:fldChar w:fldCharType="begin"/>
    </w:r>
    <w:r>
      <w:instrText xml:space="preserve"> DATE  \@ "yyyy"  \* MERGEFORMAT </w:instrText>
    </w:r>
    <w:r>
      <w:fldChar w:fldCharType="separate"/>
    </w:r>
    <w:r w:rsidR="00EF5BF3">
      <w:rPr>
        <w:noProof/>
      </w:rPr>
      <w:t>2025</w:t>
    </w:r>
    <w:r>
      <w:fldChar w:fldCharType="end"/>
    </w:r>
    <w:r>
      <w:tab/>
    </w:r>
    <w:r>
      <w:fldChar w:fldCharType="begin"/>
    </w:r>
    <w:r>
      <w:instrText xml:space="preserve"> DOCPROPERTY  Author  \* MERGEFORMAT </w:instrText>
    </w:r>
    <w:r>
      <w:fldChar w:fldCharType="separate"/>
    </w:r>
    <w:r w:rsidR="00EF5BF3">
      <w:t>Manufacturing Industry Skills Alliance</w:t>
    </w:r>
    <w:r w:rsidR="00EF5BF3">
      <w:fldChar w:fldCharType="end"/>
    </w:r>
  </w:p>
  <w:p w:rsidR="006E2F7D" w:rsidP="006E2F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F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B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2F7D" w:rsidRPr="00EF5BF3" w:rsidP="00EF5B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F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BF3" w:rsidRPr="002D2AF8" w:rsidP="006E2F7D">
    <w:pPr>
      <w:pStyle w:val="Header"/>
      <w:framePr w:wrap="around"/>
    </w:pPr>
    <w:r>
      <w:fldChar w:fldCharType="begin"/>
    </w:r>
    <w:r>
      <w:instrText xml:space="preserve"> TITLE   \* MERGEFORMAT </w:instrText>
    </w:r>
    <w:r>
      <w:fldChar w:fldCharType="separate"/>
    </w:r>
    <w:r>
      <w:t>MEA417 Apply specialty coatings to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5BF3" w:rsidP="006E2F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F7D" w:rsidRPr="002D2AF8" w:rsidP="006E2F7D">
    <w:pPr>
      <w:pStyle w:val="Header"/>
      <w:framePr w:wrap="around"/>
    </w:pPr>
    <w:r>
      <w:fldChar w:fldCharType="begin"/>
    </w:r>
    <w:r>
      <w:instrText xml:space="preserve"> TITLE   \* MERGEFORMAT </w:instrText>
    </w:r>
    <w:r>
      <w:fldChar w:fldCharType="separate"/>
    </w:r>
    <w:r w:rsidR="00EF5BF3">
      <w:t>MEA417 Apply specialty coatings to aircraft</w:t>
    </w:r>
    <w:r w:rsidR="00EF5BF3">
      <w:fldChar w:fldCharType="end"/>
    </w:r>
    <w:r>
      <w:tab/>
      <w:t xml:space="preserve">Date this document was generated: </w:t>
    </w:r>
    <w:r>
      <w:fldChar w:fldCharType="begin"/>
    </w:r>
    <w:r>
      <w:instrText xml:space="preserve"> CREATEDATE  \@ "d MMMM yyyy"  \* MERGEFORMAT </w:instrText>
    </w:r>
    <w:r>
      <w:fldChar w:fldCharType="separate"/>
    </w:r>
    <w:r w:rsidR="00EF5BF3">
      <w:rPr>
        <w:noProof/>
      </w:rPr>
      <w:t>2 March 2025</w:t>
    </w:r>
    <w:r>
      <w:fldChar w:fldCharType="end"/>
    </w:r>
  </w:p>
  <w:p w:rsidR="006E2F7D" w:rsidP="006E2F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D056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FAFA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F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2F7D"/>
    <w:pPr>
      <w:spacing w:before="360" w:after="60"/>
      <w:outlineLvl w:val="0"/>
    </w:pPr>
    <w:rPr>
      <w:sz w:val="32"/>
    </w:rPr>
  </w:style>
  <w:style w:type="paragraph" w:styleId="Heading2">
    <w:name w:val="heading 2"/>
    <w:basedOn w:val="HeadingBase"/>
    <w:next w:val="BodyText"/>
    <w:link w:val="Heading2Char"/>
    <w:qFormat/>
    <w:rsid w:val="006E2F7D"/>
    <w:pPr>
      <w:keepLines/>
      <w:spacing w:before="240" w:after="120"/>
      <w:outlineLvl w:val="1"/>
    </w:pPr>
    <w:rPr>
      <w:sz w:val="28"/>
      <w:szCs w:val="40"/>
    </w:rPr>
  </w:style>
  <w:style w:type="paragraph" w:styleId="Heading3">
    <w:name w:val="heading 3"/>
    <w:basedOn w:val="HeadingBase"/>
    <w:next w:val="BodyText"/>
    <w:link w:val="Heading3Char"/>
    <w:qFormat/>
    <w:rsid w:val="006E2F7D"/>
    <w:pPr>
      <w:spacing w:before="180" w:after="120"/>
      <w:outlineLvl w:val="2"/>
    </w:pPr>
    <w:rPr>
      <w:spacing w:val="-10"/>
      <w:kern w:val="32"/>
    </w:rPr>
  </w:style>
  <w:style w:type="paragraph" w:styleId="Heading4">
    <w:name w:val="heading 4"/>
    <w:basedOn w:val="HeadingBase"/>
    <w:next w:val="BodyText"/>
    <w:link w:val="Heading4Char"/>
    <w:qFormat/>
    <w:rsid w:val="006E2F7D"/>
    <w:pPr>
      <w:spacing w:before="160" w:after="120"/>
      <w:outlineLvl w:val="3"/>
    </w:pPr>
    <w:rPr>
      <w:sz w:val="22"/>
    </w:rPr>
  </w:style>
  <w:style w:type="paragraph" w:styleId="Heading5">
    <w:name w:val="heading 5"/>
    <w:basedOn w:val="HeadingBase"/>
    <w:next w:val="Normal"/>
    <w:link w:val="Heading5Char"/>
    <w:qFormat/>
    <w:rsid w:val="006E2F7D"/>
    <w:pPr>
      <w:spacing w:before="80"/>
      <w:outlineLvl w:val="4"/>
    </w:pPr>
    <w:rPr>
      <w:color w:val="918585"/>
      <w:sz w:val="20"/>
    </w:rPr>
  </w:style>
  <w:style w:type="paragraph" w:styleId="Heading6">
    <w:name w:val="heading 6"/>
    <w:basedOn w:val="HeadingBase"/>
    <w:next w:val="Normal"/>
    <w:link w:val="Heading6Char"/>
    <w:qFormat/>
    <w:rsid w:val="006E2F7D"/>
    <w:pPr>
      <w:spacing w:before="60"/>
      <w:outlineLvl w:val="5"/>
    </w:pPr>
    <w:rPr>
      <w:color w:val="918585"/>
      <w:sz w:val="20"/>
    </w:rPr>
  </w:style>
  <w:style w:type="paragraph" w:styleId="Heading7">
    <w:name w:val="heading 7"/>
    <w:basedOn w:val="Normal"/>
    <w:next w:val="Normal"/>
    <w:link w:val="Heading7Char"/>
    <w:qFormat/>
    <w:rsid w:val="006E2F7D"/>
    <w:pPr>
      <w:ind w:left="720"/>
      <w:outlineLvl w:val="6"/>
    </w:pPr>
    <w:rPr>
      <w:i/>
    </w:rPr>
  </w:style>
  <w:style w:type="paragraph" w:styleId="Heading8">
    <w:name w:val="heading 8"/>
    <w:basedOn w:val="Normal"/>
    <w:next w:val="Normal"/>
    <w:link w:val="Heading8Char"/>
    <w:qFormat/>
    <w:rsid w:val="006E2F7D"/>
    <w:pPr>
      <w:ind w:left="720"/>
      <w:outlineLvl w:val="7"/>
    </w:pPr>
    <w:rPr>
      <w:i/>
    </w:rPr>
  </w:style>
  <w:style w:type="paragraph" w:styleId="Heading9">
    <w:name w:val="heading 9"/>
    <w:basedOn w:val="Normal"/>
    <w:next w:val="Normal"/>
    <w:link w:val="Heading9Char"/>
    <w:qFormat/>
    <w:rsid w:val="006E2F7D"/>
    <w:pPr>
      <w:ind w:left="720"/>
      <w:outlineLvl w:val="8"/>
    </w:pPr>
    <w:rPr>
      <w:i/>
    </w:rPr>
  </w:style>
  <w:style w:type="character" w:default="1" w:styleId="DefaultParagraphFont">
    <w:name w:val="Default Paragraph Font"/>
    <w:uiPriority w:val="1"/>
    <w:unhideWhenUsed/>
    <w:rsid w:val="006E2F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F7D"/>
  </w:style>
  <w:style w:type="character" w:customStyle="1" w:styleId="Heading1Char">
    <w:name w:val="Heading 1 Char"/>
    <w:basedOn w:val="DefaultParagraphFont"/>
    <w:link w:val="Heading1"/>
    <w:rsid w:val="006E2F7D"/>
    <w:rPr>
      <w:rFonts w:ascii="Times New Roman" w:eastAsia="Times New Roman" w:hAnsi="Times New Roman" w:cs="Times New Roman"/>
      <w:b/>
      <w:sz w:val="32"/>
      <w:szCs w:val="20"/>
      <w:lang w:eastAsia="en-US"/>
    </w:rPr>
  </w:style>
  <w:style w:type="paragraph" w:styleId="BodyText">
    <w:name w:val="Body Text"/>
    <w:basedOn w:val="Normal"/>
    <w:link w:val="BodyTextChar"/>
    <w:rsid w:val="006E2F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2F7D"/>
    <w:rPr>
      <w:rFonts w:ascii="Times New Roman" w:eastAsia="Times New Roman" w:hAnsi="Times New Roman" w:cs="Times New Roman"/>
      <w:sz w:val="24"/>
      <w:lang w:eastAsia="en-US"/>
    </w:rPr>
  </w:style>
  <w:style w:type="paragraph" w:styleId="ListBullet">
    <w:name w:val="List Bullet"/>
    <w:basedOn w:val="List"/>
    <w:rsid w:val="006E2F7D"/>
    <w:pPr>
      <w:numPr>
        <w:numId w:val="11"/>
      </w:numPr>
      <w:tabs>
        <w:tab w:val="clear" w:pos="340"/>
      </w:tabs>
      <w:spacing w:before="40" w:after="40"/>
    </w:pPr>
  </w:style>
  <w:style w:type="character" w:customStyle="1" w:styleId="SpecialBold">
    <w:name w:val="Special Bold"/>
    <w:basedOn w:val="DefaultParagraphFont"/>
    <w:rsid w:val="006E2F7D"/>
    <w:rPr>
      <w:b/>
      <w:spacing w:val="0"/>
    </w:rPr>
  </w:style>
  <w:style w:type="paragraph" w:customStyle="1" w:styleId="SuperHeading">
    <w:name w:val="SuperHeading"/>
    <w:basedOn w:val="Normal"/>
    <w:rsid w:val="006E2F7D"/>
    <w:pPr>
      <w:spacing w:before="240" w:after="120"/>
      <w:outlineLvl w:val="0"/>
    </w:pPr>
    <w:rPr>
      <w:rFonts w:ascii="Times New Roman" w:hAnsi="Times New Roman"/>
      <w:b/>
      <w:sz w:val="32"/>
    </w:rPr>
  </w:style>
  <w:style w:type="paragraph" w:customStyle="1" w:styleId="AllowPageBreak">
    <w:name w:val="AllowPageBreak"/>
    <w:rsid w:val="006E2F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2F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F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F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F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F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F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2F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2F7D"/>
    <w:rPr>
      <w:rFonts w:ascii="Courier New" w:eastAsia="Times New Roman" w:hAnsi="Courier New" w:cs="Times New Roman"/>
      <w:i/>
      <w:szCs w:val="20"/>
      <w:lang w:eastAsia="en-US"/>
    </w:rPr>
  </w:style>
  <w:style w:type="paragraph" w:customStyle="1" w:styleId="HeadingBase">
    <w:name w:val="Heading Base"/>
    <w:rsid w:val="006E2F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F7D"/>
    <w:pPr>
      <w:tabs>
        <w:tab w:val="right" w:leader="dot" w:pos="9072"/>
      </w:tabs>
      <w:ind w:left="567"/>
    </w:pPr>
    <w:rPr>
      <w:szCs w:val="22"/>
    </w:rPr>
  </w:style>
  <w:style w:type="paragraph" w:customStyle="1" w:styleId="TOCBase">
    <w:name w:val="TOC Base"/>
    <w:rsid w:val="006E2F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F7D"/>
    <w:pPr>
      <w:tabs>
        <w:tab w:val="right" w:leader="dot" w:pos="9072"/>
      </w:tabs>
      <w:spacing w:before="40" w:after="40"/>
      <w:ind w:left="284"/>
    </w:pPr>
    <w:rPr>
      <w:rFonts w:ascii="Times New Roman" w:hAnsi="Times New Roman"/>
    </w:rPr>
  </w:style>
  <w:style w:type="paragraph" w:styleId="TOC1">
    <w:name w:val="toc 1"/>
    <w:basedOn w:val="TOCBase"/>
    <w:next w:val="Normal"/>
    <w:rsid w:val="006E2F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2F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F7D"/>
    <w:rPr>
      <w:rFonts w:ascii="Times New Roman" w:eastAsia="Times New Roman" w:hAnsi="Times New Roman" w:cs="Times New Roman"/>
      <w:sz w:val="16"/>
      <w:lang w:eastAsia="en-US"/>
    </w:rPr>
  </w:style>
  <w:style w:type="paragraph" w:styleId="Title">
    <w:name w:val="Title"/>
    <w:basedOn w:val="HeadingBase"/>
    <w:link w:val="TitleChar"/>
    <w:qFormat/>
    <w:rsid w:val="006E2F7D"/>
    <w:pPr>
      <w:spacing w:before="5040"/>
      <w:jc w:val="center"/>
    </w:pPr>
    <w:rPr>
      <w:sz w:val="48"/>
      <w:szCs w:val="72"/>
      <w:lang w:val="en-US"/>
    </w:rPr>
  </w:style>
  <w:style w:type="character" w:customStyle="1" w:styleId="TitleChar">
    <w:name w:val="Title Char"/>
    <w:basedOn w:val="DefaultParagraphFont"/>
    <w:link w:val="Title"/>
    <w:rsid w:val="006E2F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F7D"/>
    <w:pPr>
      <w:tabs>
        <w:tab w:val="left" w:pos="3600"/>
        <w:tab w:val="left" w:pos="3958"/>
      </w:tabs>
    </w:pPr>
  </w:style>
  <w:style w:type="paragraph" w:styleId="List">
    <w:name w:val="List"/>
    <w:basedOn w:val="BodyText"/>
    <w:next w:val="BodyText"/>
    <w:rsid w:val="006E2F7D"/>
    <w:pPr>
      <w:tabs>
        <w:tab w:val="left" w:pos="340"/>
      </w:tabs>
      <w:spacing w:before="60" w:after="60"/>
      <w:ind w:left="340" w:hanging="340"/>
    </w:pPr>
  </w:style>
  <w:style w:type="paragraph" w:customStyle="1" w:styleId="Note">
    <w:name w:val="Note"/>
    <w:basedOn w:val="BodyText"/>
    <w:rsid w:val="006E2F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2F7D"/>
    <w:pPr>
      <w:framePr w:wrap="auto" w:hAnchor="text" w:y="6049"/>
    </w:pPr>
    <w:rPr>
      <w:color w:val="000000"/>
      <w:sz w:val="40"/>
    </w:rPr>
  </w:style>
  <w:style w:type="paragraph" w:customStyle="1" w:styleId="TOCTitle">
    <w:name w:val="TOCTitle"/>
    <w:basedOn w:val="Heading1"/>
    <w:rsid w:val="006E2F7D"/>
    <w:pPr>
      <w:spacing w:after="240"/>
      <w:jc w:val="center"/>
      <w:outlineLvl w:val="9"/>
    </w:pPr>
    <w:rPr>
      <w:caps/>
    </w:rPr>
  </w:style>
  <w:style w:type="paragraph" w:customStyle="1" w:styleId="Version">
    <w:name w:val="Version"/>
    <w:rsid w:val="006E2F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2F7D"/>
    <w:pPr>
      <w:numPr>
        <w:numId w:val="12"/>
      </w:numPr>
      <w:tabs>
        <w:tab w:val="clear" w:pos="680"/>
      </w:tabs>
    </w:pPr>
  </w:style>
  <w:style w:type="paragraph" w:styleId="Index1">
    <w:name w:val="index 1"/>
    <w:basedOn w:val="Normal"/>
    <w:next w:val="Normal"/>
    <w:semiHidden/>
    <w:rsid w:val="006E2F7D"/>
    <w:pPr>
      <w:keepNext w:val="0"/>
      <w:tabs>
        <w:tab w:val="right" w:pos="4176"/>
      </w:tabs>
      <w:ind w:left="198" w:hanging="198"/>
    </w:pPr>
    <w:rPr>
      <w:rFonts w:ascii="Garamond" w:hAnsi="Garamond"/>
    </w:rPr>
  </w:style>
  <w:style w:type="paragraph" w:styleId="IndexHeading">
    <w:name w:val="index heading"/>
    <w:basedOn w:val="Normal"/>
    <w:next w:val="Index1"/>
    <w:semiHidden/>
    <w:rsid w:val="006E2F7D"/>
    <w:pPr>
      <w:spacing w:before="120" w:after="120"/>
    </w:pPr>
    <w:rPr>
      <w:rFonts w:ascii="Arial" w:hAnsi="Arial"/>
      <w:b/>
      <w:color w:val="918585"/>
      <w:sz w:val="24"/>
    </w:rPr>
  </w:style>
  <w:style w:type="paragraph" w:styleId="Header">
    <w:name w:val="header"/>
    <w:basedOn w:val="Normal"/>
    <w:link w:val="HeaderChar"/>
    <w:rsid w:val="006E2F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F7D"/>
    <w:rPr>
      <w:rFonts w:ascii="Times New Roman" w:eastAsia="Times New Roman" w:hAnsi="Times New Roman" w:cs="Times New Roman"/>
      <w:sz w:val="16"/>
      <w:szCs w:val="20"/>
      <w:lang w:val="en-GB" w:eastAsia="en-US"/>
    </w:rPr>
  </w:style>
  <w:style w:type="paragraph" w:customStyle="1" w:styleId="Chapter">
    <w:name w:val="Chapter"/>
    <w:basedOn w:val="Normal"/>
    <w:rsid w:val="006E2F7D"/>
    <w:pPr>
      <w:spacing w:before="240"/>
    </w:pPr>
    <w:rPr>
      <w:rFonts w:ascii="Times New Roman" w:hAnsi="Times New Roman"/>
      <w:smallCaps/>
      <w:spacing w:val="80"/>
      <w:sz w:val="28"/>
    </w:rPr>
  </w:style>
  <w:style w:type="paragraph" w:customStyle="1" w:styleId="InChapter">
    <w:name w:val="InChapter"/>
    <w:basedOn w:val="Heading3"/>
    <w:rsid w:val="006E2F7D"/>
    <w:pPr>
      <w:spacing w:after="240"/>
      <w:outlineLvl w:val="9"/>
    </w:pPr>
    <w:rPr>
      <w:noProof/>
    </w:rPr>
  </w:style>
  <w:style w:type="paragraph" w:styleId="Index2">
    <w:name w:val="index 2"/>
    <w:basedOn w:val="Normal"/>
    <w:next w:val="Normal"/>
    <w:semiHidden/>
    <w:rsid w:val="006E2F7D"/>
    <w:pPr>
      <w:tabs>
        <w:tab w:val="right" w:pos="4176"/>
      </w:tabs>
      <w:ind w:left="568" w:hanging="284"/>
    </w:pPr>
    <w:rPr>
      <w:rFonts w:ascii="Garamond" w:hAnsi="Garamond"/>
    </w:rPr>
  </w:style>
  <w:style w:type="paragraph" w:customStyle="1" w:styleId="Byline">
    <w:name w:val="Byline"/>
    <w:rsid w:val="006E2F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F7D"/>
    <w:pPr>
      <w:tabs>
        <w:tab w:val="clear" w:pos="3600"/>
        <w:tab w:val="clear" w:pos="3958"/>
      </w:tabs>
      <w:jc w:val="right"/>
    </w:pPr>
  </w:style>
  <w:style w:type="character" w:styleId="Emphasis">
    <w:name w:val="Emphasis"/>
    <w:basedOn w:val="DefaultParagraphFont"/>
    <w:qFormat/>
    <w:rsid w:val="006E2F7D"/>
    <w:rPr>
      <w:i/>
    </w:rPr>
  </w:style>
  <w:style w:type="paragraph" w:styleId="Caption">
    <w:name w:val="caption"/>
    <w:basedOn w:val="BodyText"/>
    <w:next w:val="Normal"/>
    <w:qFormat/>
    <w:rsid w:val="006E2F7D"/>
    <w:pPr>
      <w:framePr w:w="2268" w:hSpace="181" w:vSpace="181" w:wrap="around" w:vAnchor="text" w:hAnchor="page" w:x="1135" w:y="285" w:anchorLock="1"/>
    </w:pPr>
    <w:rPr>
      <w:i/>
    </w:rPr>
  </w:style>
  <w:style w:type="paragraph" w:customStyle="1" w:styleId="MiniTOCTitle">
    <w:name w:val="MiniTOCTitle"/>
    <w:basedOn w:val="Heading4"/>
    <w:rsid w:val="006E2F7D"/>
    <w:pPr>
      <w:spacing w:before="240"/>
      <w:outlineLvl w:val="9"/>
    </w:pPr>
    <w:rPr>
      <w:noProof/>
      <w:sz w:val="24"/>
    </w:rPr>
  </w:style>
  <w:style w:type="paragraph" w:customStyle="1" w:styleId="MiniTOCItem">
    <w:name w:val="MiniTOCItem"/>
    <w:basedOn w:val="ListBullet"/>
    <w:rsid w:val="006E2F7D"/>
    <w:pPr>
      <w:numPr>
        <w:numId w:val="0"/>
      </w:numPr>
      <w:tabs>
        <w:tab w:val="right" w:leader="dot" w:pos="6521"/>
      </w:tabs>
      <w:spacing w:before="0" w:after="0"/>
    </w:pPr>
  </w:style>
  <w:style w:type="paragraph" w:customStyle="1" w:styleId="TOFTitle">
    <w:name w:val="TOFTitle"/>
    <w:basedOn w:val="TOCTitle"/>
    <w:rsid w:val="006E2F7D"/>
  </w:style>
  <w:style w:type="paragraph" w:styleId="TableofFigures">
    <w:name w:val="table of figures"/>
    <w:basedOn w:val="Normal"/>
    <w:next w:val="Normal"/>
    <w:semiHidden/>
    <w:rsid w:val="006E2F7D"/>
    <w:pPr>
      <w:tabs>
        <w:tab w:val="right" w:leader="dot" w:pos="9072"/>
      </w:tabs>
      <w:ind w:left="970" w:hanging="403"/>
    </w:pPr>
    <w:rPr>
      <w:rFonts w:ascii="Times New Roman" w:hAnsi="Times New Roman"/>
      <w:b/>
    </w:rPr>
  </w:style>
  <w:style w:type="paragraph" w:styleId="ListNumber">
    <w:name w:val="List Number"/>
    <w:basedOn w:val="List"/>
    <w:rsid w:val="006E2F7D"/>
    <w:pPr>
      <w:numPr>
        <w:numId w:val="14"/>
      </w:numPr>
      <w:tabs>
        <w:tab w:val="clear" w:pos="340"/>
      </w:tabs>
    </w:pPr>
  </w:style>
  <w:style w:type="character" w:customStyle="1" w:styleId="WingdingSymbols">
    <w:name w:val="Wingding Symbols"/>
    <w:rsid w:val="006E2F7D"/>
    <w:rPr>
      <w:rFonts w:ascii="Wingdings" w:hAnsi="Wingdings"/>
    </w:rPr>
  </w:style>
  <w:style w:type="paragraph" w:customStyle="1" w:styleId="TableHeading">
    <w:name w:val="Table Heading"/>
    <w:basedOn w:val="HeadingBase"/>
    <w:rsid w:val="006E2F7D"/>
    <w:pPr>
      <w:keepLines/>
      <w:pBdr>
        <w:bottom w:val="single" w:sz="6" w:space="1" w:color="918585"/>
      </w:pBdr>
      <w:spacing w:before="240"/>
    </w:pPr>
  </w:style>
  <w:style w:type="character" w:customStyle="1" w:styleId="HotSpot">
    <w:name w:val="HotSpot"/>
    <w:rsid w:val="006E2F7D"/>
    <w:rPr>
      <w:color w:val="0033CC"/>
      <w:u w:val="none"/>
    </w:rPr>
  </w:style>
  <w:style w:type="paragraph" w:customStyle="1" w:styleId="BodyTextRight">
    <w:name w:val="Body Text Right"/>
    <w:basedOn w:val="BodyText"/>
    <w:rsid w:val="006E2F7D"/>
    <w:pPr>
      <w:spacing w:before="0" w:after="0"/>
      <w:jc w:val="right"/>
    </w:pPr>
  </w:style>
  <w:style w:type="paragraph" w:styleId="Index3">
    <w:name w:val="index 3"/>
    <w:basedOn w:val="ListNumber2"/>
    <w:next w:val="Normal"/>
    <w:semiHidden/>
    <w:rsid w:val="006E2F7D"/>
    <w:pPr>
      <w:numPr>
        <w:numId w:val="0"/>
      </w:numPr>
      <w:tabs>
        <w:tab w:val="right" w:leader="dot" w:pos="4176"/>
      </w:tabs>
    </w:pPr>
  </w:style>
  <w:style w:type="paragraph" w:styleId="ListNumber2">
    <w:name w:val="List Number 2"/>
    <w:basedOn w:val="List2"/>
    <w:rsid w:val="006E2F7D"/>
    <w:pPr>
      <w:numPr>
        <w:numId w:val="9"/>
      </w:numPr>
      <w:tabs>
        <w:tab w:val="clear" w:pos="1060"/>
      </w:tabs>
    </w:pPr>
  </w:style>
  <w:style w:type="paragraph" w:customStyle="1" w:styleId="MarginNote">
    <w:name w:val="Margin Note"/>
    <w:basedOn w:val="BodyText"/>
    <w:rsid w:val="006E2F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F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F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2F7D"/>
    <w:rPr>
      <w:sz w:val="32"/>
    </w:rPr>
  </w:style>
  <w:style w:type="paragraph" w:customStyle="1" w:styleId="HeadingProcedure">
    <w:name w:val="Heading Procedure"/>
    <w:basedOn w:val="HeadingBase"/>
    <w:next w:val="Normal"/>
    <w:rsid w:val="006E2F7D"/>
    <w:pPr>
      <w:tabs>
        <w:tab w:val="left" w:pos="0"/>
      </w:tabs>
      <w:spacing w:before="120" w:after="60"/>
    </w:pPr>
    <w:rPr>
      <w:i/>
      <w:color w:val="918585"/>
      <w:sz w:val="22"/>
    </w:rPr>
  </w:style>
  <w:style w:type="paragraph" w:customStyle="1" w:styleId="TableBodyText">
    <w:name w:val="Table Body Text"/>
    <w:basedOn w:val="BodyText"/>
    <w:rsid w:val="006E2F7D"/>
    <w:pPr>
      <w:spacing w:before="60" w:after="60"/>
    </w:pPr>
  </w:style>
  <w:style w:type="paragraph" w:styleId="ListContinue">
    <w:name w:val="List Continue"/>
    <w:basedOn w:val="List"/>
    <w:rsid w:val="006E2F7D"/>
    <w:pPr>
      <w:ind w:firstLine="0"/>
    </w:pPr>
  </w:style>
  <w:style w:type="paragraph" w:customStyle="1" w:styleId="ListNote">
    <w:name w:val="List Note"/>
    <w:basedOn w:val="List"/>
    <w:rsid w:val="006E2F7D"/>
    <w:pPr>
      <w:pBdr>
        <w:top w:val="single" w:sz="6" w:space="2" w:color="918585"/>
        <w:bottom w:val="single" w:sz="6" w:space="2" w:color="918585"/>
      </w:pBdr>
      <w:tabs>
        <w:tab w:val="left" w:pos="1021"/>
      </w:tabs>
      <w:ind w:firstLine="0"/>
    </w:pPr>
  </w:style>
  <w:style w:type="paragraph" w:customStyle="1" w:styleId="Warning">
    <w:name w:val="Warning"/>
    <w:basedOn w:val="BodyText"/>
    <w:rsid w:val="006E2F7D"/>
    <w:pPr>
      <w:shd w:val="clear" w:color="auto" w:fill="D9D9D9"/>
      <w:tabs>
        <w:tab w:val="left" w:pos="992"/>
      </w:tabs>
      <w:ind w:left="119" w:right="119"/>
    </w:pPr>
    <w:rPr>
      <w:sz w:val="20"/>
    </w:rPr>
  </w:style>
  <w:style w:type="paragraph" w:customStyle="1" w:styleId="MarginIcons">
    <w:name w:val="Margin Icons"/>
    <w:basedOn w:val="BodyText"/>
    <w:rsid w:val="006E2F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F7D"/>
    <w:rPr>
      <w:rFonts w:ascii="Courier New" w:hAnsi="Courier New"/>
    </w:rPr>
  </w:style>
  <w:style w:type="paragraph" w:customStyle="1" w:styleId="NoteBullet">
    <w:name w:val="Note Bullet"/>
    <w:basedOn w:val="Note"/>
    <w:rsid w:val="006E2F7D"/>
    <w:pPr>
      <w:tabs>
        <w:tab w:val="clear" w:pos="680"/>
      </w:tabs>
      <w:spacing w:before="60" w:after="60"/>
    </w:pPr>
  </w:style>
  <w:style w:type="paragraph" w:customStyle="1" w:styleId="SubHeading2">
    <w:name w:val="SubHeading2"/>
    <w:basedOn w:val="HeadingBase"/>
    <w:rsid w:val="006E2F7D"/>
    <w:pPr>
      <w:spacing w:before="240" w:after="60"/>
    </w:pPr>
    <w:rPr>
      <w:sz w:val="20"/>
    </w:rPr>
  </w:style>
  <w:style w:type="paragraph" w:customStyle="1" w:styleId="SubHeading1">
    <w:name w:val="SubHeading1"/>
    <w:basedOn w:val="HeadingBase"/>
    <w:rsid w:val="006E2F7D"/>
    <w:pPr>
      <w:spacing w:before="240" w:after="60"/>
    </w:pPr>
    <w:rPr>
      <w:color w:val="918585"/>
      <w:sz w:val="22"/>
    </w:rPr>
  </w:style>
  <w:style w:type="paragraph" w:customStyle="1" w:styleId="SideHeading">
    <w:name w:val="Side Heading"/>
    <w:basedOn w:val="HeadingBase"/>
    <w:rsid w:val="006E2F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F7D"/>
    <w:pPr>
      <w:numPr>
        <w:numId w:val="10"/>
      </w:numPr>
    </w:pPr>
  </w:style>
  <w:style w:type="paragraph" w:styleId="PlainText">
    <w:name w:val="Plain Text"/>
    <w:basedOn w:val="Normal"/>
    <w:link w:val="PlainTextChar"/>
    <w:rsid w:val="006E2F7D"/>
    <w:rPr>
      <w:sz w:val="20"/>
    </w:rPr>
  </w:style>
  <w:style w:type="character" w:customStyle="1" w:styleId="PlainTextChar">
    <w:name w:val="Plain Text Char"/>
    <w:basedOn w:val="DefaultParagraphFont"/>
    <w:link w:val="PlainText"/>
    <w:rsid w:val="006E2F7D"/>
    <w:rPr>
      <w:rFonts w:ascii="Courier New" w:eastAsia="Times New Roman" w:hAnsi="Courier New" w:cs="Times New Roman"/>
      <w:sz w:val="20"/>
      <w:szCs w:val="20"/>
      <w:lang w:eastAsia="en-US"/>
    </w:rPr>
  </w:style>
  <w:style w:type="character" w:customStyle="1" w:styleId="MenuOption">
    <w:name w:val="Menu Option"/>
    <w:basedOn w:val="DefaultParagraphFont"/>
    <w:rsid w:val="006E2F7D"/>
    <w:rPr>
      <w:b/>
      <w:smallCaps/>
    </w:rPr>
  </w:style>
  <w:style w:type="paragraph" w:customStyle="1" w:styleId="TableListNumber">
    <w:name w:val="Table List Number"/>
    <w:basedOn w:val="ListNumber"/>
    <w:rsid w:val="006E2F7D"/>
    <w:pPr>
      <w:numPr>
        <w:numId w:val="0"/>
      </w:numPr>
    </w:pPr>
  </w:style>
  <w:style w:type="paragraph" w:styleId="TOC4">
    <w:name w:val="toc 4"/>
    <w:basedOn w:val="TOCBase"/>
    <w:next w:val="Normal"/>
    <w:semiHidden/>
    <w:rsid w:val="006E2F7D"/>
    <w:pPr>
      <w:tabs>
        <w:tab w:val="right" w:leader="dot" w:pos="9071"/>
      </w:tabs>
      <w:ind w:left="1701"/>
    </w:pPr>
  </w:style>
  <w:style w:type="paragraph" w:customStyle="1" w:styleId="ListAlpha">
    <w:name w:val="List Alpha"/>
    <w:basedOn w:val="List"/>
    <w:rsid w:val="006E2F7D"/>
    <w:pPr>
      <w:numPr>
        <w:numId w:val="8"/>
      </w:numPr>
    </w:pPr>
  </w:style>
  <w:style w:type="paragraph" w:customStyle="1" w:styleId="ListAlpha2">
    <w:name w:val="List Alpha 2"/>
    <w:basedOn w:val="List2"/>
    <w:rsid w:val="006E2F7D"/>
    <w:pPr>
      <w:numPr>
        <w:numId w:val="7"/>
      </w:numPr>
    </w:pPr>
  </w:style>
  <w:style w:type="paragraph" w:styleId="List2">
    <w:name w:val="List 2"/>
    <w:basedOn w:val="BodyText"/>
    <w:rsid w:val="006E2F7D"/>
    <w:pPr>
      <w:tabs>
        <w:tab w:val="left" w:pos="680"/>
      </w:tabs>
      <w:spacing w:before="60" w:after="60"/>
      <w:ind w:left="680" w:hanging="340"/>
    </w:pPr>
  </w:style>
  <w:style w:type="paragraph" w:styleId="List3">
    <w:name w:val="List 3"/>
    <w:basedOn w:val="BodyText"/>
    <w:rsid w:val="006E2F7D"/>
    <w:pPr>
      <w:tabs>
        <w:tab w:val="left" w:pos="1021"/>
      </w:tabs>
      <w:spacing w:before="60" w:after="60"/>
      <w:ind w:left="1020" w:hanging="340"/>
    </w:pPr>
  </w:style>
  <w:style w:type="paragraph" w:styleId="List4">
    <w:name w:val="List 4"/>
    <w:basedOn w:val="BodyText"/>
    <w:rsid w:val="006E2F7D"/>
    <w:pPr>
      <w:tabs>
        <w:tab w:val="left" w:pos="1361"/>
      </w:tabs>
      <w:spacing w:before="60" w:after="60"/>
      <w:ind w:left="1361" w:hanging="340"/>
    </w:pPr>
  </w:style>
  <w:style w:type="paragraph" w:styleId="List5">
    <w:name w:val="List 5"/>
    <w:basedOn w:val="BodyText"/>
    <w:rsid w:val="006E2F7D"/>
    <w:pPr>
      <w:tabs>
        <w:tab w:val="left" w:pos="1701"/>
      </w:tabs>
      <w:spacing w:before="60" w:after="60"/>
      <w:ind w:left="1701" w:hanging="340"/>
    </w:pPr>
  </w:style>
  <w:style w:type="paragraph" w:styleId="ListBullet3">
    <w:name w:val="List Bullet 3"/>
    <w:basedOn w:val="List3"/>
    <w:rsid w:val="006E2F7D"/>
    <w:pPr>
      <w:numPr>
        <w:numId w:val="13"/>
      </w:numPr>
      <w:tabs>
        <w:tab w:val="clear" w:pos="1021"/>
      </w:tabs>
      <w:ind w:left="1037" w:hanging="357"/>
    </w:pPr>
  </w:style>
  <w:style w:type="paragraph" w:styleId="ListBullet4">
    <w:name w:val="List Bullet 4"/>
    <w:basedOn w:val="List4"/>
    <w:rsid w:val="006E2F7D"/>
    <w:pPr>
      <w:numPr>
        <w:numId w:val="2"/>
      </w:numPr>
      <w:tabs>
        <w:tab w:val="clear" w:pos="1361"/>
      </w:tabs>
    </w:pPr>
  </w:style>
  <w:style w:type="paragraph" w:styleId="ListBullet5">
    <w:name w:val="List Bullet 5"/>
    <w:basedOn w:val="List5"/>
    <w:rsid w:val="006E2F7D"/>
    <w:pPr>
      <w:numPr>
        <w:numId w:val="3"/>
      </w:numPr>
    </w:pPr>
  </w:style>
  <w:style w:type="paragraph" w:styleId="ListContinue2">
    <w:name w:val="List Continue 2"/>
    <w:basedOn w:val="List2"/>
    <w:rsid w:val="006E2F7D"/>
    <w:pPr>
      <w:ind w:firstLine="0"/>
    </w:pPr>
  </w:style>
  <w:style w:type="paragraph" w:styleId="ListContinue3">
    <w:name w:val="List Continue 3"/>
    <w:basedOn w:val="List3"/>
    <w:rsid w:val="006E2F7D"/>
    <w:pPr>
      <w:ind w:left="1021" w:firstLine="0"/>
    </w:pPr>
  </w:style>
  <w:style w:type="paragraph" w:styleId="ListContinue4">
    <w:name w:val="List Continue 4"/>
    <w:basedOn w:val="List4"/>
    <w:rsid w:val="006E2F7D"/>
    <w:pPr>
      <w:ind w:firstLine="0"/>
    </w:pPr>
  </w:style>
  <w:style w:type="paragraph" w:styleId="ListContinue5">
    <w:name w:val="List Continue 5"/>
    <w:basedOn w:val="List5"/>
    <w:rsid w:val="006E2F7D"/>
    <w:pPr>
      <w:ind w:firstLine="0"/>
    </w:pPr>
  </w:style>
  <w:style w:type="paragraph" w:styleId="ListNumber3">
    <w:name w:val="List Number 3"/>
    <w:basedOn w:val="List3"/>
    <w:rsid w:val="006E2F7D"/>
    <w:pPr>
      <w:numPr>
        <w:numId w:val="4"/>
      </w:numPr>
    </w:pPr>
  </w:style>
  <w:style w:type="paragraph" w:styleId="ListNumber4">
    <w:name w:val="List Number 4"/>
    <w:basedOn w:val="List4"/>
    <w:rsid w:val="006E2F7D"/>
    <w:pPr>
      <w:numPr>
        <w:numId w:val="5"/>
      </w:numPr>
    </w:pPr>
  </w:style>
  <w:style w:type="paragraph" w:styleId="ListNumber5">
    <w:name w:val="List Number 5"/>
    <w:basedOn w:val="List5"/>
    <w:rsid w:val="006E2F7D"/>
    <w:pPr>
      <w:numPr>
        <w:numId w:val="6"/>
      </w:numPr>
    </w:pPr>
  </w:style>
  <w:style w:type="paragraph" w:styleId="BlockText">
    <w:name w:val="Block Text"/>
    <w:basedOn w:val="Normal"/>
    <w:rsid w:val="006E2F7D"/>
    <w:pPr>
      <w:spacing w:after="120"/>
      <w:ind w:left="1440" w:right="1440"/>
    </w:pPr>
  </w:style>
  <w:style w:type="character" w:customStyle="1" w:styleId="Subscript">
    <w:name w:val="Subscript"/>
    <w:basedOn w:val="DefaultParagraphFont"/>
    <w:rsid w:val="006E2F7D"/>
    <w:rPr>
      <w:sz w:val="16"/>
      <w:vertAlign w:val="subscript"/>
    </w:rPr>
  </w:style>
  <w:style w:type="character" w:customStyle="1" w:styleId="Superscript">
    <w:name w:val="Superscript"/>
    <w:basedOn w:val="DefaultParagraphFont"/>
    <w:rsid w:val="006E2F7D"/>
    <w:rPr>
      <w:sz w:val="16"/>
      <w:vertAlign w:val="superscript"/>
    </w:rPr>
  </w:style>
  <w:style w:type="character" w:customStyle="1" w:styleId="Symbols">
    <w:name w:val="Symbols"/>
    <w:basedOn w:val="DefaultParagraphFont"/>
    <w:rsid w:val="006E2F7D"/>
    <w:rPr>
      <w:rFonts w:ascii="Symbol" w:hAnsi="Symbol"/>
    </w:rPr>
  </w:style>
  <w:style w:type="character" w:customStyle="1" w:styleId="MenuOptions">
    <w:name w:val="Menu Options"/>
    <w:basedOn w:val="DefaultParagraphFont"/>
    <w:rsid w:val="006E2F7D"/>
    <w:rPr>
      <w:rFonts w:ascii="Arial Narrow" w:hAnsi="Arial Narrow"/>
      <w:smallCaps/>
    </w:rPr>
  </w:style>
  <w:style w:type="character" w:customStyle="1" w:styleId="Buttons">
    <w:name w:val="Buttons"/>
    <w:basedOn w:val="DefaultParagraphFont"/>
    <w:rsid w:val="006E2F7D"/>
    <w:rPr>
      <w:b/>
    </w:rPr>
  </w:style>
  <w:style w:type="character" w:customStyle="1" w:styleId="Underlined">
    <w:name w:val="Underlined"/>
    <w:basedOn w:val="DefaultParagraphFont"/>
    <w:rsid w:val="006E2F7D"/>
    <w:rPr>
      <w:u w:val="single"/>
    </w:rPr>
  </w:style>
  <w:style w:type="paragraph" w:customStyle="1" w:styleId="TableBodyTextRight">
    <w:name w:val="Table Body Text Right"/>
    <w:basedOn w:val="TableBodyText"/>
    <w:rsid w:val="006E2F7D"/>
    <w:pPr>
      <w:widowControl w:val="0"/>
      <w:autoSpaceDE w:val="0"/>
      <w:autoSpaceDN w:val="0"/>
      <w:adjustRightInd w:val="0"/>
      <w:jc w:val="right"/>
    </w:pPr>
    <w:rPr>
      <w:rFonts w:cs="Arial"/>
      <w:szCs w:val="18"/>
    </w:rPr>
  </w:style>
  <w:style w:type="paragraph" w:customStyle="1" w:styleId="CopyrightText">
    <w:name w:val="Copyright Text"/>
    <w:basedOn w:val="BodyText"/>
    <w:rsid w:val="006E2F7D"/>
    <w:rPr>
      <w:sz w:val="18"/>
    </w:rPr>
  </w:style>
  <w:style w:type="paragraph" w:customStyle="1" w:styleId="BodySmallRight">
    <w:name w:val="Body Small Right"/>
    <w:basedOn w:val="BodyTextRight"/>
    <w:rsid w:val="006E2F7D"/>
    <w:rPr>
      <w:sz w:val="18"/>
      <w:szCs w:val="18"/>
    </w:rPr>
  </w:style>
  <w:style w:type="paragraph" w:customStyle="1" w:styleId="MarginEdition">
    <w:name w:val="Margin Edition"/>
    <w:basedOn w:val="MarginNote"/>
    <w:rsid w:val="006E2F7D"/>
    <w:pPr>
      <w:spacing w:before="0" w:after="0"/>
    </w:pPr>
    <w:rPr>
      <w:rFonts w:ascii="Times New Roman" w:hAnsi="Times New Roman"/>
      <w:color w:val="999999"/>
    </w:rPr>
  </w:style>
  <w:style w:type="paragraph" w:customStyle="1" w:styleId="Spacer">
    <w:name w:val="Spacer"/>
    <w:basedOn w:val="Normal"/>
    <w:rsid w:val="006E2F7D"/>
    <w:rPr>
      <w:sz w:val="2"/>
      <w:szCs w:val="2"/>
    </w:rPr>
  </w:style>
  <w:style w:type="character" w:customStyle="1" w:styleId="Small">
    <w:name w:val="Small"/>
    <w:basedOn w:val="DefaultParagraphFont"/>
    <w:rsid w:val="006E2F7D"/>
    <w:rPr>
      <w:sz w:val="16"/>
    </w:rPr>
  </w:style>
  <w:style w:type="paragraph" w:customStyle="1" w:styleId="WideTable">
    <w:name w:val="Wide Table"/>
    <w:basedOn w:val="Normal"/>
    <w:rsid w:val="006E2F7D"/>
    <w:pPr>
      <w:ind w:left="-1418"/>
    </w:pPr>
    <w:rPr>
      <w:sz w:val="2"/>
      <w:szCs w:val="2"/>
    </w:rPr>
  </w:style>
  <w:style w:type="character" w:styleId="PageNumber">
    <w:name w:val="page number"/>
    <w:basedOn w:val="DefaultParagraphFont"/>
    <w:rsid w:val="006E2F7D"/>
  </w:style>
  <w:style w:type="paragraph" w:styleId="Quote">
    <w:name w:val="Quote"/>
    <w:basedOn w:val="Heading1"/>
    <w:link w:val="QuoteChar"/>
    <w:qFormat/>
    <w:rsid w:val="006E2F7D"/>
    <w:rPr>
      <w:b w:val="0"/>
      <w:sz w:val="72"/>
      <w:szCs w:val="72"/>
      <w:lang w:val="en-NZ"/>
    </w:rPr>
  </w:style>
  <w:style w:type="character" w:customStyle="1" w:styleId="QuoteChar">
    <w:name w:val="Quote Char"/>
    <w:basedOn w:val="DefaultParagraphFont"/>
    <w:link w:val="Quote"/>
    <w:rsid w:val="006E2F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F7D"/>
    <w:pPr>
      <w:pageBreakBefore/>
    </w:pPr>
  </w:style>
  <w:style w:type="paragraph" w:customStyle="1" w:styleId="Border">
    <w:name w:val="Border"/>
    <w:basedOn w:val="Normal"/>
    <w:qFormat/>
    <w:rsid w:val="006E2F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F7D"/>
    <w:rPr>
      <w:b/>
      <w:bCs/>
      <w:i/>
      <w:iCs/>
      <w:color w:val="auto"/>
    </w:rPr>
  </w:style>
  <w:style w:type="paragraph" w:styleId="IntenseQuote">
    <w:name w:val="Intense Quote"/>
    <w:basedOn w:val="Normal"/>
    <w:next w:val="Normal"/>
    <w:link w:val="IntenseQuoteChar"/>
    <w:uiPriority w:val="30"/>
    <w:qFormat/>
    <w:rsid w:val="006E2F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F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2F7D"/>
    <w:rPr>
      <w:smallCaps/>
      <w:color w:val="auto"/>
      <w:u w:val="single"/>
    </w:rPr>
  </w:style>
  <w:style w:type="character" w:styleId="IntenseReference">
    <w:name w:val="Intense Reference"/>
    <w:basedOn w:val="DefaultParagraphFont"/>
    <w:uiPriority w:val="32"/>
    <w:qFormat/>
    <w:rsid w:val="006E2F7D"/>
    <w:rPr>
      <w:b/>
      <w:bCs/>
      <w:smallCaps/>
      <w:color w:val="auto"/>
      <w:spacing w:val="5"/>
      <w:u w:val="single"/>
    </w:rPr>
  </w:style>
  <w:style w:type="paragraph" w:customStyle="1" w:styleId="2ColumnHeading">
    <w:name w:val="2Column Heading"/>
    <w:basedOn w:val="BodyText"/>
    <w:qFormat/>
    <w:rsid w:val="006E2F7D"/>
    <w:pPr>
      <w:spacing w:after="60"/>
      <w:ind w:left="-2268"/>
    </w:pPr>
    <w:rPr>
      <w:b/>
    </w:rPr>
  </w:style>
  <w:style w:type="paragraph" w:customStyle="1" w:styleId="Heading1TOC">
    <w:name w:val="Heading1 TOC"/>
    <w:basedOn w:val="Normal"/>
    <w:qFormat/>
    <w:rsid w:val="006E2F7D"/>
    <w:pPr>
      <w:spacing w:before="240" w:after="120"/>
    </w:pPr>
    <w:rPr>
      <w:rFonts w:ascii="Times New Roman" w:hAnsi="Times New Roman"/>
      <w:b/>
      <w:sz w:val="32"/>
    </w:rPr>
  </w:style>
  <w:style w:type="paragraph" w:customStyle="1" w:styleId="Heading2TOC">
    <w:name w:val="Heading2 TOC"/>
    <w:basedOn w:val="Normal"/>
    <w:qFormat/>
    <w:rsid w:val="006E2F7D"/>
    <w:pPr>
      <w:spacing w:before="240" w:after="60"/>
    </w:pPr>
    <w:rPr>
      <w:rFonts w:ascii="Times New Roman" w:hAnsi="Times New Roman"/>
      <w:b/>
      <w:sz w:val="28"/>
    </w:rPr>
  </w:style>
  <w:style w:type="character" w:customStyle="1" w:styleId="Underline">
    <w:name w:val="Underline"/>
    <w:basedOn w:val="DefaultParagraphFont"/>
    <w:qFormat/>
    <w:rsid w:val="006E2F7D"/>
    <w:rPr>
      <w:u w:val="single"/>
    </w:rPr>
  </w:style>
  <w:style w:type="character" w:customStyle="1" w:styleId="BoldandItalics">
    <w:name w:val="Bold and Italics"/>
    <w:qFormat/>
    <w:rsid w:val="006E2F7D"/>
    <w:rPr>
      <w:b/>
      <w:i/>
      <w:u w:val="none"/>
    </w:rPr>
  </w:style>
  <w:style w:type="paragraph" w:styleId="BalloonText">
    <w:name w:val="Balloon Text"/>
    <w:basedOn w:val="Normal"/>
    <w:link w:val="BalloonTextChar"/>
    <w:rsid w:val="006E2F7D"/>
    <w:rPr>
      <w:rFonts w:ascii="Tahoma" w:hAnsi="Tahoma" w:cs="Tahoma"/>
      <w:sz w:val="16"/>
      <w:szCs w:val="16"/>
    </w:rPr>
  </w:style>
  <w:style w:type="character" w:customStyle="1" w:styleId="BalloonTextChar">
    <w:name w:val="Balloon Text Char"/>
    <w:basedOn w:val="DefaultParagraphFont"/>
    <w:link w:val="BalloonText"/>
    <w:rsid w:val="006E2F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2F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2F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2F7D"/>
    <w:rPr>
      <w:b/>
      <w:color w:val="660033"/>
      <w:spacing w:val="0"/>
    </w:rPr>
  </w:style>
  <w:style w:type="paragraph" w:customStyle="1" w:styleId="Nameditemlist">
    <w:name w:val="Named item list"/>
    <w:basedOn w:val="BodyText"/>
    <w:qFormat/>
    <w:rsid w:val="006E2F7D"/>
    <w:pPr>
      <w:tabs>
        <w:tab w:val="left" w:pos="2835"/>
      </w:tabs>
      <w:ind w:left="2835" w:hanging="2835"/>
    </w:pPr>
  </w:style>
  <w:style w:type="paragraph" w:customStyle="1" w:styleId="BodyTextnopadding">
    <w:name w:val="Body Text no padding"/>
    <w:basedOn w:val="BodyText"/>
    <w:qFormat/>
    <w:rsid w:val="006E2F7D"/>
    <w:pPr>
      <w:spacing w:before="0" w:after="0"/>
    </w:pPr>
  </w:style>
  <w:style w:type="paragraph" w:customStyle="1" w:styleId="BodyTextBold">
    <w:name w:val="Body Text Bold"/>
    <w:basedOn w:val="BodyText"/>
    <w:qFormat/>
    <w:rsid w:val="006E2F7D"/>
    <w:rPr>
      <w:b/>
    </w:rPr>
  </w:style>
  <w:style w:type="character" w:styleId="Hyperlink">
    <w:name w:val="Hyperlink"/>
    <w:basedOn w:val="DefaultParagraphFont"/>
    <w:uiPriority w:val="99"/>
    <w:unhideWhenUsed/>
    <w:rsid w:val="00EF5B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1372</Words>
  <Characters>8946</Characters>
  <Application>Microsoft Office Word</Application>
  <DocSecurity>0</DocSecurity>
  <Lines>331</Lines>
  <Paragraphs>202</Paragraphs>
  <ScaleCrop>false</ScaleCrop>
  <Company>Author-it Software Corporation Ltd.</Company>
  <LinksUpToDate>false</LinksUpToDate>
  <CharactersWithSpaces>10116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MEA417 Apply specialty coatings to aircraft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2025-03-01T17:25:00Z</dcterms:created>
  <dcterms:modified xsi:type="dcterms:W3CDTF">2025-03-01T17:25:00Z</dcterms:modified>
</cp:coreProperties>
</file>