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C47" w:rsidP="00A52C47">
      <w:pPr>
        <w:pStyle w:val="Title"/>
      </w:pPr>
      <w:r>
        <w:fldChar w:fldCharType="begin"/>
      </w:r>
      <w:r>
        <w:instrText xml:space="preserve"> TITLE   \* MERGEFORMAT </w:instrText>
      </w:r>
      <w:r>
        <w:fldChar w:fldCharType="separate"/>
      </w:r>
      <w:r>
        <w:t>MEA415 Paint aircraft surfaces</w:t>
      </w:r>
      <w:r>
        <w:fldChar w:fldCharType="end"/>
      </w:r>
    </w:p>
    <w:p w:rsidR="00A52C47" w:rsidP="00A52C47">
      <w:pPr>
        <w:pStyle w:val="Version"/>
        <w:sectPr w:rsidSect="00BA66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66AD" w:rsidP="00BA66AD">
      <w:pPr>
        <w:pStyle w:val="SuperHeading"/>
      </w:pPr>
      <w:r w:rsidRPr="00BA66AD">
        <w:t>MEA415 Paint aircraft surfaces</w:t>
      </w:r>
    </w:p>
    <w:p w:rsidR="00000000" w:rsidRPr="00BA66AD" w:rsidP="00BA66AD">
      <w:pPr>
        <w:pStyle w:val="Heading1"/>
      </w:pPr>
      <w:bookmarkStart w:id="1" w:name="O_996947"/>
      <w:bookmarkEnd w:id="1"/>
      <w:r w:rsidRPr="00BA66AD">
        <w:t>Modification History</w:t>
      </w:r>
    </w:p>
    <w:p w:rsidR="00000000" w:rsidRPr="00BA66AD" w:rsidP="00A52C47">
      <w:pPr>
        <w:pStyle w:val="BodyText"/>
      </w:pPr>
      <w:r w:rsidRPr="00BA66AD">
        <w:t>Release 2. Equivalent to MEA415 Paint aircraft surfaces with amended prerequisite codes.</w:t>
      </w:r>
    </w:p>
    <w:p w:rsidR="00000000" w:rsidRPr="00BA66AD" w:rsidP="00BA66AD">
      <w:pPr>
        <w:pStyle w:val="Heading1"/>
      </w:pPr>
      <w:bookmarkStart w:id="2" w:name="O_996945"/>
      <w:bookmarkEnd w:id="2"/>
      <w:r w:rsidRPr="00BA66AD">
        <w:t>Application</w:t>
      </w:r>
    </w:p>
    <w:p w:rsidR="00000000" w:rsidRPr="00BA66AD" w:rsidP="00A52C47">
      <w:pPr>
        <w:pStyle w:val="BodyText"/>
      </w:pPr>
      <w:r w:rsidRPr="00BA66AD">
        <w:t>This unit of competency requires application of skills and knowledge relating to final preparation of surfaces and ap</w:t>
      </w:r>
      <w:r w:rsidRPr="00BA66AD">
        <w:t>plication of paint finishes to fixed and rotary wing aircraft and aircraft components during the performance of scheduled or unscheduled maintenance. Work may be performed individually or as part of a team.</w:t>
      </w:r>
    </w:p>
    <w:p w:rsidR="00000000" w:rsidRPr="00BA66AD" w:rsidP="00A52C47">
      <w:pPr>
        <w:pStyle w:val="BodyText"/>
      </w:pPr>
      <w:r w:rsidRPr="00BA66AD">
        <w:t xml:space="preserve">No licensing requirements apply to this unit at </w:t>
      </w:r>
      <w:r w:rsidRPr="00BA66AD">
        <w:t xml:space="preserve">the time of publication, but compliance with legislation and regulations for the handling and disposal of hazardous materials is included in the unit. </w:t>
      </w:r>
    </w:p>
    <w:p w:rsidR="00000000" w:rsidRPr="00BA66AD" w:rsidP="00A52C47">
      <w:pPr>
        <w:pStyle w:val="BodyText"/>
      </w:pPr>
      <w:r w:rsidRPr="00BA66AD">
        <w:t>The unit is used in workplaces that operate under the airworthiness regulatory systems of the Australia</w:t>
      </w:r>
      <w:r w:rsidRPr="00BA66AD">
        <w:t>n Defence Force (ADF) and the Civil Aviation Safety Authority (CASA).</w:t>
      </w:r>
    </w:p>
    <w:p w:rsidR="00000000" w:rsidRPr="00BA66AD" w:rsidP="00BA66AD">
      <w:pPr>
        <w:pStyle w:val="Heading1"/>
      </w:pPr>
      <w:bookmarkStart w:id="3" w:name="O_996943"/>
      <w:bookmarkEnd w:id="3"/>
      <w:r w:rsidRPr="00BA66AD">
        <w:t>Pre-requisite Unit</w:t>
      </w:r>
    </w:p>
    <w:tbl>
      <w:tblPr>
        <w:tblW w:w="9247" w:type="dxa"/>
        <w:tblLayout w:type="fixed"/>
        <w:tblCellMar>
          <w:left w:w="62" w:type="dxa"/>
          <w:right w:w="62" w:type="dxa"/>
        </w:tblCellMar>
        <w:tblLook w:val="0000"/>
      </w:tblPr>
      <w:tblGrid>
        <w:gridCol w:w="2200"/>
        <w:gridCol w:w="7047"/>
      </w:tblGrid>
      <w:tr w:rsidTr="00BA66AD">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AURVTP2003</w:t>
            </w:r>
          </w:p>
        </w:tc>
        <w:tc>
          <w:tcPr>
            <w:tcW w:w="7047"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Prepare spray painting materials and equipment</w:t>
            </w:r>
          </w:p>
        </w:tc>
      </w:tr>
      <w:tr w:rsidTr="00BA66AD">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AURVTP012</w:t>
            </w:r>
          </w:p>
        </w:tc>
        <w:tc>
          <w:tcPr>
            <w:tcW w:w="7047"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Apply air dry and polyurethane refinishing materials</w:t>
            </w:r>
          </w:p>
        </w:tc>
      </w:tr>
      <w:tr w:rsidTr="00BA66AD">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MEA107</w:t>
            </w:r>
          </w:p>
        </w:tc>
        <w:tc>
          <w:tcPr>
            <w:tcW w:w="7047"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Interpret and use av</w:t>
            </w:r>
            <w:r w:rsidRPr="00BA66AD">
              <w:t>iation maintenance industry manuals and specifications</w:t>
            </w:r>
          </w:p>
        </w:tc>
      </w:tr>
      <w:tr w:rsidTr="00BA66AD">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MEA154</w:t>
            </w:r>
          </w:p>
        </w:tc>
        <w:tc>
          <w:tcPr>
            <w:tcW w:w="7047"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Apply work health and safety practices in aviation maintenance</w:t>
            </w:r>
          </w:p>
        </w:tc>
      </w:tr>
      <w:tr w:rsidTr="00BA66AD">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MEA155</w:t>
            </w:r>
          </w:p>
        </w:tc>
        <w:tc>
          <w:tcPr>
            <w:tcW w:w="7047"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Plan and organise aviation maintenance work activities</w:t>
            </w:r>
          </w:p>
        </w:tc>
      </w:tr>
      <w:tr w:rsidTr="00BA66AD">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MEA156</w:t>
            </w:r>
          </w:p>
        </w:tc>
        <w:tc>
          <w:tcPr>
            <w:tcW w:w="7047"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Apply quality standards during aviation maintenance activities</w:t>
            </w:r>
          </w:p>
        </w:tc>
      </w:tr>
      <w:tr w:rsidTr="00BA66AD">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MEA157</w:t>
            </w:r>
          </w:p>
        </w:tc>
        <w:tc>
          <w:tcPr>
            <w:tcW w:w="7047"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Complete aviation maintenance industry documentation</w:t>
            </w:r>
          </w:p>
        </w:tc>
      </w:tr>
      <w:tr w:rsidTr="00BA66AD">
        <w:tblPrEx>
          <w:tblW w:w="9247" w:type="dxa"/>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MEA158</w:t>
            </w:r>
          </w:p>
        </w:tc>
        <w:tc>
          <w:tcPr>
            <w:tcW w:w="7047" w:type="dxa"/>
            <w:tcBorders>
              <w:top w:val="nil"/>
              <w:left w:val="nil"/>
              <w:bottom w:val="nil"/>
              <w:right w:val="nil"/>
            </w:tcBorders>
            <w:tcMar>
              <w:top w:w="0" w:type="dxa"/>
              <w:left w:w="62" w:type="dxa"/>
              <w:bottom w:w="0" w:type="dxa"/>
              <w:right w:w="62" w:type="dxa"/>
            </w:tcMar>
          </w:tcPr>
          <w:p w:rsidR="00000000" w:rsidRPr="00BA66AD" w:rsidP="00BA66AD">
            <w:pPr>
              <w:pStyle w:val="BodyText"/>
            </w:pPr>
            <w:r w:rsidRPr="00BA66AD">
              <w:t>Perform basic hand skills, standard trade practices and fundamentals in aviation maintenance</w:t>
            </w:r>
          </w:p>
        </w:tc>
      </w:tr>
    </w:tbl>
    <w:p w:rsidR="00000000" w:rsidRPr="00BA66AD" w:rsidP="00BA66AD">
      <w:pPr>
        <w:pStyle w:val="BodyText"/>
      </w:pPr>
    </w:p>
    <w:p w:rsidR="00000000" w:rsidRPr="00BA66AD" w:rsidP="00BA66AD">
      <w:pPr>
        <w:pStyle w:val="AllowPageBreak"/>
      </w:pPr>
    </w:p>
    <w:p w:rsidR="00000000" w:rsidRPr="00BA66AD" w:rsidP="00BA66AD">
      <w:pPr>
        <w:pStyle w:val="Heading1"/>
      </w:pPr>
      <w:bookmarkStart w:id="4" w:name="O_996942"/>
      <w:bookmarkEnd w:id="4"/>
      <w:r w:rsidRPr="00BA66AD">
        <w:t>Competency F</w:t>
      </w:r>
      <w:r w:rsidRPr="00BA66AD">
        <w:t>ield</w:t>
      </w:r>
    </w:p>
    <w:p w:rsidR="00000000" w:rsidRPr="00BA66AD" w:rsidP="00A52C47">
      <w:pPr>
        <w:pStyle w:val="BodyText"/>
      </w:pPr>
      <w:r w:rsidRPr="00BA66AD">
        <w:t>Aviation maintenance</w:t>
      </w:r>
    </w:p>
    <w:p w:rsidR="00000000" w:rsidRPr="00BA66AD" w:rsidP="00BA66AD">
      <w:pPr>
        <w:pStyle w:val="Heading1"/>
      </w:pPr>
      <w:bookmarkStart w:id="5" w:name="O_996941"/>
      <w:bookmarkEnd w:id="5"/>
      <w:r w:rsidRPr="00BA66AD">
        <w:t>Unit Sector</w:t>
      </w:r>
    </w:p>
    <w:p w:rsidR="00000000" w:rsidRPr="00BA66AD" w:rsidP="00BA66AD">
      <w:pPr>
        <w:pStyle w:val="Heading1"/>
      </w:pPr>
      <w:bookmarkStart w:id="6" w:name="O_996940"/>
      <w:bookmarkEnd w:id="6"/>
      <w:r w:rsidRPr="00BA66AD">
        <w:t>Elements and Performance Criteria</w:t>
      </w:r>
    </w:p>
    <w:tbl>
      <w:tblPr>
        <w:tblW w:w="9386" w:type="dxa"/>
        <w:tblLayout w:type="fixed"/>
        <w:tblCellMar>
          <w:left w:w="62" w:type="dxa"/>
          <w:right w:w="62" w:type="dxa"/>
        </w:tblCellMar>
        <w:tblLook w:val="0000"/>
      </w:tblPr>
      <w:tblGrid>
        <w:gridCol w:w="685"/>
        <w:gridCol w:w="2285"/>
        <w:gridCol w:w="900"/>
        <w:gridCol w:w="5516"/>
      </w:tblGrid>
      <w:tr w:rsidTr="00BA66AD">
        <w:tblPrEx>
          <w:tblW w:w="9386"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 xml:space="preserve">Performance criteria describe the performance needed to demonstrate achievement of the element. </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1.</w:t>
            </w:r>
          </w:p>
        </w:tc>
        <w:tc>
          <w:tcPr>
            <w:tcW w:w="2285"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Prepare for painting</w:t>
            </w: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1.1</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The painting task is identified from maintenance documentation and enterprise procedures and type of substrate is identified</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1.2</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Enterprise procedures and maintenance publications are used to identify required materials and tool</w:t>
            </w:r>
            <w:r w:rsidRPr="00BA66AD">
              <w:t>s and necessary items are assembled</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1.3</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Aircraft or component identification is matched with relevant maintenance documentation</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1.4</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Surfaces are prepared for application of paint in accordance with enterprise procedures and/or process specification</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1.5</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Masking and barrier materials are applied as required by task</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2.</w:t>
            </w:r>
          </w:p>
        </w:tc>
        <w:tc>
          <w:tcPr>
            <w:tcW w:w="2285"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Apply primer</w:t>
            </w: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2.1</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Work health and safety (WHS) requirements are identified and complied with and personal protective equipment (PPE) is checked for correct fit and function</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2.2</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Temperature and humidity requirements are complied with</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2.3</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Specified primer is applied in accordance with enterprise procedures and/or process specification</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2.4</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Reject paintwork is identified and rectified in accordance with enterprise procedures an</w:t>
            </w:r>
            <w:r w:rsidRPr="00BA66AD">
              <w:t>d/or process specification</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2.5</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Equipment is cleaned</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3.</w:t>
            </w:r>
          </w:p>
        </w:tc>
        <w:tc>
          <w:tcPr>
            <w:tcW w:w="2285"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Apply surface top coat</w:t>
            </w: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3.1</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WHS requirements are identified and complied with and PPE is checked for correct fit and function</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3.2</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Temperature and humidity requirements are complied with</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3.3</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The specified top coat material is prepared in accordance with manufacturer’s instructions</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3.4</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Top coat is applied in accordance with enterprise procedures and/or process specifications</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3.5</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Reject paintwork is identified and rectified in accordance w</w:t>
            </w:r>
            <w:r w:rsidRPr="00BA66AD">
              <w:t>ith enterprise procedures and/or process specifications</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3.6</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Masking and barrier materials are removed and final finishing of the surface is completed as required</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3.7</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Documentation is completed in accordance with standard enterprise procedures</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4.</w:t>
            </w:r>
          </w:p>
        </w:tc>
        <w:tc>
          <w:tcPr>
            <w:tcW w:w="2285"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Clean up work area and maintain equipment</w:t>
            </w: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4.1</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Waste material is removed and disposed of or stored in accordance with legislative, regulatory and enterprise procedures</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4.2</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Equipment is cleaned in accordance with enterprise procedures or manufacturer’s in</w:t>
            </w:r>
            <w:r w:rsidRPr="00BA66AD">
              <w:t>structions</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4.3</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Equipment is checked for serviceability and unserviceable items are dealt with in accordance with enterprise procedures</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4.4</w:t>
            </w:r>
          </w:p>
        </w:tc>
        <w:tc>
          <w:tcPr>
            <w:tcW w:w="5516"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Tools are cleaned and maintained in accordance with enterprise procedures</w:t>
            </w:r>
          </w:p>
        </w:tc>
      </w:tr>
      <w:tr w:rsidTr="00BA66AD">
        <w:tblPrEx>
          <w:tblW w:w="9386" w:type="dxa"/>
          <w:tblLayout w:type="fixed"/>
          <w:tblCellMar>
            <w:left w:w="62" w:type="dxa"/>
            <w:right w:w="62" w:type="dxa"/>
          </w:tblCellMar>
          <w:tblLook w:val="0000"/>
        </w:tblPrEx>
        <w:tc>
          <w:tcPr>
            <w:tcW w:w="6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4.5</w:t>
            </w:r>
          </w:p>
        </w:tc>
        <w:tc>
          <w:tcPr>
            <w:tcW w:w="5516" w:type="dxa"/>
            <w:tcBorders>
              <w:top w:val="nil"/>
              <w:left w:val="nil"/>
              <w:bottom w:val="nil"/>
              <w:right w:val="nil"/>
            </w:tcBorders>
            <w:tcMar>
              <w:top w:w="0" w:type="dxa"/>
              <w:left w:w="62" w:type="dxa"/>
              <w:bottom w:w="0" w:type="dxa"/>
              <w:right w:w="62" w:type="dxa"/>
            </w:tcMar>
          </w:tcPr>
          <w:p w:rsidR="00000000" w:rsidRPr="00BA66AD" w:rsidP="00BA66AD">
            <w:pPr>
              <w:pStyle w:val="BodyText"/>
            </w:pPr>
            <w:r w:rsidRPr="00BA66AD">
              <w:t>Work area is cleaned and inspected for serviceable condition</w:t>
            </w:r>
          </w:p>
        </w:tc>
      </w:tr>
    </w:tbl>
    <w:p w:rsidR="00000000" w:rsidRPr="00BA66AD" w:rsidP="00BA66AD">
      <w:pPr>
        <w:pStyle w:val="BodyText"/>
      </w:pPr>
    </w:p>
    <w:p w:rsidR="00000000" w:rsidRPr="00BA66AD" w:rsidP="00BA66AD">
      <w:pPr>
        <w:pStyle w:val="AllowPageBreak"/>
      </w:pPr>
    </w:p>
    <w:p w:rsidR="00000000" w:rsidRPr="00BA66AD" w:rsidP="00BA66AD">
      <w:pPr>
        <w:pStyle w:val="Heading1"/>
      </w:pPr>
      <w:bookmarkStart w:id="7" w:name="O_996938"/>
      <w:bookmarkEnd w:id="7"/>
      <w:r w:rsidRPr="00BA66AD">
        <w:t>Foundation Skills</w:t>
      </w:r>
    </w:p>
    <w:p w:rsidR="00000000" w:rsidRPr="00BA66AD" w:rsidP="00A52C47">
      <w:pPr>
        <w:pStyle w:val="BodyText"/>
      </w:pPr>
      <w:r w:rsidRPr="00BA66AD">
        <w:t>Foundation skills essential to performance are explicit in the performance criteria of this unit of competency.</w:t>
      </w:r>
    </w:p>
    <w:p w:rsidR="00000000" w:rsidRPr="00BA66AD" w:rsidP="00BA66AD">
      <w:pPr>
        <w:pStyle w:val="Heading1"/>
      </w:pPr>
      <w:bookmarkStart w:id="8" w:name="O_996937"/>
      <w:bookmarkEnd w:id="8"/>
      <w:r w:rsidRPr="00BA66AD">
        <w:t>Range of Conditions</w:t>
      </w:r>
    </w:p>
    <w:tbl>
      <w:tblPr>
        <w:tblW w:w="0" w:type="auto"/>
        <w:tblLayout w:type="fixed"/>
        <w:tblCellMar>
          <w:left w:w="62" w:type="dxa"/>
          <w:right w:w="62" w:type="dxa"/>
        </w:tblCellMar>
        <w:tblLook w:val="0000"/>
      </w:tblPr>
      <w:tblGrid>
        <w:gridCol w:w="3060"/>
        <w:gridCol w:w="6012"/>
      </w:tblGrid>
      <w:tr w:rsidTr="00BA66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t>This fiel</w:t>
            </w:r>
            <w:r w:rsidRPr="00BA66AD">
              <w:t>d allows for different work environments and conditions that may affect performance. Essential operating conditions that may be present (depending on the work situation, needs of the candidate, accessibility of the item, and local industry and regional con</w:t>
            </w:r>
            <w:r w:rsidRPr="00BA66AD">
              <w:t>texts) are included.</w:t>
            </w:r>
          </w:p>
        </w:tc>
      </w:tr>
      <w:tr w:rsidTr="00BA66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BA66AD">
            <w:pPr>
              <w:pStyle w:val="ListBullet"/>
              <w:rPr>
                <w:lang w:val="en-NZ"/>
              </w:rPr>
            </w:pPr>
            <w:r w:rsidRPr="00BA66AD">
              <w:t>Industry standard procedures specified by manufacturers, regulatory authorities or the enterprise.</w:t>
            </w:r>
          </w:p>
        </w:tc>
      </w:tr>
      <w:tr w:rsidTr="00BA66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rPr>
                <w:rStyle w:val="SpecialBold"/>
              </w:rPr>
              <w:t>Type of substrate includes:</w:t>
            </w:r>
          </w:p>
        </w:tc>
        <w:tc>
          <w:tcPr>
            <w:tcW w:w="6012" w:type="dxa"/>
            <w:tcBorders>
              <w:top w:val="nil"/>
              <w:left w:val="nil"/>
              <w:bottom w:val="nil"/>
              <w:right w:val="nil"/>
            </w:tcBorders>
            <w:tcMar>
              <w:top w:w="0" w:type="dxa"/>
              <w:left w:w="62" w:type="dxa"/>
              <w:bottom w:w="0" w:type="dxa"/>
              <w:right w:w="62" w:type="dxa"/>
            </w:tcMar>
          </w:tcPr>
          <w:p w:rsidR="00000000" w:rsidRPr="00BA66AD" w:rsidP="00BA66AD">
            <w:pPr>
              <w:pStyle w:val="ListBullet"/>
            </w:pPr>
            <w:r w:rsidRPr="00BA66AD">
              <w:t>High strength steel</w:t>
            </w:r>
          </w:p>
          <w:p w:rsidR="00000000" w:rsidRPr="00BA66AD" w:rsidP="00BA66AD">
            <w:pPr>
              <w:pStyle w:val="ListBullet"/>
            </w:pPr>
            <w:r w:rsidRPr="00BA66AD">
              <w:t>Aluminium alloys</w:t>
            </w:r>
          </w:p>
          <w:p w:rsidR="00000000" w:rsidRPr="00BA66AD" w:rsidP="00BA66AD">
            <w:pPr>
              <w:pStyle w:val="ListBullet"/>
            </w:pPr>
            <w:r w:rsidRPr="00BA66AD">
              <w:t>Composite fibre</w:t>
            </w:r>
          </w:p>
          <w:p w:rsidR="00000000" w:rsidRPr="00BA66AD" w:rsidP="00BA66AD">
            <w:pPr>
              <w:pStyle w:val="ListBullet"/>
            </w:pPr>
            <w:r w:rsidRPr="00BA66AD">
              <w:t>Plastic</w:t>
            </w:r>
          </w:p>
          <w:p w:rsidR="00000000" w:rsidRPr="00BA66AD" w:rsidP="00BA66AD">
            <w:pPr>
              <w:pStyle w:val="ListBullet"/>
            </w:pPr>
            <w:r w:rsidRPr="00BA66AD">
              <w:t>Transparencies</w:t>
            </w:r>
          </w:p>
          <w:p w:rsidR="00000000" w:rsidRPr="00BA66AD" w:rsidP="00BA66AD">
            <w:pPr>
              <w:pStyle w:val="ListBullet"/>
            </w:pPr>
            <w:r w:rsidRPr="00BA66AD">
              <w:t>Magnesium alloy</w:t>
            </w:r>
          </w:p>
          <w:p w:rsidR="00000000" w:rsidRPr="00BA66AD" w:rsidP="00BA66AD">
            <w:pPr>
              <w:pStyle w:val="ListBullet"/>
            </w:pPr>
            <w:r w:rsidRPr="00BA66AD">
              <w:t>Fabric</w:t>
            </w:r>
          </w:p>
          <w:p w:rsidR="00000000" w:rsidP="00BA66AD">
            <w:pPr>
              <w:pStyle w:val="ListBullet"/>
              <w:rPr>
                <w:lang w:val="en-NZ"/>
              </w:rPr>
            </w:pPr>
            <w:r w:rsidRPr="00BA66AD">
              <w:t>Wood</w:t>
            </w:r>
          </w:p>
        </w:tc>
      </w:tr>
      <w:tr w:rsidTr="00BA66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rPr>
                <w:rStyle w:val="SpecialBold"/>
              </w:rPr>
              <w:t>Required materials and tools include:</w:t>
            </w:r>
          </w:p>
        </w:tc>
        <w:tc>
          <w:tcPr>
            <w:tcW w:w="6012" w:type="dxa"/>
            <w:tcBorders>
              <w:top w:val="nil"/>
              <w:left w:val="nil"/>
              <w:bottom w:val="nil"/>
              <w:right w:val="nil"/>
            </w:tcBorders>
            <w:tcMar>
              <w:top w:w="0" w:type="dxa"/>
              <w:left w:w="62" w:type="dxa"/>
              <w:bottom w:w="0" w:type="dxa"/>
              <w:right w:w="62" w:type="dxa"/>
            </w:tcMar>
          </w:tcPr>
          <w:p w:rsidR="00000000" w:rsidRPr="00BA66AD" w:rsidP="00BA66AD">
            <w:pPr>
              <w:pStyle w:val="ListBullet"/>
            </w:pPr>
            <w:r w:rsidRPr="00BA66AD">
              <w:t>Epoxy primers</w:t>
            </w:r>
          </w:p>
          <w:p w:rsidR="00000000" w:rsidRPr="00BA66AD" w:rsidP="00BA66AD">
            <w:pPr>
              <w:pStyle w:val="ListBullet"/>
            </w:pPr>
            <w:r w:rsidRPr="00BA66AD">
              <w:t>Lacquer primers</w:t>
            </w:r>
          </w:p>
          <w:p w:rsidR="00000000" w:rsidRPr="00BA66AD" w:rsidP="00BA66AD">
            <w:pPr>
              <w:pStyle w:val="ListBullet"/>
            </w:pPr>
            <w:r w:rsidRPr="00BA66AD">
              <w:t>Acrylic top coats</w:t>
            </w:r>
          </w:p>
          <w:p w:rsidR="00000000" w:rsidRPr="00BA66AD" w:rsidP="00BA66AD">
            <w:pPr>
              <w:pStyle w:val="ListBullet"/>
            </w:pPr>
            <w:r w:rsidRPr="00BA66AD">
              <w:t>Polyurethane top coats</w:t>
            </w:r>
          </w:p>
          <w:p w:rsidR="00000000" w:rsidRPr="00BA66AD" w:rsidP="00BA66AD">
            <w:pPr>
              <w:pStyle w:val="ListBullet"/>
            </w:pPr>
            <w:r w:rsidRPr="00BA66AD">
              <w:t>Chemicals</w:t>
            </w:r>
          </w:p>
          <w:p w:rsidR="00000000" w:rsidRPr="00BA66AD" w:rsidP="00BA66AD">
            <w:pPr>
              <w:pStyle w:val="ListBullet"/>
            </w:pPr>
            <w:r w:rsidRPr="00BA66AD">
              <w:t>Masking and barrier materials</w:t>
            </w:r>
          </w:p>
          <w:p w:rsidR="00000000" w:rsidRPr="00BA66AD" w:rsidP="00BA66AD">
            <w:pPr>
              <w:pStyle w:val="ListBullet"/>
            </w:pPr>
            <w:r w:rsidRPr="00BA66AD">
              <w:t>Low pressure gun or touch–up gun</w:t>
            </w:r>
          </w:p>
          <w:p w:rsidR="00000000" w:rsidRPr="00BA66AD" w:rsidP="00BA66AD">
            <w:pPr>
              <w:pStyle w:val="ListBullet"/>
            </w:pPr>
            <w:r w:rsidRPr="00BA66AD">
              <w:t>General purpose suction feed spray guns</w:t>
            </w:r>
          </w:p>
          <w:p w:rsidR="00000000" w:rsidRPr="00BA66AD" w:rsidP="00BA66AD">
            <w:pPr>
              <w:pStyle w:val="ListBullet"/>
            </w:pPr>
            <w:r w:rsidRPr="00BA66AD">
              <w:t>Airless spray units</w:t>
            </w:r>
          </w:p>
          <w:p w:rsidR="00000000" w:rsidRPr="00BA66AD" w:rsidP="00BA66AD">
            <w:pPr>
              <w:pStyle w:val="ListBullet"/>
            </w:pPr>
            <w:r w:rsidRPr="00BA66AD">
              <w:t>Electrostatic spray equipment</w:t>
            </w:r>
          </w:p>
          <w:p w:rsidR="00000000" w:rsidRPr="00BA66AD" w:rsidP="00BA66AD">
            <w:pPr>
              <w:pStyle w:val="ListBullet"/>
            </w:pPr>
            <w:r w:rsidRPr="00BA66AD">
              <w:t>Sanding/polishing equipment and materials</w:t>
            </w:r>
          </w:p>
          <w:p w:rsidR="00000000" w:rsidP="00BA66AD">
            <w:pPr>
              <w:pStyle w:val="ListBullet"/>
              <w:rPr>
                <w:lang w:val="en-NZ"/>
              </w:rPr>
            </w:pPr>
            <w:r w:rsidRPr="00BA66AD">
              <w:t>PPE</w:t>
            </w:r>
          </w:p>
        </w:tc>
      </w:tr>
      <w:tr w:rsidTr="00BA66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rPr>
                <w:rStyle w:val="SpecialBold"/>
              </w:rPr>
              <w:t>WHS requirements are identified from relevant:</w:t>
            </w:r>
          </w:p>
        </w:tc>
        <w:tc>
          <w:tcPr>
            <w:tcW w:w="6012" w:type="dxa"/>
            <w:tcBorders>
              <w:top w:val="nil"/>
              <w:left w:val="nil"/>
              <w:bottom w:val="nil"/>
              <w:right w:val="nil"/>
            </w:tcBorders>
            <w:tcMar>
              <w:top w:w="0" w:type="dxa"/>
              <w:left w:w="62" w:type="dxa"/>
              <w:bottom w:w="0" w:type="dxa"/>
              <w:right w:w="62" w:type="dxa"/>
            </w:tcMar>
          </w:tcPr>
          <w:p w:rsidR="00000000" w:rsidRPr="00BA66AD" w:rsidP="00BA66AD">
            <w:pPr>
              <w:pStyle w:val="ListBullet"/>
            </w:pPr>
            <w:r w:rsidRPr="00BA66AD">
              <w:t>Commonwealth/state/territory WHS legislation, regulations and codes</w:t>
            </w:r>
          </w:p>
          <w:p w:rsidR="00000000" w:rsidRPr="00BA66AD" w:rsidP="00BA66AD">
            <w:pPr>
              <w:pStyle w:val="ListBullet"/>
            </w:pPr>
            <w:r w:rsidRPr="00BA66AD">
              <w:t>Procedures manuals</w:t>
            </w:r>
          </w:p>
          <w:p w:rsidR="00000000" w:rsidRPr="00BA66AD" w:rsidP="00BA66AD">
            <w:pPr>
              <w:pStyle w:val="ListBullet"/>
            </w:pPr>
            <w:r w:rsidRPr="00BA66AD">
              <w:t>Safety manuals</w:t>
            </w:r>
          </w:p>
          <w:p w:rsidR="00000000" w:rsidRPr="00BA66AD" w:rsidP="00BA66AD">
            <w:pPr>
              <w:pStyle w:val="ListBullet"/>
            </w:pPr>
            <w:r w:rsidRPr="00BA66AD">
              <w:t>Work instructions</w:t>
            </w:r>
          </w:p>
          <w:p w:rsidR="00000000" w:rsidRPr="00BA66AD" w:rsidP="00BA66AD">
            <w:pPr>
              <w:pStyle w:val="ListBullet"/>
            </w:pPr>
            <w:r w:rsidRPr="00BA66AD">
              <w:t>Maintenance organisation manuals</w:t>
            </w:r>
          </w:p>
          <w:p w:rsidR="00000000" w:rsidRPr="00BA66AD" w:rsidP="00BA66AD">
            <w:pPr>
              <w:pStyle w:val="ListBullet"/>
            </w:pPr>
            <w:r w:rsidRPr="00BA66AD">
              <w:t>Material safety data sheets (MSDS)</w:t>
            </w:r>
          </w:p>
          <w:p w:rsidR="00000000" w:rsidRPr="00BA66AD" w:rsidP="00BA66AD">
            <w:pPr>
              <w:pStyle w:val="ListBullet"/>
            </w:pPr>
            <w:r w:rsidRPr="00BA66AD">
              <w:t>Defence regulations and instructions</w:t>
            </w:r>
          </w:p>
          <w:p w:rsidR="00000000" w:rsidP="00BA66AD">
            <w:pPr>
              <w:pStyle w:val="ListBullet"/>
              <w:rPr>
                <w:lang w:val="en-NZ"/>
              </w:rPr>
            </w:pPr>
            <w:r w:rsidRPr="00BA66AD">
              <w:t>Standing instructions</w:t>
            </w:r>
          </w:p>
        </w:tc>
      </w:tr>
      <w:tr w:rsidTr="00BA66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66AD">
            <w:pPr>
              <w:pStyle w:val="BodyText"/>
              <w:rPr>
                <w:lang w:val="en-NZ"/>
              </w:rPr>
            </w:pPr>
            <w:r w:rsidRPr="00BA66AD">
              <w:rPr>
                <w:rStyle w:val="SpecialBold"/>
              </w:rPr>
              <w:t>Legislative, regulatory and enterprise procedures include:</w:t>
            </w:r>
          </w:p>
        </w:tc>
        <w:tc>
          <w:tcPr>
            <w:tcW w:w="6012" w:type="dxa"/>
            <w:tcBorders>
              <w:top w:val="nil"/>
              <w:left w:val="nil"/>
              <w:bottom w:val="nil"/>
              <w:right w:val="nil"/>
            </w:tcBorders>
            <w:tcMar>
              <w:top w:w="0" w:type="dxa"/>
              <w:left w:w="62" w:type="dxa"/>
              <w:bottom w:w="0" w:type="dxa"/>
              <w:right w:w="62" w:type="dxa"/>
            </w:tcMar>
          </w:tcPr>
          <w:p w:rsidR="00000000" w:rsidRPr="00BA66AD" w:rsidP="00BA66AD">
            <w:pPr>
              <w:pStyle w:val="ListBullet"/>
            </w:pPr>
            <w:r w:rsidRPr="00BA66AD">
              <w:t>Commonwealth/sta</w:t>
            </w:r>
            <w:r w:rsidRPr="00BA66AD">
              <w:t>te/territory environmental legislation, regulations and codes for the storage and disposal of hazardous and toxic materials</w:t>
            </w:r>
          </w:p>
          <w:p w:rsidR="00000000" w:rsidRPr="00BA66AD" w:rsidP="00BA66AD">
            <w:pPr>
              <w:pStyle w:val="ListBullet"/>
            </w:pPr>
            <w:r w:rsidRPr="00BA66AD">
              <w:t>MSDS</w:t>
            </w:r>
          </w:p>
          <w:p w:rsidR="00000000" w:rsidRPr="00BA66AD" w:rsidP="00BA66AD">
            <w:pPr>
              <w:pStyle w:val="ListBullet"/>
            </w:pPr>
            <w:r w:rsidRPr="00BA66AD">
              <w:t>Maintenance organisation manuals</w:t>
            </w:r>
          </w:p>
          <w:p w:rsidR="00000000" w:rsidRPr="00BA66AD" w:rsidP="00BA66AD">
            <w:pPr>
              <w:pStyle w:val="ListBullet"/>
            </w:pPr>
            <w:r w:rsidRPr="00BA66AD">
              <w:t>Procedures manuals</w:t>
            </w:r>
          </w:p>
          <w:p w:rsidR="00000000" w:rsidRPr="00BA66AD" w:rsidP="00BA66AD">
            <w:pPr>
              <w:pStyle w:val="ListBullet"/>
            </w:pPr>
            <w:r w:rsidRPr="00BA66AD">
              <w:t>Work instructions</w:t>
            </w:r>
          </w:p>
          <w:p w:rsidR="00000000" w:rsidRPr="00BA66AD" w:rsidP="00BA66AD">
            <w:pPr>
              <w:pStyle w:val="ListBullet"/>
            </w:pPr>
            <w:r w:rsidRPr="00BA66AD">
              <w:t>Relevant Defence regulations and instructions</w:t>
            </w:r>
          </w:p>
          <w:p w:rsidR="00000000" w:rsidRPr="00BA66AD" w:rsidP="00BA66AD">
            <w:pPr>
              <w:pStyle w:val="ListBullet"/>
            </w:pPr>
            <w:r w:rsidRPr="00BA66AD">
              <w:t>Standing instructions</w:t>
            </w:r>
          </w:p>
        </w:tc>
      </w:tr>
    </w:tbl>
    <w:p w:rsidR="00000000" w:rsidRPr="00BA66AD" w:rsidP="00BA66AD">
      <w:pPr>
        <w:pStyle w:val="BodyText"/>
      </w:pPr>
    </w:p>
    <w:p w:rsidR="00000000" w:rsidRPr="00BA66AD" w:rsidP="00BA66AD">
      <w:pPr>
        <w:pStyle w:val="AllowPageBreak"/>
      </w:pPr>
    </w:p>
    <w:p w:rsidR="00000000" w:rsidRPr="00BA66AD" w:rsidP="00BA66AD">
      <w:pPr>
        <w:pStyle w:val="Heading1"/>
      </w:pPr>
      <w:bookmarkStart w:id="9" w:name="O_996936"/>
      <w:bookmarkEnd w:id="9"/>
      <w:r w:rsidRPr="00BA66AD">
        <w:t>Unit Mapping Information</w:t>
      </w:r>
    </w:p>
    <w:p w:rsidR="00000000" w:rsidRPr="00BA66AD" w:rsidP="00A52C47">
      <w:pPr>
        <w:pStyle w:val="BodyText"/>
      </w:pPr>
      <w:r w:rsidRPr="00BA66AD">
        <w:t>Release 2. Equivalent to MEA415 Paint aircraft surfaces</w:t>
      </w:r>
    </w:p>
    <w:p w:rsidR="00000000" w:rsidRPr="00BA66AD" w:rsidP="00BA66AD">
      <w:pPr>
        <w:pStyle w:val="Heading1"/>
      </w:pPr>
      <w:bookmarkStart w:id="10" w:name="O_996952"/>
      <w:bookmarkEnd w:id="10"/>
      <w:r w:rsidRPr="00BA66AD">
        <w:t>Links</w:t>
      </w:r>
    </w:p>
    <w:p w:rsidR="00000000" w:rsidRPr="00BA66AD" w:rsidP="00A52C47">
      <w:pPr>
        <w:pStyle w:val="BodyText"/>
      </w:pPr>
      <w:r w:rsidRPr="00BA66A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62A2A">
        <w:rPr>
          <w:rStyle w:val="Hyperlink"/>
        </w:rPr>
        <w:t>https://vetnet.education.gov.au/Pages/TrainingDocs.aspx?q=ce216c9c-04d5-4b3b-9bcf-4e81d0950371</w:t>
      </w:r>
      <w:r>
        <w:fldChar w:fldCharType="end"/>
      </w:r>
    </w:p>
    <w:p w:rsidR="00000000" w:rsidRPr="00BA66AD" w:rsidP="00BA66AD"/>
    <w:sectPr w:rsidSect="00BA66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AD" w:rsidRPr="00A52C47" w:rsidP="00A52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47" w:rsidP="00BA66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2C47" w:rsidP="00BA66A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2C47" w:rsidP="00BA66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6AD" w:rsidRPr="00A52C47" w:rsidP="00A52C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C47" w:rsidRPr="002D2AF8" w:rsidP="00BA66AD">
    <w:pPr>
      <w:pStyle w:val="Header"/>
      <w:framePr w:wrap="around"/>
    </w:pPr>
    <w:r>
      <w:fldChar w:fldCharType="begin"/>
    </w:r>
    <w:r>
      <w:instrText xml:space="preserve"> TITLE   \* MERGEFORMAT </w:instrText>
    </w:r>
    <w:r>
      <w:fldChar w:fldCharType="separate"/>
    </w:r>
    <w:r>
      <w:t>MEA415 Paint aircraft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52C47" w:rsidP="00BA66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92FB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888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6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6AD"/>
    <w:pPr>
      <w:spacing w:before="360" w:after="60"/>
      <w:outlineLvl w:val="0"/>
    </w:pPr>
    <w:rPr>
      <w:sz w:val="32"/>
    </w:rPr>
  </w:style>
  <w:style w:type="paragraph" w:styleId="Heading2">
    <w:name w:val="heading 2"/>
    <w:basedOn w:val="HeadingBase"/>
    <w:next w:val="BodyText"/>
    <w:link w:val="Heading2Char"/>
    <w:qFormat/>
    <w:rsid w:val="00BA66AD"/>
    <w:pPr>
      <w:keepLines/>
      <w:spacing w:before="240" w:after="120"/>
      <w:outlineLvl w:val="1"/>
    </w:pPr>
    <w:rPr>
      <w:sz w:val="28"/>
      <w:szCs w:val="40"/>
    </w:rPr>
  </w:style>
  <w:style w:type="paragraph" w:styleId="Heading3">
    <w:name w:val="heading 3"/>
    <w:basedOn w:val="HeadingBase"/>
    <w:next w:val="BodyText"/>
    <w:link w:val="Heading3Char"/>
    <w:qFormat/>
    <w:rsid w:val="00BA66AD"/>
    <w:pPr>
      <w:spacing w:before="180" w:after="120"/>
      <w:outlineLvl w:val="2"/>
    </w:pPr>
    <w:rPr>
      <w:spacing w:val="-10"/>
      <w:kern w:val="32"/>
    </w:rPr>
  </w:style>
  <w:style w:type="paragraph" w:styleId="Heading4">
    <w:name w:val="heading 4"/>
    <w:basedOn w:val="HeadingBase"/>
    <w:next w:val="BodyText"/>
    <w:link w:val="Heading4Char"/>
    <w:qFormat/>
    <w:rsid w:val="00BA66AD"/>
    <w:pPr>
      <w:spacing w:before="160" w:after="120"/>
      <w:outlineLvl w:val="3"/>
    </w:pPr>
    <w:rPr>
      <w:sz w:val="22"/>
    </w:rPr>
  </w:style>
  <w:style w:type="paragraph" w:styleId="Heading5">
    <w:name w:val="heading 5"/>
    <w:basedOn w:val="HeadingBase"/>
    <w:next w:val="Normal"/>
    <w:link w:val="Heading5Char"/>
    <w:qFormat/>
    <w:rsid w:val="00BA66AD"/>
    <w:pPr>
      <w:spacing w:before="80"/>
      <w:outlineLvl w:val="4"/>
    </w:pPr>
    <w:rPr>
      <w:color w:val="918585"/>
      <w:sz w:val="20"/>
    </w:rPr>
  </w:style>
  <w:style w:type="paragraph" w:styleId="Heading6">
    <w:name w:val="heading 6"/>
    <w:basedOn w:val="HeadingBase"/>
    <w:next w:val="Normal"/>
    <w:link w:val="Heading6Char"/>
    <w:qFormat/>
    <w:rsid w:val="00BA66AD"/>
    <w:pPr>
      <w:spacing w:before="60"/>
      <w:outlineLvl w:val="5"/>
    </w:pPr>
    <w:rPr>
      <w:color w:val="918585"/>
      <w:sz w:val="20"/>
    </w:rPr>
  </w:style>
  <w:style w:type="paragraph" w:styleId="Heading7">
    <w:name w:val="heading 7"/>
    <w:basedOn w:val="Normal"/>
    <w:next w:val="Normal"/>
    <w:link w:val="Heading7Char"/>
    <w:qFormat/>
    <w:rsid w:val="00BA66AD"/>
    <w:pPr>
      <w:ind w:left="720"/>
      <w:outlineLvl w:val="6"/>
    </w:pPr>
    <w:rPr>
      <w:i/>
    </w:rPr>
  </w:style>
  <w:style w:type="paragraph" w:styleId="Heading8">
    <w:name w:val="heading 8"/>
    <w:basedOn w:val="Normal"/>
    <w:next w:val="Normal"/>
    <w:link w:val="Heading8Char"/>
    <w:qFormat/>
    <w:rsid w:val="00BA66AD"/>
    <w:pPr>
      <w:ind w:left="720"/>
      <w:outlineLvl w:val="7"/>
    </w:pPr>
    <w:rPr>
      <w:i/>
    </w:rPr>
  </w:style>
  <w:style w:type="paragraph" w:styleId="Heading9">
    <w:name w:val="heading 9"/>
    <w:basedOn w:val="Normal"/>
    <w:next w:val="Normal"/>
    <w:link w:val="Heading9Char"/>
    <w:qFormat/>
    <w:rsid w:val="00BA66AD"/>
    <w:pPr>
      <w:ind w:left="720"/>
      <w:outlineLvl w:val="8"/>
    </w:pPr>
    <w:rPr>
      <w:i/>
    </w:rPr>
  </w:style>
  <w:style w:type="character" w:default="1" w:styleId="DefaultParagraphFont">
    <w:name w:val="Default Paragraph Font"/>
    <w:uiPriority w:val="1"/>
    <w:unhideWhenUsed/>
    <w:rsid w:val="00BA6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6AD"/>
  </w:style>
  <w:style w:type="character" w:customStyle="1" w:styleId="Heading1Char">
    <w:name w:val="Heading 1 Char"/>
    <w:basedOn w:val="DefaultParagraphFont"/>
    <w:link w:val="Heading1"/>
    <w:rsid w:val="00BA66AD"/>
    <w:rPr>
      <w:rFonts w:ascii="Times New Roman" w:eastAsia="Times New Roman" w:hAnsi="Times New Roman" w:cs="Times New Roman"/>
      <w:b/>
      <w:sz w:val="32"/>
      <w:szCs w:val="20"/>
      <w:lang w:eastAsia="en-US"/>
    </w:rPr>
  </w:style>
  <w:style w:type="paragraph" w:styleId="BodyText">
    <w:name w:val="Body Text"/>
    <w:basedOn w:val="Normal"/>
    <w:link w:val="BodyTextChar"/>
    <w:rsid w:val="00BA66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6AD"/>
    <w:rPr>
      <w:rFonts w:ascii="Times New Roman" w:eastAsia="Times New Roman" w:hAnsi="Times New Roman" w:cs="Times New Roman"/>
      <w:sz w:val="24"/>
      <w:lang w:eastAsia="en-US"/>
    </w:rPr>
  </w:style>
  <w:style w:type="paragraph" w:styleId="ListBullet">
    <w:name w:val="List Bullet"/>
    <w:basedOn w:val="List"/>
    <w:rsid w:val="00BA66AD"/>
    <w:pPr>
      <w:numPr>
        <w:numId w:val="11"/>
      </w:numPr>
      <w:tabs>
        <w:tab w:val="clear" w:pos="340"/>
      </w:tabs>
      <w:spacing w:before="40" w:after="40"/>
    </w:pPr>
  </w:style>
  <w:style w:type="character" w:customStyle="1" w:styleId="SpecialBold">
    <w:name w:val="Special Bold"/>
    <w:basedOn w:val="DefaultParagraphFont"/>
    <w:rsid w:val="00BA66AD"/>
    <w:rPr>
      <w:b/>
      <w:spacing w:val="0"/>
    </w:rPr>
  </w:style>
  <w:style w:type="paragraph" w:customStyle="1" w:styleId="SuperHeading">
    <w:name w:val="SuperHeading"/>
    <w:basedOn w:val="Normal"/>
    <w:rsid w:val="00BA66AD"/>
    <w:pPr>
      <w:spacing w:before="240" w:after="120"/>
      <w:outlineLvl w:val="0"/>
    </w:pPr>
    <w:rPr>
      <w:rFonts w:ascii="Times New Roman" w:hAnsi="Times New Roman"/>
      <w:b/>
      <w:sz w:val="32"/>
    </w:rPr>
  </w:style>
  <w:style w:type="paragraph" w:customStyle="1" w:styleId="AllowPageBreak">
    <w:name w:val="AllowPageBreak"/>
    <w:rsid w:val="00BA66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6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6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6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6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6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6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6AD"/>
    <w:rPr>
      <w:rFonts w:ascii="Courier New" w:eastAsia="Times New Roman" w:hAnsi="Courier New" w:cs="Times New Roman"/>
      <w:i/>
      <w:szCs w:val="20"/>
      <w:lang w:eastAsia="en-US"/>
    </w:rPr>
  </w:style>
  <w:style w:type="paragraph" w:customStyle="1" w:styleId="HeadingBase">
    <w:name w:val="Heading Base"/>
    <w:rsid w:val="00BA6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6AD"/>
    <w:pPr>
      <w:tabs>
        <w:tab w:val="right" w:leader="dot" w:pos="9072"/>
      </w:tabs>
      <w:ind w:left="567"/>
    </w:pPr>
    <w:rPr>
      <w:szCs w:val="22"/>
    </w:rPr>
  </w:style>
  <w:style w:type="paragraph" w:customStyle="1" w:styleId="TOCBase">
    <w:name w:val="TOC Base"/>
    <w:rsid w:val="00BA6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6AD"/>
    <w:pPr>
      <w:tabs>
        <w:tab w:val="right" w:leader="dot" w:pos="9072"/>
      </w:tabs>
      <w:spacing w:before="40" w:after="40"/>
      <w:ind w:left="284"/>
    </w:pPr>
    <w:rPr>
      <w:rFonts w:ascii="Times New Roman" w:hAnsi="Times New Roman"/>
    </w:rPr>
  </w:style>
  <w:style w:type="paragraph" w:styleId="TOC1">
    <w:name w:val="toc 1"/>
    <w:basedOn w:val="TOCBase"/>
    <w:next w:val="Normal"/>
    <w:rsid w:val="00BA66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6AD"/>
    <w:rPr>
      <w:rFonts w:ascii="Times New Roman" w:eastAsia="Times New Roman" w:hAnsi="Times New Roman" w:cs="Times New Roman"/>
      <w:sz w:val="16"/>
      <w:lang w:eastAsia="en-US"/>
    </w:rPr>
  </w:style>
  <w:style w:type="paragraph" w:styleId="Title">
    <w:name w:val="Title"/>
    <w:basedOn w:val="HeadingBase"/>
    <w:link w:val="TitleChar"/>
    <w:qFormat/>
    <w:rsid w:val="00BA66AD"/>
    <w:pPr>
      <w:spacing w:before="5040"/>
      <w:jc w:val="center"/>
    </w:pPr>
    <w:rPr>
      <w:sz w:val="48"/>
      <w:szCs w:val="72"/>
      <w:lang w:val="en-US"/>
    </w:rPr>
  </w:style>
  <w:style w:type="character" w:customStyle="1" w:styleId="TitleChar">
    <w:name w:val="Title Char"/>
    <w:basedOn w:val="DefaultParagraphFont"/>
    <w:link w:val="Title"/>
    <w:rsid w:val="00BA6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6AD"/>
    <w:pPr>
      <w:tabs>
        <w:tab w:val="left" w:pos="3600"/>
        <w:tab w:val="left" w:pos="3958"/>
      </w:tabs>
    </w:pPr>
  </w:style>
  <w:style w:type="paragraph" w:styleId="List">
    <w:name w:val="List"/>
    <w:basedOn w:val="BodyText"/>
    <w:next w:val="BodyText"/>
    <w:rsid w:val="00BA66AD"/>
    <w:pPr>
      <w:tabs>
        <w:tab w:val="left" w:pos="340"/>
      </w:tabs>
      <w:spacing w:before="60" w:after="60"/>
      <w:ind w:left="340" w:hanging="340"/>
    </w:pPr>
  </w:style>
  <w:style w:type="paragraph" w:customStyle="1" w:styleId="Note">
    <w:name w:val="Note"/>
    <w:basedOn w:val="BodyText"/>
    <w:rsid w:val="00BA66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6AD"/>
    <w:pPr>
      <w:framePr w:wrap="auto" w:hAnchor="text" w:y="6049"/>
    </w:pPr>
    <w:rPr>
      <w:color w:val="000000"/>
      <w:sz w:val="40"/>
    </w:rPr>
  </w:style>
  <w:style w:type="paragraph" w:customStyle="1" w:styleId="TOCTitle">
    <w:name w:val="TOCTitle"/>
    <w:basedOn w:val="Heading1"/>
    <w:rsid w:val="00BA66AD"/>
    <w:pPr>
      <w:spacing w:after="240"/>
      <w:jc w:val="center"/>
      <w:outlineLvl w:val="9"/>
    </w:pPr>
    <w:rPr>
      <w:caps/>
    </w:rPr>
  </w:style>
  <w:style w:type="paragraph" w:customStyle="1" w:styleId="Version">
    <w:name w:val="Version"/>
    <w:rsid w:val="00BA66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6AD"/>
    <w:pPr>
      <w:numPr>
        <w:numId w:val="12"/>
      </w:numPr>
      <w:tabs>
        <w:tab w:val="clear" w:pos="680"/>
      </w:tabs>
    </w:pPr>
  </w:style>
  <w:style w:type="paragraph" w:styleId="Index1">
    <w:name w:val="index 1"/>
    <w:basedOn w:val="Normal"/>
    <w:next w:val="Normal"/>
    <w:semiHidden/>
    <w:rsid w:val="00BA66AD"/>
    <w:pPr>
      <w:keepNext w:val="0"/>
      <w:tabs>
        <w:tab w:val="right" w:pos="4176"/>
      </w:tabs>
      <w:ind w:left="198" w:hanging="198"/>
    </w:pPr>
    <w:rPr>
      <w:rFonts w:ascii="Garamond" w:hAnsi="Garamond"/>
    </w:rPr>
  </w:style>
  <w:style w:type="paragraph" w:styleId="IndexHeading">
    <w:name w:val="index heading"/>
    <w:basedOn w:val="Normal"/>
    <w:next w:val="Index1"/>
    <w:semiHidden/>
    <w:rsid w:val="00BA66AD"/>
    <w:pPr>
      <w:spacing w:before="120" w:after="120"/>
    </w:pPr>
    <w:rPr>
      <w:rFonts w:ascii="Arial" w:hAnsi="Arial"/>
      <w:b/>
      <w:color w:val="918585"/>
      <w:sz w:val="24"/>
    </w:rPr>
  </w:style>
  <w:style w:type="paragraph" w:styleId="Header">
    <w:name w:val="header"/>
    <w:basedOn w:val="Normal"/>
    <w:link w:val="HeaderChar"/>
    <w:rsid w:val="00BA6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6AD"/>
    <w:rPr>
      <w:rFonts w:ascii="Times New Roman" w:eastAsia="Times New Roman" w:hAnsi="Times New Roman" w:cs="Times New Roman"/>
      <w:sz w:val="16"/>
      <w:szCs w:val="20"/>
      <w:lang w:val="en-GB" w:eastAsia="en-US"/>
    </w:rPr>
  </w:style>
  <w:style w:type="paragraph" w:customStyle="1" w:styleId="Chapter">
    <w:name w:val="Chapter"/>
    <w:basedOn w:val="Normal"/>
    <w:rsid w:val="00BA66AD"/>
    <w:pPr>
      <w:spacing w:before="240"/>
    </w:pPr>
    <w:rPr>
      <w:rFonts w:ascii="Times New Roman" w:hAnsi="Times New Roman"/>
      <w:smallCaps/>
      <w:spacing w:val="80"/>
      <w:sz w:val="28"/>
    </w:rPr>
  </w:style>
  <w:style w:type="paragraph" w:customStyle="1" w:styleId="InChapter">
    <w:name w:val="InChapter"/>
    <w:basedOn w:val="Heading3"/>
    <w:rsid w:val="00BA66AD"/>
    <w:pPr>
      <w:spacing w:after="240"/>
      <w:outlineLvl w:val="9"/>
    </w:pPr>
    <w:rPr>
      <w:noProof/>
    </w:rPr>
  </w:style>
  <w:style w:type="paragraph" w:styleId="Index2">
    <w:name w:val="index 2"/>
    <w:basedOn w:val="Normal"/>
    <w:next w:val="Normal"/>
    <w:semiHidden/>
    <w:rsid w:val="00BA66AD"/>
    <w:pPr>
      <w:tabs>
        <w:tab w:val="right" w:pos="4176"/>
      </w:tabs>
      <w:ind w:left="568" w:hanging="284"/>
    </w:pPr>
    <w:rPr>
      <w:rFonts w:ascii="Garamond" w:hAnsi="Garamond"/>
    </w:rPr>
  </w:style>
  <w:style w:type="paragraph" w:customStyle="1" w:styleId="Byline">
    <w:name w:val="Byline"/>
    <w:rsid w:val="00BA6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6AD"/>
    <w:pPr>
      <w:tabs>
        <w:tab w:val="clear" w:pos="3600"/>
        <w:tab w:val="clear" w:pos="3958"/>
      </w:tabs>
      <w:jc w:val="right"/>
    </w:pPr>
  </w:style>
  <w:style w:type="character" w:styleId="Emphasis">
    <w:name w:val="Emphasis"/>
    <w:basedOn w:val="DefaultParagraphFont"/>
    <w:qFormat/>
    <w:rsid w:val="00BA66AD"/>
    <w:rPr>
      <w:i/>
    </w:rPr>
  </w:style>
  <w:style w:type="paragraph" w:styleId="Caption">
    <w:name w:val="caption"/>
    <w:basedOn w:val="BodyText"/>
    <w:next w:val="Normal"/>
    <w:qFormat/>
    <w:rsid w:val="00BA66AD"/>
    <w:pPr>
      <w:framePr w:w="2268" w:hSpace="181" w:vSpace="181" w:wrap="around" w:vAnchor="text" w:hAnchor="page" w:x="1135" w:y="285" w:anchorLock="1"/>
    </w:pPr>
    <w:rPr>
      <w:i/>
    </w:rPr>
  </w:style>
  <w:style w:type="paragraph" w:customStyle="1" w:styleId="MiniTOCTitle">
    <w:name w:val="MiniTOCTitle"/>
    <w:basedOn w:val="Heading4"/>
    <w:rsid w:val="00BA66AD"/>
    <w:pPr>
      <w:spacing w:before="240"/>
      <w:outlineLvl w:val="9"/>
    </w:pPr>
    <w:rPr>
      <w:noProof/>
      <w:sz w:val="24"/>
    </w:rPr>
  </w:style>
  <w:style w:type="paragraph" w:customStyle="1" w:styleId="MiniTOCItem">
    <w:name w:val="MiniTOCItem"/>
    <w:basedOn w:val="ListBullet"/>
    <w:rsid w:val="00BA66AD"/>
    <w:pPr>
      <w:numPr>
        <w:numId w:val="0"/>
      </w:numPr>
      <w:tabs>
        <w:tab w:val="right" w:leader="dot" w:pos="6521"/>
      </w:tabs>
      <w:spacing w:before="0" w:after="0"/>
    </w:pPr>
  </w:style>
  <w:style w:type="paragraph" w:customStyle="1" w:styleId="TOFTitle">
    <w:name w:val="TOFTitle"/>
    <w:basedOn w:val="TOCTitle"/>
    <w:rsid w:val="00BA66AD"/>
  </w:style>
  <w:style w:type="paragraph" w:styleId="TableofFigures">
    <w:name w:val="table of figures"/>
    <w:basedOn w:val="Normal"/>
    <w:next w:val="Normal"/>
    <w:semiHidden/>
    <w:rsid w:val="00BA66AD"/>
    <w:pPr>
      <w:tabs>
        <w:tab w:val="right" w:leader="dot" w:pos="9072"/>
      </w:tabs>
      <w:ind w:left="970" w:hanging="403"/>
    </w:pPr>
    <w:rPr>
      <w:rFonts w:ascii="Times New Roman" w:hAnsi="Times New Roman"/>
      <w:b/>
    </w:rPr>
  </w:style>
  <w:style w:type="paragraph" w:styleId="ListNumber">
    <w:name w:val="List Number"/>
    <w:basedOn w:val="List"/>
    <w:rsid w:val="00BA66AD"/>
    <w:pPr>
      <w:numPr>
        <w:numId w:val="14"/>
      </w:numPr>
      <w:tabs>
        <w:tab w:val="clear" w:pos="340"/>
      </w:tabs>
    </w:pPr>
  </w:style>
  <w:style w:type="character" w:customStyle="1" w:styleId="WingdingSymbols">
    <w:name w:val="Wingding Symbols"/>
    <w:rsid w:val="00BA66AD"/>
    <w:rPr>
      <w:rFonts w:ascii="Wingdings" w:hAnsi="Wingdings"/>
    </w:rPr>
  </w:style>
  <w:style w:type="paragraph" w:customStyle="1" w:styleId="TableHeading">
    <w:name w:val="Table Heading"/>
    <w:basedOn w:val="HeadingBase"/>
    <w:rsid w:val="00BA66AD"/>
    <w:pPr>
      <w:keepLines/>
      <w:pBdr>
        <w:bottom w:val="single" w:sz="6" w:space="1" w:color="918585"/>
      </w:pBdr>
      <w:spacing w:before="240"/>
    </w:pPr>
  </w:style>
  <w:style w:type="character" w:customStyle="1" w:styleId="HotSpot">
    <w:name w:val="HotSpot"/>
    <w:rsid w:val="00BA66AD"/>
    <w:rPr>
      <w:color w:val="0033CC"/>
      <w:u w:val="none"/>
    </w:rPr>
  </w:style>
  <w:style w:type="paragraph" w:customStyle="1" w:styleId="BodyTextRight">
    <w:name w:val="Body Text Right"/>
    <w:basedOn w:val="BodyText"/>
    <w:rsid w:val="00BA66AD"/>
    <w:pPr>
      <w:spacing w:before="0" w:after="0"/>
      <w:jc w:val="right"/>
    </w:pPr>
  </w:style>
  <w:style w:type="paragraph" w:styleId="Index3">
    <w:name w:val="index 3"/>
    <w:basedOn w:val="ListNumber2"/>
    <w:next w:val="Normal"/>
    <w:semiHidden/>
    <w:rsid w:val="00BA66AD"/>
    <w:pPr>
      <w:numPr>
        <w:numId w:val="0"/>
      </w:numPr>
      <w:tabs>
        <w:tab w:val="right" w:leader="dot" w:pos="4176"/>
      </w:tabs>
    </w:pPr>
  </w:style>
  <w:style w:type="paragraph" w:styleId="ListNumber2">
    <w:name w:val="List Number 2"/>
    <w:basedOn w:val="List2"/>
    <w:rsid w:val="00BA66AD"/>
    <w:pPr>
      <w:numPr>
        <w:numId w:val="9"/>
      </w:numPr>
      <w:tabs>
        <w:tab w:val="clear" w:pos="1060"/>
      </w:tabs>
    </w:pPr>
  </w:style>
  <w:style w:type="paragraph" w:customStyle="1" w:styleId="MarginNote">
    <w:name w:val="Margin Note"/>
    <w:basedOn w:val="BodyText"/>
    <w:rsid w:val="00BA6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6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6AD"/>
    <w:rPr>
      <w:sz w:val="32"/>
    </w:rPr>
  </w:style>
  <w:style w:type="paragraph" w:customStyle="1" w:styleId="HeadingProcedure">
    <w:name w:val="Heading Procedure"/>
    <w:basedOn w:val="HeadingBase"/>
    <w:next w:val="Normal"/>
    <w:rsid w:val="00BA66AD"/>
    <w:pPr>
      <w:tabs>
        <w:tab w:val="left" w:pos="0"/>
      </w:tabs>
      <w:spacing w:before="120" w:after="60"/>
    </w:pPr>
    <w:rPr>
      <w:i/>
      <w:color w:val="918585"/>
      <w:sz w:val="22"/>
    </w:rPr>
  </w:style>
  <w:style w:type="paragraph" w:customStyle="1" w:styleId="TableBodyText">
    <w:name w:val="Table Body Text"/>
    <w:basedOn w:val="BodyText"/>
    <w:rsid w:val="00BA66AD"/>
    <w:pPr>
      <w:spacing w:before="60" w:after="60"/>
    </w:pPr>
  </w:style>
  <w:style w:type="paragraph" w:styleId="ListContinue">
    <w:name w:val="List Continue"/>
    <w:basedOn w:val="List"/>
    <w:rsid w:val="00BA66AD"/>
    <w:pPr>
      <w:ind w:firstLine="0"/>
    </w:pPr>
  </w:style>
  <w:style w:type="paragraph" w:customStyle="1" w:styleId="ListNote">
    <w:name w:val="List Note"/>
    <w:basedOn w:val="List"/>
    <w:rsid w:val="00BA66AD"/>
    <w:pPr>
      <w:pBdr>
        <w:top w:val="single" w:sz="6" w:space="2" w:color="918585"/>
        <w:bottom w:val="single" w:sz="6" w:space="2" w:color="918585"/>
      </w:pBdr>
      <w:tabs>
        <w:tab w:val="left" w:pos="1021"/>
      </w:tabs>
      <w:ind w:firstLine="0"/>
    </w:pPr>
  </w:style>
  <w:style w:type="paragraph" w:customStyle="1" w:styleId="Warning">
    <w:name w:val="Warning"/>
    <w:basedOn w:val="BodyText"/>
    <w:rsid w:val="00BA66AD"/>
    <w:pPr>
      <w:shd w:val="clear" w:color="auto" w:fill="D9D9D9"/>
      <w:tabs>
        <w:tab w:val="left" w:pos="992"/>
      </w:tabs>
      <w:ind w:left="119" w:right="119"/>
    </w:pPr>
    <w:rPr>
      <w:sz w:val="20"/>
    </w:rPr>
  </w:style>
  <w:style w:type="paragraph" w:customStyle="1" w:styleId="MarginIcons">
    <w:name w:val="Margin Icons"/>
    <w:basedOn w:val="BodyText"/>
    <w:rsid w:val="00BA66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6AD"/>
    <w:rPr>
      <w:rFonts w:ascii="Courier New" w:hAnsi="Courier New"/>
    </w:rPr>
  </w:style>
  <w:style w:type="paragraph" w:customStyle="1" w:styleId="NoteBullet">
    <w:name w:val="Note Bullet"/>
    <w:basedOn w:val="Note"/>
    <w:rsid w:val="00BA66AD"/>
    <w:pPr>
      <w:tabs>
        <w:tab w:val="clear" w:pos="680"/>
      </w:tabs>
      <w:spacing w:before="60" w:after="60"/>
    </w:pPr>
  </w:style>
  <w:style w:type="paragraph" w:customStyle="1" w:styleId="SubHeading2">
    <w:name w:val="SubHeading2"/>
    <w:basedOn w:val="HeadingBase"/>
    <w:rsid w:val="00BA66AD"/>
    <w:pPr>
      <w:spacing w:before="240" w:after="60"/>
    </w:pPr>
    <w:rPr>
      <w:sz w:val="20"/>
    </w:rPr>
  </w:style>
  <w:style w:type="paragraph" w:customStyle="1" w:styleId="SubHeading1">
    <w:name w:val="SubHeading1"/>
    <w:basedOn w:val="HeadingBase"/>
    <w:rsid w:val="00BA66AD"/>
    <w:pPr>
      <w:spacing w:before="240" w:after="60"/>
    </w:pPr>
    <w:rPr>
      <w:color w:val="918585"/>
      <w:sz w:val="22"/>
    </w:rPr>
  </w:style>
  <w:style w:type="paragraph" w:customStyle="1" w:styleId="SideHeading">
    <w:name w:val="Side Heading"/>
    <w:basedOn w:val="HeadingBase"/>
    <w:rsid w:val="00BA6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6AD"/>
    <w:pPr>
      <w:numPr>
        <w:numId w:val="10"/>
      </w:numPr>
    </w:pPr>
  </w:style>
  <w:style w:type="paragraph" w:styleId="PlainText">
    <w:name w:val="Plain Text"/>
    <w:basedOn w:val="Normal"/>
    <w:link w:val="PlainTextChar"/>
    <w:rsid w:val="00BA66AD"/>
    <w:rPr>
      <w:sz w:val="20"/>
    </w:rPr>
  </w:style>
  <w:style w:type="character" w:customStyle="1" w:styleId="PlainTextChar">
    <w:name w:val="Plain Text Char"/>
    <w:basedOn w:val="DefaultParagraphFont"/>
    <w:link w:val="PlainText"/>
    <w:rsid w:val="00BA66AD"/>
    <w:rPr>
      <w:rFonts w:ascii="Courier New" w:eastAsia="Times New Roman" w:hAnsi="Courier New" w:cs="Times New Roman"/>
      <w:sz w:val="20"/>
      <w:szCs w:val="20"/>
      <w:lang w:eastAsia="en-US"/>
    </w:rPr>
  </w:style>
  <w:style w:type="character" w:customStyle="1" w:styleId="MenuOption">
    <w:name w:val="Menu Option"/>
    <w:basedOn w:val="DefaultParagraphFont"/>
    <w:rsid w:val="00BA66AD"/>
    <w:rPr>
      <w:b/>
      <w:smallCaps/>
    </w:rPr>
  </w:style>
  <w:style w:type="paragraph" w:customStyle="1" w:styleId="TableListNumber">
    <w:name w:val="Table List Number"/>
    <w:basedOn w:val="ListNumber"/>
    <w:rsid w:val="00BA66AD"/>
    <w:pPr>
      <w:numPr>
        <w:numId w:val="0"/>
      </w:numPr>
    </w:pPr>
  </w:style>
  <w:style w:type="paragraph" w:styleId="TOC4">
    <w:name w:val="toc 4"/>
    <w:basedOn w:val="TOCBase"/>
    <w:next w:val="Normal"/>
    <w:semiHidden/>
    <w:rsid w:val="00BA66AD"/>
    <w:pPr>
      <w:tabs>
        <w:tab w:val="right" w:leader="dot" w:pos="9071"/>
      </w:tabs>
      <w:ind w:left="1701"/>
    </w:pPr>
  </w:style>
  <w:style w:type="paragraph" w:customStyle="1" w:styleId="ListAlpha">
    <w:name w:val="List Alpha"/>
    <w:basedOn w:val="List"/>
    <w:rsid w:val="00BA66AD"/>
    <w:pPr>
      <w:numPr>
        <w:numId w:val="8"/>
      </w:numPr>
    </w:pPr>
  </w:style>
  <w:style w:type="paragraph" w:customStyle="1" w:styleId="ListAlpha2">
    <w:name w:val="List Alpha 2"/>
    <w:basedOn w:val="List2"/>
    <w:rsid w:val="00BA66AD"/>
    <w:pPr>
      <w:numPr>
        <w:numId w:val="7"/>
      </w:numPr>
    </w:pPr>
  </w:style>
  <w:style w:type="paragraph" w:styleId="List2">
    <w:name w:val="List 2"/>
    <w:basedOn w:val="BodyText"/>
    <w:rsid w:val="00BA66AD"/>
    <w:pPr>
      <w:tabs>
        <w:tab w:val="left" w:pos="680"/>
      </w:tabs>
      <w:spacing w:before="60" w:after="60"/>
      <w:ind w:left="680" w:hanging="340"/>
    </w:pPr>
  </w:style>
  <w:style w:type="paragraph" w:styleId="List3">
    <w:name w:val="List 3"/>
    <w:basedOn w:val="BodyText"/>
    <w:rsid w:val="00BA66AD"/>
    <w:pPr>
      <w:tabs>
        <w:tab w:val="left" w:pos="1021"/>
      </w:tabs>
      <w:spacing w:before="60" w:after="60"/>
      <w:ind w:left="1020" w:hanging="340"/>
    </w:pPr>
  </w:style>
  <w:style w:type="paragraph" w:styleId="List4">
    <w:name w:val="List 4"/>
    <w:basedOn w:val="BodyText"/>
    <w:rsid w:val="00BA66AD"/>
    <w:pPr>
      <w:tabs>
        <w:tab w:val="left" w:pos="1361"/>
      </w:tabs>
      <w:spacing w:before="60" w:after="60"/>
      <w:ind w:left="1361" w:hanging="340"/>
    </w:pPr>
  </w:style>
  <w:style w:type="paragraph" w:styleId="List5">
    <w:name w:val="List 5"/>
    <w:basedOn w:val="BodyText"/>
    <w:rsid w:val="00BA66AD"/>
    <w:pPr>
      <w:tabs>
        <w:tab w:val="left" w:pos="1701"/>
      </w:tabs>
      <w:spacing w:before="60" w:after="60"/>
      <w:ind w:left="1701" w:hanging="340"/>
    </w:pPr>
  </w:style>
  <w:style w:type="paragraph" w:styleId="ListBullet3">
    <w:name w:val="List Bullet 3"/>
    <w:basedOn w:val="List3"/>
    <w:rsid w:val="00BA66AD"/>
    <w:pPr>
      <w:numPr>
        <w:numId w:val="13"/>
      </w:numPr>
      <w:tabs>
        <w:tab w:val="clear" w:pos="1021"/>
      </w:tabs>
      <w:ind w:left="1037" w:hanging="357"/>
    </w:pPr>
  </w:style>
  <w:style w:type="paragraph" w:styleId="ListBullet4">
    <w:name w:val="List Bullet 4"/>
    <w:basedOn w:val="List4"/>
    <w:rsid w:val="00BA66AD"/>
    <w:pPr>
      <w:numPr>
        <w:numId w:val="2"/>
      </w:numPr>
      <w:tabs>
        <w:tab w:val="clear" w:pos="1361"/>
      </w:tabs>
    </w:pPr>
  </w:style>
  <w:style w:type="paragraph" w:styleId="ListBullet5">
    <w:name w:val="List Bullet 5"/>
    <w:basedOn w:val="List5"/>
    <w:rsid w:val="00BA66AD"/>
    <w:pPr>
      <w:numPr>
        <w:numId w:val="3"/>
      </w:numPr>
    </w:pPr>
  </w:style>
  <w:style w:type="paragraph" w:styleId="ListContinue2">
    <w:name w:val="List Continue 2"/>
    <w:basedOn w:val="List2"/>
    <w:rsid w:val="00BA66AD"/>
    <w:pPr>
      <w:ind w:firstLine="0"/>
    </w:pPr>
  </w:style>
  <w:style w:type="paragraph" w:styleId="ListContinue3">
    <w:name w:val="List Continue 3"/>
    <w:basedOn w:val="List3"/>
    <w:rsid w:val="00BA66AD"/>
    <w:pPr>
      <w:ind w:left="1021" w:firstLine="0"/>
    </w:pPr>
  </w:style>
  <w:style w:type="paragraph" w:styleId="ListContinue4">
    <w:name w:val="List Continue 4"/>
    <w:basedOn w:val="List4"/>
    <w:rsid w:val="00BA66AD"/>
    <w:pPr>
      <w:ind w:firstLine="0"/>
    </w:pPr>
  </w:style>
  <w:style w:type="paragraph" w:styleId="ListContinue5">
    <w:name w:val="List Continue 5"/>
    <w:basedOn w:val="List5"/>
    <w:rsid w:val="00BA66AD"/>
    <w:pPr>
      <w:ind w:firstLine="0"/>
    </w:pPr>
  </w:style>
  <w:style w:type="paragraph" w:styleId="ListNumber3">
    <w:name w:val="List Number 3"/>
    <w:basedOn w:val="List3"/>
    <w:rsid w:val="00BA66AD"/>
    <w:pPr>
      <w:numPr>
        <w:numId w:val="4"/>
      </w:numPr>
    </w:pPr>
  </w:style>
  <w:style w:type="paragraph" w:styleId="ListNumber4">
    <w:name w:val="List Number 4"/>
    <w:basedOn w:val="List4"/>
    <w:rsid w:val="00BA66AD"/>
    <w:pPr>
      <w:numPr>
        <w:numId w:val="5"/>
      </w:numPr>
    </w:pPr>
  </w:style>
  <w:style w:type="paragraph" w:styleId="ListNumber5">
    <w:name w:val="List Number 5"/>
    <w:basedOn w:val="List5"/>
    <w:rsid w:val="00BA66AD"/>
    <w:pPr>
      <w:numPr>
        <w:numId w:val="6"/>
      </w:numPr>
    </w:pPr>
  </w:style>
  <w:style w:type="paragraph" w:styleId="BlockText">
    <w:name w:val="Block Text"/>
    <w:basedOn w:val="Normal"/>
    <w:rsid w:val="00BA66AD"/>
    <w:pPr>
      <w:spacing w:after="120"/>
      <w:ind w:left="1440" w:right="1440"/>
    </w:pPr>
  </w:style>
  <w:style w:type="character" w:customStyle="1" w:styleId="Subscript">
    <w:name w:val="Subscript"/>
    <w:basedOn w:val="DefaultParagraphFont"/>
    <w:rsid w:val="00BA66AD"/>
    <w:rPr>
      <w:sz w:val="16"/>
      <w:vertAlign w:val="subscript"/>
    </w:rPr>
  </w:style>
  <w:style w:type="character" w:customStyle="1" w:styleId="Superscript">
    <w:name w:val="Superscript"/>
    <w:basedOn w:val="DefaultParagraphFont"/>
    <w:rsid w:val="00BA66AD"/>
    <w:rPr>
      <w:sz w:val="16"/>
      <w:vertAlign w:val="superscript"/>
    </w:rPr>
  </w:style>
  <w:style w:type="character" w:customStyle="1" w:styleId="Symbols">
    <w:name w:val="Symbols"/>
    <w:basedOn w:val="DefaultParagraphFont"/>
    <w:rsid w:val="00BA66AD"/>
    <w:rPr>
      <w:rFonts w:ascii="Symbol" w:hAnsi="Symbol"/>
    </w:rPr>
  </w:style>
  <w:style w:type="character" w:customStyle="1" w:styleId="MenuOptions">
    <w:name w:val="Menu Options"/>
    <w:basedOn w:val="DefaultParagraphFont"/>
    <w:rsid w:val="00BA66AD"/>
    <w:rPr>
      <w:rFonts w:ascii="Arial Narrow" w:hAnsi="Arial Narrow"/>
      <w:smallCaps/>
    </w:rPr>
  </w:style>
  <w:style w:type="character" w:customStyle="1" w:styleId="Buttons">
    <w:name w:val="Buttons"/>
    <w:basedOn w:val="DefaultParagraphFont"/>
    <w:rsid w:val="00BA66AD"/>
    <w:rPr>
      <w:b/>
    </w:rPr>
  </w:style>
  <w:style w:type="character" w:customStyle="1" w:styleId="Underlined">
    <w:name w:val="Underlined"/>
    <w:basedOn w:val="DefaultParagraphFont"/>
    <w:rsid w:val="00BA66AD"/>
    <w:rPr>
      <w:u w:val="single"/>
    </w:rPr>
  </w:style>
  <w:style w:type="paragraph" w:customStyle="1" w:styleId="TableBodyTextRight">
    <w:name w:val="Table Body Text Right"/>
    <w:basedOn w:val="TableBodyText"/>
    <w:rsid w:val="00BA66AD"/>
    <w:pPr>
      <w:widowControl w:val="0"/>
      <w:autoSpaceDE w:val="0"/>
      <w:autoSpaceDN w:val="0"/>
      <w:adjustRightInd w:val="0"/>
      <w:jc w:val="right"/>
    </w:pPr>
    <w:rPr>
      <w:rFonts w:cs="Arial"/>
      <w:szCs w:val="18"/>
    </w:rPr>
  </w:style>
  <w:style w:type="paragraph" w:customStyle="1" w:styleId="CopyrightText">
    <w:name w:val="Copyright Text"/>
    <w:basedOn w:val="BodyText"/>
    <w:rsid w:val="00BA66AD"/>
    <w:rPr>
      <w:sz w:val="18"/>
    </w:rPr>
  </w:style>
  <w:style w:type="paragraph" w:customStyle="1" w:styleId="BodySmallRight">
    <w:name w:val="Body Small Right"/>
    <w:basedOn w:val="BodyTextRight"/>
    <w:rsid w:val="00BA66AD"/>
    <w:rPr>
      <w:sz w:val="18"/>
      <w:szCs w:val="18"/>
    </w:rPr>
  </w:style>
  <w:style w:type="paragraph" w:customStyle="1" w:styleId="MarginEdition">
    <w:name w:val="Margin Edition"/>
    <w:basedOn w:val="MarginNote"/>
    <w:rsid w:val="00BA66AD"/>
    <w:pPr>
      <w:spacing w:before="0" w:after="0"/>
    </w:pPr>
    <w:rPr>
      <w:rFonts w:ascii="Times New Roman" w:hAnsi="Times New Roman"/>
      <w:color w:val="999999"/>
    </w:rPr>
  </w:style>
  <w:style w:type="paragraph" w:customStyle="1" w:styleId="Spacer">
    <w:name w:val="Spacer"/>
    <w:basedOn w:val="Normal"/>
    <w:rsid w:val="00BA66AD"/>
    <w:rPr>
      <w:sz w:val="2"/>
      <w:szCs w:val="2"/>
    </w:rPr>
  </w:style>
  <w:style w:type="character" w:customStyle="1" w:styleId="Small">
    <w:name w:val="Small"/>
    <w:basedOn w:val="DefaultParagraphFont"/>
    <w:rsid w:val="00BA66AD"/>
    <w:rPr>
      <w:sz w:val="16"/>
    </w:rPr>
  </w:style>
  <w:style w:type="paragraph" w:customStyle="1" w:styleId="WideTable">
    <w:name w:val="Wide Table"/>
    <w:basedOn w:val="Normal"/>
    <w:rsid w:val="00BA66AD"/>
    <w:pPr>
      <w:ind w:left="-1418"/>
    </w:pPr>
    <w:rPr>
      <w:sz w:val="2"/>
      <w:szCs w:val="2"/>
    </w:rPr>
  </w:style>
  <w:style w:type="character" w:styleId="PageNumber">
    <w:name w:val="page number"/>
    <w:basedOn w:val="DefaultParagraphFont"/>
    <w:rsid w:val="00BA66AD"/>
  </w:style>
  <w:style w:type="paragraph" w:styleId="Quote">
    <w:name w:val="Quote"/>
    <w:basedOn w:val="Heading1"/>
    <w:link w:val="QuoteChar"/>
    <w:qFormat/>
    <w:rsid w:val="00BA66AD"/>
    <w:rPr>
      <w:b w:val="0"/>
      <w:sz w:val="72"/>
      <w:szCs w:val="72"/>
      <w:lang w:val="en-NZ"/>
    </w:rPr>
  </w:style>
  <w:style w:type="character" w:customStyle="1" w:styleId="QuoteChar">
    <w:name w:val="Quote Char"/>
    <w:basedOn w:val="DefaultParagraphFont"/>
    <w:link w:val="Quote"/>
    <w:rsid w:val="00BA6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6AD"/>
    <w:pPr>
      <w:pageBreakBefore/>
    </w:pPr>
  </w:style>
  <w:style w:type="paragraph" w:customStyle="1" w:styleId="Border">
    <w:name w:val="Border"/>
    <w:basedOn w:val="Normal"/>
    <w:qFormat/>
    <w:rsid w:val="00BA66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6AD"/>
    <w:rPr>
      <w:b/>
      <w:bCs/>
      <w:i/>
      <w:iCs/>
      <w:color w:val="auto"/>
    </w:rPr>
  </w:style>
  <w:style w:type="paragraph" w:styleId="IntenseQuote">
    <w:name w:val="Intense Quote"/>
    <w:basedOn w:val="Normal"/>
    <w:next w:val="Normal"/>
    <w:link w:val="IntenseQuoteChar"/>
    <w:uiPriority w:val="30"/>
    <w:qFormat/>
    <w:rsid w:val="00BA66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6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6AD"/>
    <w:rPr>
      <w:smallCaps/>
      <w:color w:val="auto"/>
      <w:u w:val="single"/>
    </w:rPr>
  </w:style>
  <w:style w:type="character" w:styleId="IntenseReference">
    <w:name w:val="Intense Reference"/>
    <w:basedOn w:val="DefaultParagraphFont"/>
    <w:uiPriority w:val="32"/>
    <w:qFormat/>
    <w:rsid w:val="00BA66AD"/>
    <w:rPr>
      <w:b/>
      <w:bCs/>
      <w:smallCaps/>
      <w:color w:val="auto"/>
      <w:spacing w:val="5"/>
      <w:u w:val="single"/>
    </w:rPr>
  </w:style>
  <w:style w:type="paragraph" w:customStyle="1" w:styleId="2ColumnHeading">
    <w:name w:val="2Column Heading"/>
    <w:basedOn w:val="BodyText"/>
    <w:qFormat/>
    <w:rsid w:val="00BA66AD"/>
    <w:pPr>
      <w:spacing w:after="60"/>
      <w:ind w:left="-2268"/>
    </w:pPr>
    <w:rPr>
      <w:b/>
    </w:rPr>
  </w:style>
  <w:style w:type="paragraph" w:customStyle="1" w:styleId="Heading1TOC">
    <w:name w:val="Heading1 TOC"/>
    <w:basedOn w:val="Normal"/>
    <w:qFormat/>
    <w:rsid w:val="00BA66AD"/>
    <w:pPr>
      <w:spacing w:before="240" w:after="120"/>
    </w:pPr>
    <w:rPr>
      <w:rFonts w:ascii="Times New Roman" w:hAnsi="Times New Roman"/>
      <w:b/>
      <w:sz w:val="32"/>
    </w:rPr>
  </w:style>
  <w:style w:type="paragraph" w:customStyle="1" w:styleId="Heading2TOC">
    <w:name w:val="Heading2 TOC"/>
    <w:basedOn w:val="Normal"/>
    <w:qFormat/>
    <w:rsid w:val="00BA66AD"/>
    <w:pPr>
      <w:spacing w:before="240" w:after="60"/>
    </w:pPr>
    <w:rPr>
      <w:rFonts w:ascii="Times New Roman" w:hAnsi="Times New Roman"/>
      <w:b/>
      <w:sz w:val="28"/>
    </w:rPr>
  </w:style>
  <w:style w:type="character" w:customStyle="1" w:styleId="Underline">
    <w:name w:val="Underline"/>
    <w:basedOn w:val="DefaultParagraphFont"/>
    <w:qFormat/>
    <w:rsid w:val="00BA66AD"/>
    <w:rPr>
      <w:u w:val="single"/>
    </w:rPr>
  </w:style>
  <w:style w:type="character" w:customStyle="1" w:styleId="BoldandItalics">
    <w:name w:val="Bold and Italics"/>
    <w:qFormat/>
    <w:rsid w:val="00BA66AD"/>
    <w:rPr>
      <w:b/>
      <w:i/>
      <w:u w:val="none"/>
    </w:rPr>
  </w:style>
  <w:style w:type="paragraph" w:styleId="BalloonText">
    <w:name w:val="Balloon Text"/>
    <w:basedOn w:val="Normal"/>
    <w:link w:val="BalloonTextChar"/>
    <w:rsid w:val="00BA66AD"/>
    <w:rPr>
      <w:rFonts w:ascii="Tahoma" w:hAnsi="Tahoma" w:cs="Tahoma"/>
      <w:sz w:val="16"/>
      <w:szCs w:val="16"/>
    </w:rPr>
  </w:style>
  <w:style w:type="character" w:customStyle="1" w:styleId="BalloonTextChar">
    <w:name w:val="Balloon Text Char"/>
    <w:basedOn w:val="DefaultParagraphFont"/>
    <w:link w:val="BalloonText"/>
    <w:rsid w:val="00BA66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6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6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6AD"/>
    <w:rPr>
      <w:b/>
      <w:color w:val="660033"/>
      <w:spacing w:val="0"/>
    </w:rPr>
  </w:style>
  <w:style w:type="paragraph" w:customStyle="1" w:styleId="Nameditemlist">
    <w:name w:val="Named item list"/>
    <w:basedOn w:val="BodyText"/>
    <w:qFormat/>
    <w:rsid w:val="00BA66AD"/>
    <w:pPr>
      <w:tabs>
        <w:tab w:val="left" w:pos="2835"/>
      </w:tabs>
      <w:ind w:left="2835" w:hanging="2835"/>
    </w:pPr>
  </w:style>
  <w:style w:type="paragraph" w:customStyle="1" w:styleId="BodyTextnopadding">
    <w:name w:val="Body Text no padding"/>
    <w:basedOn w:val="BodyText"/>
    <w:qFormat/>
    <w:rsid w:val="00BA66AD"/>
    <w:pPr>
      <w:spacing w:before="0" w:after="0"/>
    </w:pPr>
  </w:style>
  <w:style w:type="paragraph" w:customStyle="1" w:styleId="BodyTextBold">
    <w:name w:val="Body Text Bold"/>
    <w:basedOn w:val="BodyText"/>
    <w:qFormat/>
    <w:rsid w:val="00BA66AD"/>
    <w:rPr>
      <w:b/>
    </w:rPr>
  </w:style>
  <w:style w:type="character" w:styleId="Hyperlink">
    <w:name w:val="Hyperlink"/>
    <w:basedOn w:val="DefaultParagraphFont"/>
    <w:uiPriority w:val="99"/>
    <w:unhideWhenUsed/>
    <w:rsid w:val="00A52C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5323</Characters>
  <Application>Microsoft Office Word</Application>
  <DocSecurity>0</DocSecurity>
  <Lines>253</Lines>
  <Paragraphs>157</Paragraphs>
  <ScaleCrop>false</ScaleCrop>
  <Company>Author-it Software Corporation Ltd.</Company>
  <LinksUpToDate>false</LinksUpToDate>
  <CharactersWithSpaces>5974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MEA415 Paint aircraft surfaces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2019-09-30T08:16:00Z</dcterms:created>
  <dcterms:modified xsi:type="dcterms:W3CDTF">2019-09-30T08:16:00Z</dcterms:modified>
</cp:coreProperties>
</file>