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9FD" w:rsidP="00D519FD">
      <w:pPr>
        <w:pStyle w:val="Title"/>
      </w:pPr>
      <w:r>
        <w:fldChar w:fldCharType="begin"/>
      </w:r>
      <w:r>
        <w:instrText xml:space="preserve"> TITLE   \* MERGEFORMAT </w:instrText>
      </w:r>
      <w:r>
        <w:fldChar w:fldCharType="separate"/>
      </w:r>
      <w:r>
        <w:t>MEA396 Assemble aircraft piston engine quick engine change unit</w:t>
      </w:r>
      <w:r>
        <w:fldChar w:fldCharType="end"/>
      </w:r>
    </w:p>
    <w:p w:rsidR="00D519FD" w:rsidP="00D519FD">
      <w:pPr>
        <w:pStyle w:val="Version"/>
        <w:sectPr w:rsidSect="00FA0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0216" w:rsidP="00FA0216">
      <w:pPr>
        <w:pStyle w:val="SuperHeading"/>
      </w:pPr>
      <w:r w:rsidRPr="00FA0216">
        <w:t>MEA396 Assemble aircraft piston engine quick engine change unit</w:t>
      </w:r>
    </w:p>
    <w:p w:rsidR="00000000" w:rsidRPr="00FA0216" w:rsidP="00FA0216">
      <w:pPr>
        <w:pStyle w:val="Heading1"/>
      </w:pPr>
      <w:bookmarkStart w:id="1" w:name="O_996666"/>
      <w:bookmarkEnd w:id="1"/>
      <w:r w:rsidRPr="00FA0216">
        <w:t>Modification History</w:t>
      </w:r>
    </w:p>
    <w:p w:rsidR="00000000" w:rsidRPr="00FA0216" w:rsidP="00D519FD">
      <w:pPr>
        <w:pStyle w:val="BodyText"/>
      </w:pPr>
      <w:r w:rsidRPr="00FA0216">
        <w:t>Release 2. Equivalent to MEA396 Assemble aircraft piston engine quick engine change unit with amended prerequisite codes.</w:t>
      </w:r>
    </w:p>
    <w:p w:rsidR="00000000" w:rsidRPr="00FA0216" w:rsidP="00FA0216">
      <w:pPr>
        <w:pStyle w:val="Heading1"/>
      </w:pPr>
      <w:bookmarkStart w:id="2" w:name="O_996665"/>
      <w:bookmarkEnd w:id="2"/>
      <w:r w:rsidRPr="00FA0216">
        <w:t>Application</w:t>
      </w:r>
    </w:p>
    <w:p w:rsidR="00000000" w:rsidRPr="00FA0216" w:rsidP="00D519FD">
      <w:pPr>
        <w:pStyle w:val="BodyText"/>
      </w:pPr>
      <w:r w:rsidRPr="00FA0216">
        <w:t>This unit of competency requires application of hand skills, theory knowledge and maintenance publication procedures to assemble aircraft piston engine quick engine change (QEC) units following engine repair and/or overhaul.</w:t>
      </w:r>
    </w:p>
    <w:p w:rsidR="00000000" w:rsidRPr="00FA0216" w:rsidP="00D519FD">
      <w:pPr>
        <w:pStyle w:val="BodyText"/>
      </w:pPr>
      <w:r w:rsidRPr="00FA0216">
        <w:t>Applications include fixed and</w:t>
      </w:r>
      <w:r w:rsidRPr="00FA0216">
        <w:t xml:space="preserve"> rotary wing aircraft piston engines and components. Work can be performed individually or as a member of a team.</w:t>
      </w:r>
    </w:p>
    <w:p w:rsidR="00000000" w:rsidRPr="00FA0216" w:rsidP="00D519FD">
      <w:pPr>
        <w:pStyle w:val="BodyText"/>
      </w:pPr>
      <w:r w:rsidRPr="00FA0216">
        <w:t>This unit of competency is part of the Mechanical Certificate IV (Component Workshop Maintenance Stream) training pathway. The unit is used i</w:t>
      </w:r>
      <w:r w:rsidRPr="00FA0216">
        <w:t>n workplaces that operate under the airworthiness regulatory systems of the Australian Defence Force (ADF) and the Civil Aviation Safety Authority (CASA).</w:t>
      </w:r>
    </w:p>
    <w:p w:rsidR="00000000" w:rsidRPr="00FA0216" w:rsidP="00FA0216">
      <w:pPr>
        <w:pStyle w:val="Heading1"/>
      </w:pPr>
      <w:bookmarkStart w:id="3" w:name="O_996664"/>
      <w:bookmarkEnd w:id="3"/>
      <w:r w:rsidRPr="00FA0216">
        <w:t>Pre-requisite Unit</w:t>
      </w:r>
    </w:p>
    <w:tbl>
      <w:tblPr>
        <w:tblW w:w="0" w:type="auto"/>
        <w:tblLayout w:type="fixed"/>
        <w:tblCellMar>
          <w:left w:w="62" w:type="dxa"/>
          <w:right w:w="62" w:type="dxa"/>
        </w:tblCellMar>
        <w:tblLook w:val="0000"/>
      </w:tblPr>
      <w:tblGrid>
        <w:gridCol w:w="1764"/>
        <w:gridCol w:w="7010"/>
      </w:tblGrid>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MEA107</w:t>
            </w:r>
          </w:p>
        </w:tc>
        <w:tc>
          <w:tcPr>
            <w:tcW w:w="701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Interpret and use aviation maintenance industry manuals an</w:t>
            </w:r>
            <w:r w:rsidRPr="00FA0216">
              <w:t>d specifications</w:t>
            </w:r>
          </w:p>
        </w:tc>
      </w:tr>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MEA154</w:t>
            </w:r>
          </w:p>
        </w:tc>
        <w:tc>
          <w:tcPr>
            <w:tcW w:w="701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Apply work health and safety practices in aviation maintenance</w:t>
            </w:r>
          </w:p>
        </w:tc>
      </w:tr>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MEA155</w:t>
            </w:r>
          </w:p>
        </w:tc>
        <w:tc>
          <w:tcPr>
            <w:tcW w:w="701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Plan and organise aviation maintenance work activities</w:t>
            </w:r>
          </w:p>
        </w:tc>
      </w:tr>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MEA156</w:t>
            </w:r>
          </w:p>
        </w:tc>
        <w:tc>
          <w:tcPr>
            <w:tcW w:w="701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Apply quality standards during aviation maintenance activities</w:t>
            </w:r>
          </w:p>
        </w:tc>
      </w:tr>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MEA157</w:t>
            </w:r>
          </w:p>
        </w:tc>
        <w:tc>
          <w:tcPr>
            <w:tcW w:w="701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Complete aviation maintenance industry documentation</w:t>
            </w:r>
          </w:p>
        </w:tc>
      </w:tr>
      <w:tr w:rsidTr="00FA021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MEA158</w:t>
            </w:r>
          </w:p>
        </w:tc>
        <w:tc>
          <w:tcPr>
            <w:tcW w:w="7010" w:type="dxa"/>
            <w:tcBorders>
              <w:top w:val="nil"/>
              <w:left w:val="nil"/>
              <w:bottom w:val="nil"/>
              <w:right w:val="nil"/>
            </w:tcBorders>
            <w:tcMar>
              <w:top w:w="0" w:type="dxa"/>
              <w:left w:w="62" w:type="dxa"/>
              <w:bottom w:w="0" w:type="dxa"/>
              <w:right w:w="62" w:type="dxa"/>
            </w:tcMar>
          </w:tcPr>
          <w:p w:rsidR="00000000" w:rsidRPr="00FA0216" w:rsidP="00FA0216">
            <w:pPr>
              <w:pStyle w:val="BodyText"/>
            </w:pPr>
            <w:r w:rsidRPr="00FA0216">
              <w:t>Perform basic hand skills, standard trade practices and fundamentals in aviation maintenance</w:t>
            </w:r>
          </w:p>
        </w:tc>
      </w:tr>
    </w:tbl>
    <w:p w:rsidR="00000000" w:rsidRPr="00FA0216" w:rsidP="00FA0216">
      <w:pPr>
        <w:pStyle w:val="BodyText"/>
      </w:pPr>
    </w:p>
    <w:p w:rsidR="00000000" w:rsidRPr="00FA0216" w:rsidP="00FA0216">
      <w:pPr>
        <w:pStyle w:val="AllowPageBreak"/>
      </w:pPr>
    </w:p>
    <w:p w:rsidR="00000000" w:rsidRPr="00FA0216" w:rsidP="00FA0216">
      <w:pPr>
        <w:pStyle w:val="Heading1"/>
      </w:pPr>
      <w:bookmarkStart w:id="4" w:name="O_996663"/>
      <w:bookmarkEnd w:id="4"/>
      <w:r w:rsidRPr="00FA0216">
        <w:t>Competency Field</w:t>
      </w:r>
    </w:p>
    <w:p w:rsidR="00000000" w:rsidRPr="00FA0216" w:rsidP="00D519FD">
      <w:pPr>
        <w:pStyle w:val="BodyText"/>
      </w:pPr>
      <w:r w:rsidRPr="00FA0216">
        <w:t>Aviation maintenance</w:t>
      </w:r>
    </w:p>
    <w:p w:rsidR="00000000" w:rsidRPr="00FA0216" w:rsidP="00FA0216">
      <w:pPr>
        <w:pStyle w:val="Heading1"/>
      </w:pPr>
      <w:bookmarkStart w:id="5" w:name="O_996662"/>
      <w:bookmarkEnd w:id="5"/>
      <w:r w:rsidRPr="00FA0216">
        <w:t>Unit Sector</w:t>
      </w:r>
    </w:p>
    <w:p w:rsidR="00000000" w:rsidRPr="00FA0216" w:rsidP="00FA0216">
      <w:pPr>
        <w:pStyle w:val="Heading1"/>
      </w:pPr>
      <w:bookmarkStart w:id="6" w:name="O_996661"/>
      <w:bookmarkEnd w:id="6"/>
      <w:r w:rsidRPr="00FA0216">
        <w:t>Elements and Performance Criteria</w:t>
      </w:r>
    </w:p>
    <w:tbl>
      <w:tblPr>
        <w:tblW w:w="9307" w:type="dxa"/>
        <w:tblLayout w:type="fixed"/>
        <w:tblCellMar>
          <w:left w:w="62" w:type="dxa"/>
          <w:right w:w="62" w:type="dxa"/>
        </w:tblCellMar>
        <w:tblLook w:val="0000"/>
      </w:tblPr>
      <w:tblGrid>
        <w:gridCol w:w="582"/>
        <w:gridCol w:w="2429"/>
        <w:gridCol w:w="771"/>
        <w:gridCol w:w="5525"/>
      </w:tblGrid>
      <w:tr w:rsidTr="00FA0216">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 xml:space="preserve">Performance criteria describe the performance needed to demonstrate achievement of the element. </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1.</w:t>
            </w:r>
          </w:p>
        </w:tc>
        <w:tc>
          <w:tcPr>
            <w:tcW w:w="2429"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Prepare to assemble piston engine QEC unit</w:t>
            </w: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1.1</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QEC build requirements are correctly interpreted and matched by part and serial numbers</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1.2</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Correct QEC components are gathered for assembly and their seviceability state and modification status is confirmed in accordance with the relevant maintenance d</w:t>
            </w:r>
            <w:r w:rsidRPr="00FA0216">
              <w:t>ocumentation and quality procedures</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1.3</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Required hardware and plumbing is obtained and confirmed as approved items</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2.</w:t>
            </w:r>
          </w:p>
        </w:tc>
        <w:tc>
          <w:tcPr>
            <w:tcW w:w="2429"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Assemble piston engine QEC unit</w:t>
            </w: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2.1</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 xml:space="preserve">Piston engine is prepared </w:t>
            </w:r>
            <w:r w:rsidRPr="00FA0216">
              <w:t>for QEC assembly in accordance with maintenance manual and/or enterprise procedures</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2.2</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QEC components are assembled to the engine and adjusted in accordance with the maintenance manual and/or enterprise procedures while observing relevant work health a</w:t>
            </w:r>
            <w:r w:rsidRPr="00FA0216">
              <w:t>nd safety (WHS) procedures, including the use of material safety data sheets (MSDS) and personal protective equipment (PPE)</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2.3</w:t>
            </w:r>
          </w:p>
        </w:tc>
        <w:tc>
          <w:tcPr>
            <w:tcW w:w="5525"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QEC unit is assembled and components and linkages are adjusted in accordance with maintenance data requirements</w:t>
            </w:r>
          </w:p>
        </w:tc>
      </w:tr>
      <w:tr w:rsidTr="00FA0216">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2.4</w:t>
            </w:r>
          </w:p>
        </w:tc>
        <w:tc>
          <w:tcPr>
            <w:tcW w:w="5525" w:type="dxa"/>
            <w:tcBorders>
              <w:top w:val="nil"/>
              <w:left w:val="nil"/>
              <w:bottom w:val="nil"/>
              <w:right w:val="nil"/>
            </w:tcBorders>
            <w:tcMar>
              <w:top w:w="0" w:type="dxa"/>
              <w:left w:w="62" w:type="dxa"/>
              <w:bottom w:w="0" w:type="dxa"/>
              <w:right w:w="62" w:type="dxa"/>
            </w:tcMar>
          </w:tcPr>
          <w:p w:rsidR="00000000" w:rsidRPr="00FA0216" w:rsidP="00FA0216">
            <w:pPr>
              <w:pStyle w:val="BodyText"/>
            </w:pPr>
            <w:r w:rsidRPr="00FA0216">
              <w:t xml:space="preserve">Where </w:t>
            </w:r>
            <w:r w:rsidRPr="00FA0216">
              <w:t>required, QEC unit is prepared for testing</w:t>
            </w:r>
          </w:p>
        </w:tc>
      </w:tr>
    </w:tbl>
    <w:p w:rsidR="00000000" w:rsidRPr="00FA0216" w:rsidP="00FA0216">
      <w:pPr>
        <w:pStyle w:val="BodyText"/>
      </w:pPr>
    </w:p>
    <w:p w:rsidR="00000000" w:rsidRPr="00FA0216" w:rsidP="00FA0216">
      <w:pPr>
        <w:pStyle w:val="AllowPageBreak"/>
      </w:pPr>
    </w:p>
    <w:p w:rsidR="00000000" w:rsidRPr="00FA0216" w:rsidP="00FA0216">
      <w:pPr>
        <w:pStyle w:val="Heading1"/>
      </w:pPr>
      <w:bookmarkStart w:id="7" w:name="O_996660"/>
      <w:bookmarkEnd w:id="7"/>
      <w:r w:rsidRPr="00FA0216">
        <w:t>Foundation Skills</w:t>
      </w:r>
    </w:p>
    <w:p w:rsidR="00000000" w:rsidRPr="00FA0216" w:rsidP="00D519FD">
      <w:pPr>
        <w:pStyle w:val="BodyText"/>
      </w:pPr>
      <w:r w:rsidRPr="00FA0216">
        <w:t>Foundation skills essential to performance are explicit in the performance criteria of this unit of competency.</w:t>
      </w:r>
    </w:p>
    <w:p w:rsidR="00000000" w:rsidRPr="00FA0216" w:rsidP="00FA0216">
      <w:pPr>
        <w:pStyle w:val="Heading1"/>
      </w:pPr>
      <w:bookmarkStart w:id="8" w:name="O_996659"/>
      <w:bookmarkEnd w:id="8"/>
      <w:r w:rsidRPr="00FA0216">
        <w:t>Range of Conditions</w:t>
      </w:r>
    </w:p>
    <w:tbl>
      <w:tblPr>
        <w:tblW w:w="0" w:type="auto"/>
        <w:tblLayout w:type="fixed"/>
        <w:tblCellMar>
          <w:left w:w="62" w:type="dxa"/>
          <w:right w:w="62" w:type="dxa"/>
        </w:tblCellMar>
        <w:tblLook w:val="0000"/>
      </w:tblPr>
      <w:tblGrid>
        <w:gridCol w:w="2970"/>
        <w:gridCol w:w="6102"/>
      </w:tblGrid>
      <w:tr w:rsidTr="00FA02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t>This field allows for different work environments and conditions that may affect performance. Essential operating conditions that may be present (depending on the work situation, needs of the candidate, accessibility of the item, and local industry and reg</w:t>
            </w:r>
            <w:r w:rsidRPr="00FA0216">
              <w:t xml:space="preserve">ional </w:t>
            </w:r>
            <w:r w:rsidRPr="00FA0216">
              <w:t>contexts) are included.</w:t>
            </w:r>
          </w:p>
        </w:tc>
      </w:tr>
      <w:tr w:rsidTr="00FA0216">
        <w:tblPrEx>
          <w:tblW w:w="0" w:type="auto"/>
          <w:tblLayout w:type="fixed"/>
          <w:tblCellMar>
            <w:left w:w="62" w:type="dxa"/>
            <w:right w:w="62" w:type="dxa"/>
          </w:tblCellMar>
          <w:tblLook w:val="0000"/>
        </w:tblPrEx>
        <w:trPr>
          <w:trHeight w:val="4247"/>
        </w:trPr>
        <w:tc>
          <w:tcPr>
            <w:tcW w:w="297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rPr>
                <w:rStyle w:val="SpecialBold"/>
              </w:rPr>
              <w:t>Piston engine QEC unit components include:</w:t>
            </w:r>
          </w:p>
        </w:tc>
        <w:tc>
          <w:tcPr>
            <w:tcW w:w="6102" w:type="dxa"/>
            <w:tcBorders>
              <w:top w:val="nil"/>
              <w:left w:val="nil"/>
              <w:bottom w:val="nil"/>
              <w:right w:val="nil"/>
            </w:tcBorders>
            <w:tcMar>
              <w:top w:w="0" w:type="dxa"/>
              <w:left w:w="62" w:type="dxa"/>
              <w:bottom w:w="0" w:type="dxa"/>
              <w:right w:w="62" w:type="dxa"/>
            </w:tcMar>
          </w:tcPr>
          <w:p w:rsidR="00000000" w:rsidRPr="00FA0216" w:rsidP="00FA0216">
            <w:pPr>
              <w:pStyle w:val="BodyText"/>
            </w:pPr>
            <w:r w:rsidRPr="00FA0216">
              <w:t>Components from the following list, according to build requirements:</w:t>
            </w:r>
          </w:p>
          <w:p w:rsidR="00000000" w:rsidRPr="00FA0216" w:rsidP="00FA0216">
            <w:pPr>
              <w:pStyle w:val="ListBullet2"/>
            </w:pPr>
            <w:r w:rsidRPr="00FA0216">
              <w:t>Engine</w:t>
            </w:r>
          </w:p>
          <w:p w:rsidR="00000000" w:rsidRPr="00FA0216" w:rsidP="00FA0216">
            <w:pPr>
              <w:pStyle w:val="ListBullet2"/>
            </w:pPr>
            <w:r w:rsidRPr="00FA0216">
              <w:t>Engine mount frame</w:t>
            </w:r>
          </w:p>
          <w:p w:rsidR="00000000" w:rsidRPr="00FA0216" w:rsidP="00FA0216">
            <w:pPr>
              <w:pStyle w:val="ListBullet2"/>
            </w:pPr>
            <w:r w:rsidRPr="00FA0216">
              <w:t>External lubrication system components</w:t>
            </w:r>
          </w:p>
          <w:p w:rsidR="00000000" w:rsidRPr="00FA0216" w:rsidP="00FA0216">
            <w:pPr>
              <w:pStyle w:val="ListBullet2"/>
            </w:pPr>
            <w:r w:rsidRPr="00FA0216">
              <w:t>Baffles</w:t>
            </w:r>
          </w:p>
          <w:p w:rsidR="00000000" w:rsidRPr="00FA0216" w:rsidP="00FA0216">
            <w:pPr>
              <w:pStyle w:val="ListBullet2"/>
            </w:pPr>
            <w:r w:rsidRPr="00FA0216">
              <w:t>Heat shields</w:t>
            </w:r>
          </w:p>
          <w:p w:rsidR="00000000" w:rsidRPr="00FA0216" w:rsidP="00FA0216">
            <w:pPr>
              <w:pStyle w:val="ListBullet2"/>
            </w:pPr>
            <w:r w:rsidRPr="00FA0216">
              <w:t>fuel system plumbing</w:t>
            </w:r>
          </w:p>
          <w:p w:rsidR="00000000" w:rsidRPr="00FA0216" w:rsidP="00FA0216">
            <w:pPr>
              <w:pStyle w:val="ListBullet2"/>
            </w:pPr>
            <w:r w:rsidRPr="00FA0216">
              <w:t>pneumatic plumbing</w:t>
            </w:r>
          </w:p>
          <w:p w:rsidR="00000000" w:rsidRPr="00FA0216" w:rsidP="00FA0216">
            <w:pPr>
              <w:pStyle w:val="ListBullet2"/>
            </w:pPr>
            <w:r w:rsidRPr="00FA0216">
              <w:t>control linkages</w:t>
            </w:r>
          </w:p>
          <w:p w:rsidR="00000000" w:rsidRPr="00FA0216" w:rsidP="00FA0216">
            <w:pPr>
              <w:pStyle w:val="ListBullet2"/>
            </w:pPr>
            <w:r w:rsidRPr="00FA0216">
              <w:t>induction system</w:t>
            </w:r>
          </w:p>
          <w:p w:rsidR="00000000" w:rsidRPr="00FA0216" w:rsidP="00FA0216">
            <w:pPr>
              <w:pStyle w:val="ListBullet2"/>
            </w:pPr>
            <w:r w:rsidRPr="00FA0216">
              <w:t>exhaust system components</w:t>
            </w:r>
          </w:p>
          <w:p w:rsidR="00000000" w:rsidRPr="00FA0216" w:rsidP="00FA0216">
            <w:pPr>
              <w:pStyle w:val="ListBullet2"/>
            </w:pPr>
            <w:r w:rsidRPr="00FA0216">
              <w:t xml:space="preserve">turbocharger and waste gate </w:t>
            </w:r>
          </w:p>
          <w:p w:rsidR="00000000" w:rsidRPr="00FA0216" w:rsidP="00FA0216">
            <w:pPr>
              <w:pStyle w:val="ListBullet2"/>
            </w:pPr>
            <w:r w:rsidRPr="00FA0216">
              <w:t>tachometer generator and wiring</w:t>
            </w:r>
          </w:p>
          <w:p w:rsidR="00000000" w:rsidRPr="00FA0216" w:rsidP="00FA0216">
            <w:pPr>
              <w:pStyle w:val="ListBullet2"/>
            </w:pPr>
            <w:r w:rsidRPr="00FA0216">
              <w:t>vacuum pump</w:t>
            </w:r>
          </w:p>
          <w:p w:rsidR="00000000" w:rsidRPr="00FA0216" w:rsidP="00FA0216">
            <w:pPr>
              <w:pStyle w:val="ListBullet2"/>
            </w:pPr>
            <w:r w:rsidRPr="00FA0216">
              <w:t xml:space="preserve">air pump </w:t>
            </w:r>
          </w:p>
          <w:p w:rsidR="00000000" w:rsidRPr="00FA0216" w:rsidP="00FA0216">
            <w:pPr>
              <w:pStyle w:val="ListBullet2"/>
            </w:pPr>
            <w:r w:rsidRPr="00FA0216">
              <w:t xml:space="preserve">hydraulic pump </w:t>
            </w:r>
          </w:p>
          <w:p w:rsidR="00000000" w:rsidP="00FA0216">
            <w:pPr>
              <w:pStyle w:val="ListBullet2"/>
              <w:rPr>
                <w:lang w:val="en-NZ"/>
              </w:rPr>
            </w:pPr>
            <w:r w:rsidRPr="00FA0216">
              <w:t>fire warning system</w:t>
            </w:r>
          </w:p>
        </w:tc>
      </w:tr>
      <w:tr w:rsidTr="00FA02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rPr>
                <w:rStyle w:val="SpecialBold"/>
              </w:rPr>
              <w:t xml:space="preserve">Testing and adjustment: </w:t>
            </w:r>
          </w:p>
        </w:tc>
        <w:tc>
          <w:tcPr>
            <w:tcW w:w="6102" w:type="dxa"/>
            <w:tcBorders>
              <w:top w:val="nil"/>
              <w:left w:val="nil"/>
              <w:bottom w:val="nil"/>
              <w:right w:val="nil"/>
            </w:tcBorders>
            <w:tcMar>
              <w:top w:w="0" w:type="dxa"/>
              <w:left w:w="62" w:type="dxa"/>
              <w:bottom w:w="0" w:type="dxa"/>
              <w:right w:w="62" w:type="dxa"/>
            </w:tcMar>
          </w:tcPr>
          <w:p w:rsidR="00000000" w:rsidP="00FA0216">
            <w:pPr>
              <w:pStyle w:val="ListBullet"/>
              <w:rPr>
                <w:lang w:val="en-NZ"/>
              </w:rPr>
            </w:pPr>
            <w:r w:rsidRPr="00FA0216">
              <w:t>Complex testing and adjusting o</w:t>
            </w:r>
            <w:r w:rsidRPr="00FA0216">
              <w:t>f components, where required, will be carried out under supervision at the appropriate level</w:t>
            </w:r>
          </w:p>
        </w:tc>
      </w:tr>
      <w:tr w:rsidTr="00FA02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A0216">
            <w:pPr>
              <w:pStyle w:val="BodyText"/>
              <w:rPr>
                <w:lang w:val="en-NZ"/>
              </w:rPr>
            </w:pPr>
            <w:r w:rsidRPr="00FA0216">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FA0216" w:rsidP="00FA0216">
            <w:pPr>
              <w:pStyle w:val="ListBullet"/>
            </w:pPr>
            <w:r w:rsidRPr="00FA0216">
              <w:t>Industry standard procedures specified by manufacturers, regulatory authorities or the enterprise</w:t>
            </w:r>
          </w:p>
        </w:tc>
      </w:tr>
    </w:tbl>
    <w:p w:rsidR="00000000" w:rsidRPr="00FA0216" w:rsidP="00FA0216">
      <w:pPr>
        <w:pStyle w:val="BodyText"/>
      </w:pPr>
    </w:p>
    <w:p w:rsidR="00000000" w:rsidRPr="00FA0216" w:rsidP="00FA0216">
      <w:pPr>
        <w:pStyle w:val="AllowPageBreak"/>
      </w:pPr>
    </w:p>
    <w:p w:rsidR="00000000" w:rsidRPr="00FA0216" w:rsidP="00FA0216">
      <w:pPr>
        <w:pStyle w:val="Heading1"/>
      </w:pPr>
      <w:bookmarkStart w:id="9" w:name="O_996658"/>
      <w:bookmarkEnd w:id="9"/>
      <w:r w:rsidRPr="00FA0216">
        <w:t>Unit Mapping Information</w:t>
      </w:r>
    </w:p>
    <w:p w:rsidR="00000000" w:rsidRPr="00FA0216" w:rsidP="00D519FD">
      <w:pPr>
        <w:pStyle w:val="BodyText"/>
      </w:pPr>
      <w:r w:rsidRPr="00FA0216">
        <w:t>Release 2. Equivalent to MEA396 Assemble aircraft piston engine quick engine change unit</w:t>
      </w:r>
    </w:p>
    <w:p w:rsidR="00000000" w:rsidRPr="00FA0216" w:rsidP="00FA0216">
      <w:pPr>
        <w:pStyle w:val="Heading1"/>
      </w:pPr>
      <w:bookmarkStart w:id="10" w:name="O_996667"/>
      <w:bookmarkEnd w:id="10"/>
      <w:r w:rsidRPr="00FA0216">
        <w:t>Links</w:t>
      </w:r>
    </w:p>
    <w:p w:rsidR="00000000" w:rsidRPr="00FA0216" w:rsidP="00D519FD">
      <w:pPr>
        <w:pStyle w:val="BodyText"/>
      </w:pPr>
      <w:r w:rsidRPr="00FA021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E51D4">
        <w:rPr>
          <w:rStyle w:val="Hyperlink"/>
        </w:rPr>
        <w:t>https://vetnet.education.gov.au/Pages/TrainingDocs.aspx?q=ce216c9c-04d5-4b3b-9bcf-4e81d0950371</w:t>
      </w:r>
      <w:r>
        <w:fldChar w:fldCharType="end"/>
      </w:r>
    </w:p>
    <w:p w:rsidR="00000000" w:rsidRPr="00FA0216" w:rsidP="00FA0216"/>
    <w:sectPr w:rsidSect="00FA0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6" w:rsidRPr="00D519FD" w:rsidP="00D51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FD" w:rsidP="00FA0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9FD" w:rsidP="00FA021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19FD" w:rsidP="00FA0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216" w:rsidRPr="00D519FD" w:rsidP="00D51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FD" w:rsidRPr="002D2AF8" w:rsidP="00FA0216">
    <w:pPr>
      <w:pStyle w:val="Header"/>
      <w:framePr w:wrap="around"/>
    </w:pPr>
    <w:r>
      <w:fldChar w:fldCharType="begin"/>
    </w:r>
    <w:r>
      <w:instrText xml:space="preserve"> TITLE   \* MERGEFORMAT </w:instrText>
    </w:r>
    <w:r>
      <w:fldChar w:fldCharType="separate"/>
    </w:r>
    <w:r>
      <w:t>MEA396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519FD" w:rsidP="00FA0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C2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8C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8A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216"/>
    <w:pPr>
      <w:spacing w:before="360" w:after="60"/>
      <w:outlineLvl w:val="0"/>
    </w:pPr>
    <w:rPr>
      <w:sz w:val="32"/>
    </w:rPr>
  </w:style>
  <w:style w:type="paragraph" w:styleId="Heading2">
    <w:name w:val="heading 2"/>
    <w:basedOn w:val="HeadingBase"/>
    <w:next w:val="BodyText"/>
    <w:link w:val="Heading2Char"/>
    <w:qFormat/>
    <w:rsid w:val="00FA0216"/>
    <w:pPr>
      <w:keepLines/>
      <w:spacing w:before="240" w:after="120"/>
      <w:outlineLvl w:val="1"/>
    </w:pPr>
    <w:rPr>
      <w:sz w:val="28"/>
      <w:szCs w:val="40"/>
    </w:rPr>
  </w:style>
  <w:style w:type="paragraph" w:styleId="Heading3">
    <w:name w:val="heading 3"/>
    <w:basedOn w:val="HeadingBase"/>
    <w:next w:val="BodyText"/>
    <w:link w:val="Heading3Char"/>
    <w:qFormat/>
    <w:rsid w:val="00FA0216"/>
    <w:pPr>
      <w:spacing w:before="180" w:after="120"/>
      <w:outlineLvl w:val="2"/>
    </w:pPr>
    <w:rPr>
      <w:spacing w:val="-10"/>
      <w:kern w:val="32"/>
    </w:rPr>
  </w:style>
  <w:style w:type="paragraph" w:styleId="Heading4">
    <w:name w:val="heading 4"/>
    <w:basedOn w:val="HeadingBase"/>
    <w:next w:val="BodyText"/>
    <w:link w:val="Heading4Char"/>
    <w:qFormat/>
    <w:rsid w:val="00FA0216"/>
    <w:pPr>
      <w:spacing w:before="160" w:after="120"/>
      <w:outlineLvl w:val="3"/>
    </w:pPr>
    <w:rPr>
      <w:sz w:val="22"/>
    </w:rPr>
  </w:style>
  <w:style w:type="paragraph" w:styleId="Heading5">
    <w:name w:val="heading 5"/>
    <w:basedOn w:val="HeadingBase"/>
    <w:next w:val="Normal"/>
    <w:link w:val="Heading5Char"/>
    <w:qFormat/>
    <w:rsid w:val="00FA0216"/>
    <w:pPr>
      <w:spacing w:before="80"/>
      <w:outlineLvl w:val="4"/>
    </w:pPr>
    <w:rPr>
      <w:color w:val="918585"/>
      <w:sz w:val="20"/>
    </w:rPr>
  </w:style>
  <w:style w:type="paragraph" w:styleId="Heading6">
    <w:name w:val="heading 6"/>
    <w:basedOn w:val="HeadingBase"/>
    <w:next w:val="Normal"/>
    <w:link w:val="Heading6Char"/>
    <w:qFormat/>
    <w:rsid w:val="00FA0216"/>
    <w:pPr>
      <w:spacing w:before="60"/>
      <w:outlineLvl w:val="5"/>
    </w:pPr>
    <w:rPr>
      <w:color w:val="918585"/>
      <w:sz w:val="20"/>
    </w:rPr>
  </w:style>
  <w:style w:type="paragraph" w:styleId="Heading7">
    <w:name w:val="heading 7"/>
    <w:basedOn w:val="Normal"/>
    <w:next w:val="Normal"/>
    <w:link w:val="Heading7Char"/>
    <w:qFormat/>
    <w:rsid w:val="00FA0216"/>
    <w:pPr>
      <w:ind w:left="720"/>
      <w:outlineLvl w:val="6"/>
    </w:pPr>
    <w:rPr>
      <w:i/>
    </w:rPr>
  </w:style>
  <w:style w:type="paragraph" w:styleId="Heading8">
    <w:name w:val="heading 8"/>
    <w:basedOn w:val="Normal"/>
    <w:next w:val="Normal"/>
    <w:link w:val="Heading8Char"/>
    <w:qFormat/>
    <w:rsid w:val="00FA0216"/>
    <w:pPr>
      <w:ind w:left="720"/>
      <w:outlineLvl w:val="7"/>
    </w:pPr>
    <w:rPr>
      <w:i/>
    </w:rPr>
  </w:style>
  <w:style w:type="paragraph" w:styleId="Heading9">
    <w:name w:val="heading 9"/>
    <w:basedOn w:val="Normal"/>
    <w:next w:val="Normal"/>
    <w:link w:val="Heading9Char"/>
    <w:qFormat/>
    <w:rsid w:val="00FA0216"/>
    <w:pPr>
      <w:ind w:left="720"/>
      <w:outlineLvl w:val="8"/>
    </w:pPr>
    <w:rPr>
      <w:i/>
    </w:rPr>
  </w:style>
  <w:style w:type="character" w:default="1" w:styleId="DefaultParagraphFont">
    <w:name w:val="Default Paragraph Font"/>
    <w:uiPriority w:val="1"/>
    <w:unhideWhenUsed/>
    <w:rsid w:val="00FA0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216"/>
  </w:style>
  <w:style w:type="character" w:customStyle="1" w:styleId="Heading1Char">
    <w:name w:val="Heading 1 Char"/>
    <w:basedOn w:val="DefaultParagraphFont"/>
    <w:link w:val="Heading1"/>
    <w:rsid w:val="00FA0216"/>
    <w:rPr>
      <w:rFonts w:ascii="Times New Roman" w:eastAsia="Times New Roman" w:hAnsi="Times New Roman" w:cs="Times New Roman"/>
      <w:b/>
      <w:sz w:val="32"/>
      <w:szCs w:val="20"/>
      <w:lang w:eastAsia="en-US"/>
    </w:rPr>
  </w:style>
  <w:style w:type="paragraph" w:styleId="BodyText">
    <w:name w:val="Body Text"/>
    <w:basedOn w:val="Normal"/>
    <w:link w:val="BodyTextChar"/>
    <w:rsid w:val="00FA0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216"/>
    <w:rPr>
      <w:rFonts w:ascii="Times New Roman" w:eastAsia="Times New Roman" w:hAnsi="Times New Roman" w:cs="Times New Roman"/>
      <w:sz w:val="24"/>
      <w:lang w:eastAsia="en-US"/>
    </w:rPr>
  </w:style>
  <w:style w:type="paragraph" w:styleId="ListBullet">
    <w:name w:val="List Bullet"/>
    <w:basedOn w:val="List"/>
    <w:rsid w:val="00FA0216"/>
    <w:pPr>
      <w:numPr>
        <w:numId w:val="12"/>
      </w:numPr>
      <w:tabs>
        <w:tab w:val="clear" w:pos="340"/>
      </w:tabs>
      <w:spacing w:before="40" w:after="40"/>
    </w:pPr>
  </w:style>
  <w:style w:type="character" w:customStyle="1" w:styleId="SpecialBold">
    <w:name w:val="Special Bold"/>
    <w:basedOn w:val="DefaultParagraphFont"/>
    <w:rsid w:val="00FA0216"/>
    <w:rPr>
      <w:b/>
      <w:spacing w:val="0"/>
    </w:rPr>
  </w:style>
  <w:style w:type="paragraph" w:styleId="ListBullet2">
    <w:name w:val="List Bullet 2"/>
    <w:basedOn w:val="List2"/>
    <w:rsid w:val="00FA0216"/>
    <w:pPr>
      <w:numPr>
        <w:numId w:val="13"/>
      </w:numPr>
      <w:tabs>
        <w:tab w:val="clear" w:pos="680"/>
      </w:tabs>
    </w:pPr>
  </w:style>
  <w:style w:type="paragraph" w:customStyle="1" w:styleId="SuperHeading">
    <w:name w:val="SuperHeading"/>
    <w:basedOn w:val="Normal"/>
    <w:rsid w:val="00FA0216"/>
    <w:pPr>
      <w:spacing w:before="240" w:after="120"/>
      <w:outlineLvl w:val="0"/>
    </w:pPr>
    <w:rPr>
      <w:rFonts w:ascii="Times New Roman" w:hAnsi="Times New Roman"/>
      <w:b/>
      <w:sz w:val="32"/>
    </w:rPr>
  </w:style>
  <w:style w:type="paragraph" w:customStyle="1" w:styleId="AllowPageBreak">
    <w:name w:val="AllowPageBreak"/>
    <w:rsid w:val="00FA0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216"/>
    <w:rPr>
      <w:rFonts w:ascii="Courier New" w:eastAsia="Times New Roman" w:hAnsi="Courier New" w:cs="Times New Roman"/>
      <w:i/>
      <w:szCs w:val="20"/>
      <w:lang w:eastAsia="en-US"/>
    </w:rPr>
  </w:style>
  <w:style w:type="paragraph" w:customStyle="1" w:styleId="HeadingBase">
    <w:name w:val="Heading Base"/>
    <w:rsid w:val="00FA0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216"/>
    <w:pPr>
      <w:tabs>
        <w:tab w:val="right" w:leader="dot" w:pos="9072"/>
      </w:tabs>
      <w:ind w:left="567"/>
    </w:pPr>
    <w:rPr>
      <w:szCs w:val="22"/>
    </w:rPr>
  </w:style>
  <w:style w:type="paragraph" w:customStyle="1" w:styleId="TOCBase">
    <w:name w:val="TOC Base"/>
    <w:rsid w:val="00FA0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216"/>
    <w:pPr>
      <w:tabs>
        <w:tab w:val="right" w:leader="dot" w:pos="9072"/>
      </w:tabs>
      <w:spacing w:before="40" w:after="40"/>
      <w:ind w:left="284"/>
    </w:pPr>
    <w:rPr>
      <w:rFonts w:ascii="Times New Roman" w:hAnsi="Times New Roman"/>
    </w:rPr>
  </w:style>
  <w:style w:type="paragraph" w:styleId="TOC1">
    <w:name w:val="toc 1"/>
    <w:basedOn w:val="TOCBase"/>
    <w:next w:val="Normal"/>
    <w:rsid w:val="00FA0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216"/>
    <w:rPr>
      <w:rFonts w:ascii="Times New Roman" w:eastAsia="Times New Roman" w:hAnsi="Times New Roman" w:cs="Times New Roman"/>
      <w:sz w:val="16"/>
      <w:lang w:eastAsia="en-US"/>
    </w:rPr>
  </w:style>
  <w:style w:type="paragraph" w:styleId="Title">
    <w:name w:val="Title"/>
    <w:basedOn w:val="HeadingBase"/>
    <w:link w:val="TitleChar"/>
    <w:qFormat/>
    <w:rsid w:val="00FA0216"/>
    <w:pPr>
      <w:spacing w:before="5040"/>
      <w:jc w:val="center"/>
    </w:pPr>
    <w:rPr>
      <w:sz w:val="48"/>
      <w:szCs w:val="72"/>
      <w:lang w:val="en-US"/>
    </w:rPr>
  </w:style>
  <w:style w:type="character" w:customStyle="1" w:styleId="TitleChar">
    <w:name w:val="Title Char"/>
    <w:basedOn w:val="DefaultParagraphFont"/>
    <w:link w:val="Title"/>
    <w:rsid w:val="00FA0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216"/>
    <w:pPr>
      <w:tabs>
        <w:tab w:val="left" w:pos="3600"/>
        <w:tab w:val="left" w:pos="3958"/>
      </w:tabs>
    </w:pPr>
  </w:style>
  <w:style w:type="paragraph" w:styleId="List">
    <w:name w:val="List"/>
    <w:basedOn w:val="BodyText"/>
    <w:next w:val="BodyText"/>
    <w:rsid w:val="00FA0216"/>
    <w:pPr>
      <w:tabs>
        <w:tab w:val="left" w:pos="340"/>
      </w:tabs>
      <w:spacing w:before="60" w:after="60"/>
      <w:ind w:left="340" w:hanging="340"/>
    </w:pPr>
  </w:style>
  <w:style w:type="paragraph" w:customStyle="1" w:styleId="Note">
    <w:name w:val="Note"/>
    <w:basedOn w:val="BodyText"/>
    <w:rsid w:val="00FA0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216"/>
    <w:pPr>
      <w:framePr w:wrap="auto" w:hAnchor="text" w:y="6049"/>
    </w:pPr>
    <w:rPr>
      <w:color w:val="000000"/>
      <w:sz w:val="40"/>
    </w:rPr>
  </w:style>
  <w:style w:type="paragraph" w:customStyle="1" w:styleId="TOCTitle">
    <w:name w:val="TOCTitle"/>
    <w:basedOn w:val="Heading1"/>
    <w:rsid w:val="00FA0216"/>
    <w:pPr>
      <w:spacing w:after="240"/>
      <w:jc w:val="center"/>
      <w:outlineLvl w:val="9"/>
    </w:pPr>
    <w:rPr>
      <w:caps/>
    </w:rPr>
  </w:style>
  <w:style w:type="paragraph" w:customStyle="1" w:styleId="Version">
    <w:name w:val="Version"/>
    <w:rsid w:val="00FA0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216"/>
    <w:pPr>
      <w:keepNext w:val="0"/>
      <w:tabs>
        <w:tab w:val="right" w:pos="4176"/>
      </w:tabs>
      <w:ind w:left="198" w:hanging="198"/>
    </w:pPr>
    <w:rPr>
      <w:rFonts w:ascii="Garamond" w:hAnsi="Garamond"/>
    </w:rPr>
  </w:style>
  <w:style w:type="paragraph" w:styleId="IndexHeading">
    <w:name w:val="index heading"/>
    <w:basedOn w:val="Normal"/>
    <w:next w:val="Index1"/>
    <w:semiHidden/>
    <w:rsid w:val="00FA0216"/>
    <w:pPr>
      <w:spacing w:before="120" w:after="120"/>
    </w:pPr>
    <w:rPr>
      <w:rFonts w:ascii="Arial" w:hAnsi="Arial"/>
      <w:b/>
      <w:color w:val="918585"/>
      <w:sz w:val="24"/>
    </w:rPr>
  </w:style>
  <w:style w:type="paragraph" w:styleId="Header">
    <w:name w:val="header"/>
    <w:basedOn w:val="Normal"/>
    <w:link w:val="HeaderChar"/>
    <w:rsid w:val="00FA0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216"/>
    <w:rPr>
      <w:rFonts w:ascii="Times New Roman" w:eastAsia="Times New Roman" w:hAnsi="Times New Roman" w:cs="Times New Roman"/>
      <w:sz w:val="16"/>
      <w:szCs w:val="20"/>
      <w:lang w:val="en-GB" w:eastAsia="en-US"/>
    </w:rPr>
  </w:style>
  <w:style w:type="paragraph" w:customStyle="1" w:styleId="Chapter">
    <w:name w:val="Chapter"/>
    <w:basedOn w:val="Normal"/>
    <w:rsid w:val="00FA0216"/>
    <w:pPr>
      <w:spacing w:before="240"/>
    </w:pPr>
    <w:rPr>
      <w:rFonts w:ascii="Times New Roman" w:hAnsi="Times New Roman"/>
      <w:smallCaps/>
      <w:spacing w:val="80"/>
      <w:sz w:val="28"/>
    </w:rPr>
  </w:style>
  <w:style w:type="paragraph" w:customStyle="1" w:styleId="InChapter">
    <w:name w:val="InChapter"/>
    <w:basedOn w:val="Heading3"/>
    <w:rsid w:val="00FA0216"/>
    <w:pPr>
      <w:spacing w:after="240"/>
      <w:outlineLvl w:val="9"/>
    </w:pPr>
    <w:rPr>
      <w:noProof/>
    </w:rPr>
  </w:style>
  <w:style w:type="paragraph" w:styleId="Index2">
    <w:name w:val="index 2"/>
    <w:basedOn w:val="Normal"/>
    <w:next w:val="Normal"/>
    <w:semiHidden/>
    <w:rsid w:val="00FA0216"/>
    <w:pPr>
      <w:tabs>
        <w:tab w:val="right" w:pos="4176"/>
      </w:tabs>
      <w:ind w:left="568" w:hanging="284"/>
    </w:pPr>
    <w:rPr>
      <w:rFonts w:ascii="Garamond" w:hAnsi="Garamond"/>
    </w:rPr>
  </w:style>
  <w:style w:type="paragraph" w:customStyle="1" w:styleId="Byline">
    <w:name w:val="Byline"/>
    <w:rsid w:val="00FA0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216"/>
    <w:pPr>
      <w:tabs>
        <w:tab w:val="clear" w:pos="3600"/>
        <w:tab w:val="clear" w:pos="3958"/>
      </w:tabs>
      <w:jc w:val="right"/>
    </w:pPr>
  </w:style>
  <w:style w:type="character" w:styleId="Emphasis">
    <w:name w:val="Emphasis"/>
    <w:basedOn w:val="DefaultParagraphFont"/>
    <w:qFormat/>
    <w:rsid w:val="00FA0216"/>
    <w:rPr>
      <w:i/>
    </w:rPr>
  </w:style>
  <w:style w:type="paragraph" w:styleId="Caption">
    <w:name w:val="caption"/>
    <w:basedOn w:val="BodyText"/>
    <w:next w:val="Normal"/>
    <w:qFormat/>
    <w:rsid w:val="00FA0216"/>
    <w:pPr>
      <w:framePr w:w="2268" w:hSpace="181" w:vSpace="181" w:wrap="around" w:vAnchor="text" w:hAnchor="page" w:x="1135" w:y="285" w:anchorLock="1"/>
    </w:pPr>
    <w:rPr>
      <w:i/>
    </w:rPr>
  </w:style>
  <w:style w:type="paragraph" w:customStyle="1" w:styleId="MiniTOCTitle">
    <w:name w:val="MiniTOCTitle"/>
    <w:basedOn w:val="Heading4"/>
    <w:rsid w:val="00FA0216"/>
    <w:pPr>
      <w:spacing w:before="240"/>
      <w:outlineLvl w:val="9"/>
    </w:pPr>
    <w:rPr>
      <w:noProof/>
      <w:sz w:val="24"/>
    </w:rPr>
  </w:style>
  <w:style w:type="paragraph" w:customStyle="1" w:styleId="MiniTOCItem">
    <w:name w:val="MiniTOCItem"/>
    <w:basedOn w:val="ListBullet"/>
    <w:rsid w:val="00FA0216"/>
    <w:pPr>
      <w:numPr>
        <w:numId w:val="0"/>
      </w:numPr>
      <w:tabs>
        <w:tab w:val="right" w:leader="dot" w:pos="6521"/>
      </w:tabs>
      <w:spacing w:before="0" w:after="0"/>
    </w:pPr>
  </w:style>
  <w:style w:type="paragraph" w:customStyle="1" w:styleId="TOFTitle">
    <w:name w:val="TOFTitle"/>
    <w:basedOn w:val="TOCTitle"/>
    <w:rsid w:val="00FA0216"/>
  </w:style>
  <w:style w:type="paragraph" w:styleId="TableofFigures">
    <w:name w:val="table of figures"/>
    <w:basedOn w:val="Normal"/>
    <w:next w:val="Normal"/>
    <w:semiHidden/>
    <w:rsid w:val="00FA0216"/>
    <w:pPr>
      <w:tabs>
        <w:tab w:val="right" w:leader="dot" w:pos="9072"/>
      </w:tabs>
      <w:ind w:left="970" w:hanging="403"/>
    </w:pPr>
    <w:rPr>
      <w:rFonts w:ascii="Times New Roman" w:hAnsi="Times New Roman"/>
      <w:b/>
    </w:rPr>
  </w:style>
  <w:style w:type="paragraph" w:styleId="ListNumber">
    <w:name w:val="List Number"/>
    <w:basedOn w:val="List"/>
    <w:rsid w:val="00FA0216"/>
    <w:pPr>
      <w:numPr>
        <w:numId w:val="15"/>
      </w:numPr>
      <w:tabs>
        <w:tab w:val="clear" w:pos="340"/>
      </w:tabs>
    </w:pPr>
  </w:style>
  <w:style w:type="character" w:customStyle="1" w:styleId="WingdingSymbols">
    <w:name w:val="Wingding Symbols"/>
    <w:rsid w:val="00FA0216"/>
    <w:rPr>
      <w:rFonts w:ascii="Wingdings" w:hAnsi="Wingdings"/>
    </w:rPr>
  </w:style>
  <w:style w:type="paragraph" w:customStyle="1" w:styleId="TableHeading">
    <w:name w:val="Table Heading"/>
    <w:basedOn w:val="HeadingBase"/>
    <w:rsid w:val="00FA0216"/>
    <w:pPr>
      <w:keepLines/>
      <w:pBdr>
        <w:bottom w:val="single" w:sz="6" w:space="1" w:color="918585"/>
      </w:pBdr>
      <w:spacing w:before="240"/>
    </w:pPr>
  </w:style>
  <w:style w:type="character" w:customStyle="1" w:styleId="HotSpot">
    <w:name w:val="HotSpot"/>
    <w:rsid w:val="00FA0216"/>
    <w:rPr>
      <w:color w:val="0033CC"/>
      <w:u w:val="none"/>
    </w:rPr>
  </w:style>
  <w:style w:type="paragraph" w:customStyle="1" w:styleId="BodyTextRight">
    <w:name w:val="Body Text Right"/>
    <w:basedOn w:val="BodyText"/>
    <w:rsid w:val="00FA0216"/>
    <w:pPr>
      <w:spacing w:before="0" w:after="0"/>
      <w:jc w:val="right"/>
    </w:pPr>
  </w:style>
  <w:style w:type="paragraph" w:styleId="Index3">
    <w:name w:val="index 3"/>
    <w:basedOn w:val="ListNumber2"/>
    <w:next w:val="Normal"/>
    <w:semiHidden/>
    <w:rsid w:val="00FA0216"/>
    <w:pPr>
      <w:numPr>
        <w:numId w:val="0"/>
      </w:numPr>
      <w:tabs>
        <w:tab w:val="right" w:leader="dot" w:pos="4176"/>
      </w:tabs>
    </w:pPr>
  </w:style>
  <w:style w:type="paragraph" w:styleId="ListNumber2">
    <w:name w:val="List Number 2"/>
    <w:basedOn w:val="List2"/>
    <w:rsid w:val="00FA0216"/>
    <w:pPr>
      <w:numPr>
        <w:numId w:val="10"/>
      </w:numPr>
      <w:tabs>
        <w:tab w:val="clear" w:pos="1060"/>
      </w:tabs>
    </w:pPr>
  </w:style>
  <w:style w:type="paragraph" w:customStyle="1" w:styleId="MarginNote">
    <w:name w:val="Margin Note"/>
    <w:basedOn w:val="BodyText"/>
    <w:rsid w:val="00FA0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216"/>
    <w:rPr>
      <w:sz w:val="32"/>
    </w:rPr>
  </w:style>
  <w:style w:type="paragraph" w:customStyle="1" w:styleId="HeadingProcedure">
    <w:name w:val="Heading Procedure"/>
    <w:basedOn w:val="HeadingBase"/>
    <w:next w:val="Normal"/>
    <w:rsid w:val="00FA0216"/>
    <w:pPr>
      <w:tabs>
        <w:tab w:val="left" w:pos="0"/>
      </w:tabs>
      <w:spacing w:before="120" w:after="60"/>
    </w:pPr>
    <w:rPr>
      <w:i/>
      <w:color w:val="918585"/>
      <w:sz w:val="22"/>
    </w:rPr>
  </w:style>
  <w:style w:type="paragraph" w:customStyle="1" w:styleId="TableBodyText">
    <w:name w:val="Table Body Text"/>
    <w:basedOn w:val="BodyText"/>
    <w:rsid w:val="00FA0216"/>
    <w:pPr>
      <w:spacing w:before="60" w:after="60"/>
    </w:pPr>
  </w:style>
  <w:style w:type="paragraph" w:styleId="ListContinue">
    <w:name w:val="List Continue"/>
    <w:basedOn w:val="List"/>
    <w:rsid w:val="00FA0216"/>
    <w:pPr>
      <w:ind w:firstLine="0"/>
    </w:pPr>
  </w:style>
  <w:style w:type="paragraph" w:customStyle="1" w:styleId="ListNote">
    <w:name w:val="List Note"/>
    <w:basedOn w:val="List"/>
    <w:rsid w:val="00FA0216"/>
    <w:pPr>
      <w:pBdr>
        <w:top w:val="single" w:sz="6" w:space="2" w:color="918585"/>
        <w:bottom w:val="single" w:sz="6" w:space="2" w:color="918585"/>
      </w:pBdr>
      <w:tabs>
        <w:tab w:val="left" w:pos="1021"/>
      </w:tabs>
      <w:ind w:firstLine="0"/>
    </w:pPr>
  </w:style>
  <w:style w:type="paragraph" w:customStyle="1" w:styleId="Warning">
    <w:name w:val="Warning"/>
    <w:basedOn w:val="BodyText"/>
    <w:rsid w:val="00FA0216"/>
    <w:pPr>
      <w:shd w:val="clear" w:color="auto" w:fill="D9D9D9"/>
      <w:tabs>
        <w:tab w:val="left" w:pos="992"/>
      </w:tabs>
      <w:ind w:left="119" w:right="119"/>
    </w:pPr>
    <w:rPr>
      <w:sz w:val="20"/>
    </w:rPr>
  </w:style>
  <w:style w:type="paragraph" w:customStyle="1" w:styleId="MarginIcons">
    <w:name w:val="Margin Icons"/>
    <w:basedOn w:val="BodyText"/>
    <w:rsid w:val="00FA0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216"/>
    <w:rPr>
      <w:rFonts w:ascii="Courier New" w:hAnsi="Courier New"/>
    </w:rPr>
  </w:style>
  <w:style w:type="paragraph" w:customStyle="1" w:styleId="NoteBullet">
    <w:name w:val="Note Bullet"/>
    <w:basedOn w:val="Note"/>
    <w:rsid w:val="00FA0216"/>
    <w:pPr>
      <w:tabs>
        <w:tab w:val="clear" w:pos="680"/>
      </w:tabs>
      <w:spacing w:before="60" w:after="60"/>
    </w:pPr>
  </w:style>
  <w:style w:type="paragraph" w:customStyle="1" w:styleId="SubHeading2">
    <w:name w:val="SubHeading2"/>
    <w:basedOn w:val="HeadingBase"/>
    <w:rsid w:val="00FA0216"/>
    <w:pPr>
      <w:spacing w:before="240" w:after="60"/>
    </w:pPr>
    <w:rPr>
      <w:sz w:val="20"/>
    </w:rPr>
  </w:style>
  <w:style w:type="paragraph" w:customStyle="1" w:styleId="SubHeading1">
    <w:name w:val="SubHeading1"/>
    <w:basedOn w:val="HeadingBase"/>
    <w:rsid w:val="00FA0216"/>
    <w:pPr>
      <w:spacing w:before="240" w:after="60"/>
    </w:pPr>
    <w:rPr>
      <w:color w:val="918585"/>
      <w:sz w:val="22"/>
    </w:rPr>
  </w:style>
  <w:style w:type="paragraph" w:customStyle="1" w:styleId="SideHeading">
    <w:name w:val="Side Heading"/>
    <w:basedOn w:val="HeadingBase"/>
    <w:rsid w:val="00FA0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216"/>
    <w:pPr>
      <w:tabs>
        <w:tab w:val="num" w:pos="360"/>
      </w:tabs>
    </w:pPr>
  </w:style>
  <w:style w:type="paragraph" w:styleId="PlainText">
    <w:name w:val="Plain Text"/>
    <w:basedOn w:val="Normal"/>
    <w:link w:val="PlainTextChar"/>
    <w:rsid w:val="00FA0216"/>
    <w:rPr>
      <w:sz w:val="20"/>
    </w:rPr>
  </w:style>
  <w:style w:type="character" w:customStyle="1" w:styleId="PlainTextChar">
    <w:name w:val="Plain Text Char"/>
    <w:basedOn w:val="DefaultParagraphFont"/>
    <w:link w:val="PlainText"/>
    <w:rsid w:val="00FA0216"/>
    <w:rPr>
      <w:rFonts w:ascii="Courier New" w:eastAsia="Times New Roman" w:hAnsi="Courier New" w:cs="Times New Roman"/>
      <w:sz w:val="20"/>
      <w:szCs w:val="20"/>
      <w:lang w:eastAsia="en-US"/>
    </w:rPr>
  </w:style>
  <w:style w:type="character" w:customStyle="1" w:styleId="MenuOption">
    <w:name w:val="Menu Option"/>
    <w:basedOn w:val="DefaultParagraphFont"/>
    <w:rsid w:val="00FA0216"/>
    <w:rPr>
      <w:b/>
      <w:smallCaps/>
    </w:rPr>
  </w:style>
  <w:style w:type="paragraph" w:customStyle="1" w:styleId="TableListNumber">
    <w:name w:val="Table List Number"/>
    <w:basedOn w:val="ListNumber"/>
    <w:rsid w:val="00FA0216"/>
    <w:pPr>
      <w:numPr>
        <w:numId w:val="0"/>
      </w:numPr>
    </w:pPr>
  </w:style>
  <w:style w:type="paragraph" w:styleId="TOC4">
    <w:name w:val="toc 4"/>
    <w:basedOn w:val="TOCBase"/>
    <w:next w:val="Normal"/>
    <w:semiHidden/>
    <w:rsid w:val="00FA0216"/>
    <w:pPr>
      <w:tabs>
        <w:tab w:val="right" w:leader="dot" w:pos="9071"/>
      </w:tabs>
      <w:ind w:left="1701"/>
    </w:pPr>
  </w:style>
  <w:style w:type="paragraph" w:customStyle="1" w:styleId="ListAlpha">
    <w:name w:val="List Alpha"/>
    <w:basedOn w:val="List"/>
    <w:rsid w:val="00FA0216"/>
    <w:pPr>
      <w:numPr>
        <w:numId w:val="9"/>
      </w:numPr>
    </w:pPr>
  </w:style>
  <w:style w:type="paragraph" w:customStyle="1" w:styleId="ListAlpha2">
    <w:name w:val="List Alpha 2"/>
    <w:basedOn w:val="List2"/>
    <w:rsid w:val="00FA0216"/>
    <w:pPr>
      <w:numPr>
        <w:numId w:val="8"/>
      </w:numPr>
    </w:pPr>
  </w:style>
  <w:style w:type="paragraph" w:styleId="List2">
    <w:name w:val="List 2"/>
    <w:basedOn w:val="BodyText"/>
    <w:rsid w:val="00FA0216"/>
    <w:pPr>
      <w:tabs>
        <w:tab w:val="left" w:pos="680"/>
      </w:tabs>
      <w:spacing w:before="60" w:after="60"/>
      <w:ind w:left="680" w:hanging="340"/>
    </w:pPr>
  </w:style>
  <w:style w:type="paragraph" w:styleId="List3">
    <w:name w:val="List 3"/>
    <w:basedOn w:val="BodyText"/>
    <w:rsid w:val="00FA0216"/>
    <w:pPr>
      <w:tabs>
        <w:tab w:val="left" w:pos="1021"/>
      </w:tabs>
      <w:spacing w:before="60" w:after="60"/>
      <w:ind w:left="1020" w:hanging="340"/>
    </w:pPr>
  </w:style>
  <w:style w:type="paragraph" w:styleId="List4">
    <w:name w:val="List 4"/>
    <w:basedOn w:val="BodyText"/>
    <w:rsid w:val="00FA0216"/>
    <w:pPr>
      <w:tabs>
        <w:tab w:val="left" w:pos="1361"/>
      </w:tabs>
      <w:spacing w:before="60" w:after="60"/>
      <w:ind w:left="1361" w:hanging="340"/>
    </w:pPr>
  </w:style>
  <w:style w:type="paragraph" w:styleId="List5">
    <w:name w:val="List 5"/>
    <w:basedOn w:val="BodyText"/>
    <w:rsid w:val="00FA0216"/>
    <w:pPr>
      <w:tabs>
        <w:tab w:val="left" w:pos="1701"/>
      </w:tabs>
      <w:spacing w:before="60" w:after="60"/>
      <w:ind w:left="1701" w:hanging="340"/>
    </w:pPr>
  </w:style>
  <w:style w:type="paragraph" w:styleId="ListBullet3">
    <w:name w:val="List Bullet 3"/>
    <w:basedOn w:val="List3"/>
    <w:rsid w:val="00FA0216"/>
    <w:pPr>
      <w:numPr>
        <w:numId w:val="14"/>
      </w:numPr>
      <w:tabs>
        <w:tab w:val="clear" w:pos="1021"/>
      </w:tabs>
      <w:ind w:left="1037" w:hanging="357"/>
    </w:pPr>
  </w:style>
  <w:style w:type="paragraph" w:styleId="ListBullet4">
    <w:name w:val="List Bullet 4"/>
    <w:basedOn w:val="List4"/>
    <w:rsid w:val="00FA0216"/>
    <w:pPr>
      <w:numPr>
        <w:numId w:val="3"/>
      </w:numPr>
      <w:tabs>
        <w:tab w:val="clear" w:pos="1361"/>
      </w:tabs>
    </w:pPr>
  </w:style>
  <w:style w:type="paragraph" w:styleId="ListBullet5">
    <w:name w:val="List Bullet 5"/>
    <w:basedOn w:val="List5"/>
    <w:rsid w:val="00FA0216"/>
    <w:pPr>
      <w:numPr>
        <w:numId w:val="4"/>
      </w:numPr>
    </w:pPr>
  </w:style>
  <w:style w:type="paragraph" w:styleId="ListContinue2">
    <w:name w:val="List Continue 2"/>
    <w:basedOn w:val="List2"/>
    <w:rsid w:val="00FA0216"/>
    <w:pPr>
      <w:ind w:firstLine="0"/>
    </w:pPr>
  </w:style>
  <w:style w:type="paragraph" w:styleId="ListContinue3">
    <w:name w:val="List Continue 3"/>
    <w:basedOn w:val="List3"/>
    <w:rsid w:val="00FA0216"/>
    <w:pPr>
      <w:ind w:left="1021" w:firstLine="0"/>
    </w:pPr>
  </w:style>
  <w:style w:type="paragraph" w:styleId="ListContinue4">
    <w:name w:val="List Continue 4"/>
    <w:basedOn w:val="List4"/>
    <w:rsid w:val="00FA0216"/>
    <w:pPr>
      <w:ind w:firstLine="0"/>
    </w:pPr>
  </w:style>
  <w:style w:type="paragraph" w:styleId="ListContinue5">
    <w:name w:val="List Continue 5"/>
    <w:basedOn w:val="List5"/>
    <w:rsid w:val="00FA0216"/>
    <w:pPr>
      <w:ind w:firstLine="0"/>
    </w:pPr>
  </w:style>
  <w:style w:type="paragraph" w:styleId="ListNumber3">
    <w:name w:val="List Number 3"/>
    <w:basedOn w:val="List3"/>
    <w:rsid w:val="00FA0216"/>
    <w:pPr>
      <w:numPr>
        <w:numId w:val="5"/>
      </w:numPr>
    </w:pPr>
  </w:style>
  <w:style w:type="paragraph" w:styleId="ListNumber4">
    <w:name w:val="List Number 4"/>
    <w:basedOn w:val="List4"/>
    <w:rsid w:val="00FA0216"/>
    <w:pPr>
      <w:numPr>
        <w:numId w:val="6"/>
      </w:numPr>
    </w:pPr>
  </w:style>
  <w:style w:type="paragraph" w:styleId="ListNumber5">
    <w:name w:val="List Number 5"/>
    <w:basedOn w:val="List5"/>
    <w:rsid w:val="00FA0216"/>
    <w:pPr>
      <w:numPr>
        <w:numId w:val="7"/>
      </w:numPr>
    </w:pPr>
  </w:style>
  <w:style w:type="paragraph" w:styleId="BlockText">
    <w:name w:val="Block Text"/>
    <w:basedOn w:val="Normal"/>
    <w:rsid w:val="00FA0216"/>
    <w:pPr>
      <w:spacing w:after="120"/>
      <w:ind w:left="1440" w:right="1440"/>
    </w:pPr>
  </w:style>
  <w:style w:type="character" w:customStyle="1" w:styleId="Subscript">
    <w:name w:val="Subscript"/>
    <w:basedOn w:val="DefaultParagraphFont"/>
    <w:rsid w:val="00FA0216"/>
    <w:rPr>
      <w:sz w:val="16"/>
      <w:vertAlign w:val="subscript"/>
    </w:rPr>
  </w:style>
  <w:style w:type="character" w:customStyle="1" w:styleId="Superscript">
    <w:name w:val="Superscript"/>
    <w:basedOn w:val="DefaultParagraphFont"/>
    <w:rsid w:val="00FA0216"/>
    <w:rPr>
      <w:sz w:val="16"/>
      <w:vertAlign w:val="superscript"/>
    </w:rPr>
  </w:style>
  <w:style w:type="character" w:customStyle="1" w:styleId="Symbols">
    <w:name w:val="Symbols"/>
    <w:basedOn w:val="DefaultParagraphFont"/>
    <w:rsid w:val="00FA0216"/>
    <w:rPr>
      <w:rFonts w:ascii="Symbol" w:hAnsi="Symbol"/>
    </w:rPr>
  </w:style>
  <w:style w:type="character" w:customStyle="1" w:styleId="MenuOptions">
    <w:name w:val="Menu Options"/>
    <w:basedOn w:val="DefaultParagraphFont"/>
    <w:rsid w:val="00FA0216"/>
    <w:rPr>
      <w:rFonts w:ascii="Arial Narrow" w:hAnsi="Arial Narrow"/>
      <w:smallCaps/>
    </w:rPr>
  </w:style>
  <w:style w:type="character" w:customStyle="1" w:styleId="Buttons">
    <w:name w:val="Buttons"/>
    <w:basedOn w:val="DefaultParagraphFont"/>
    <w:rsid w:val="00FA0216"/>
    <w:rPr>
      <w:b/>
    </w:rPr>
  </w:style>
  <w:style w:type="character" w:customStyle="1" w:styleId="Underlined">
    <w:name w:val="Underlined"/>
    <w:basedOn w:val="DefaultParagraphFont"/>
    <w:rsid w:val="00FA0216"/>
    <w:rPr>
      <w:u w:val="single"/>
    </w:rPr>
  </w:style>
  <w:style w:type="paragraph" w:customStyle="1" w:styleId="TableBodyTextRight">
    <w:name w:val="Table Body Text Right"/>
    <w:basedOn w:val="TableBodyText"/>
    <w:rsid w:val="00FA0216"/>
    <w:pPr>
      <w:widowControl w:val="0"/>
      <w:autoSpaceDE w:val="0"/>
      <w:autoSpaceDN w:val="0"/>
      <w:adjustRightInd w:val="0"/>
      <w:jc w:val="right"/>
    </w:pPr>
    <w:rPr>
      <w:rFonts w:cs="Arial"/>
      <w:szCs w:val="18"/>
    </w:rPr>
  </w:style>
  <w:style w:type="paragraph" w:customStyle="1" w:styleId="CopyrightText">
    <w:name w:val="Copyright Text"/>
    <w:basedOn w:val="BodyText"/>
    <w:rsid w:val="00FA0216"/>
    <w:rPr>
      <w:sz w:val="18"/>
    </w:rPr>
  </w:style>
  <w:style w:type="paragraph" w:customStyle="1" w:styleId="BodySmallRight">
    <w:name w:val="Body Small Right"/>
    <w:basedOn w:val="BodyTextRight"/>
    <w:rsid w:val="00FA0216"/>
    <w:rPr>
      <w:sz w:val="18"/>
      <w:szCs w:val="18"/>
    </w:rPr>
  </w:style>
  <w:style w:type="paragraph" w:customStyle="1" w:styleId="MarginEdition">
    <w:name w:val="Margin Edition"/>
    <w:basedOn w:val="MarginNote"/>
    <w:rsid w:val="00FA0216"/>
    <w:pPr>
      <w:spacing w:before="0" w:after="0"/>
    </w:pPr>
    <w:rPr>
      <w:rFonts w:ascii="Times New Roman" w:hAnsi="Times New Roman"/>
      <w:color w:val="999999"/>
    </w:rPr>
  </w:style>
  <w:style w:type="paragraph" w:customStyle="1" w:styleId="Spacer">
    <w:name w:val="Spacer"/>
    <w:basedOn w:val="Normal"/>
    <w:rsid w:val="00FA0216"/>
    <w:rPr>
      <w:sz w:val="2"/>
      <w:szCs w:val="2"/>
    </w:rPr>
  </w:style>
  <w:style w:type="character" w:customStyle="1" w:styleId="Small">
    <w:name w:val="Small"/>
    <w:basedOn w:val="DefaultParagraphFont"/>
    <w:rsid w:val="00FA0216"/>
    <w:rPr>
      <w:sz w:val="16"/>
    </w:rPr>
  </w:style>
  <w:style w:type="paragraph" w:customStyle="1" w:styleId="WideTable">
    <w:name w:val="Wide Table"/>
    <w:basedOn w:val="Normal"/>
    <w:rsid w:val="00FA0216"/>
    <w:pPr>
      <w:ind w:left="-1418"/>
    </w:pPr>
    <w:rPr>
      <w:sz w:val="2"/>
      <w:szCs w:val="2"/>
    </w:rPr>
  </w:style>
  <w:style w:type="character" w:styleId="PageNumber">
    <w:name w:val="page number"/>
    <w:basedOn w:val="DefaultParagraphFont"/>
    <w:rsid w:val="00FA0216"/>
  </w:style>
  <w:style w:type="paragraph" w:styleId="Quote">
    <w:name w:val="Quote"/>
    <w:basedOn w:val="Heading1"/>
    <w:link w:val="QuoteChar"/>
    <w:qFormat/>
    <w:rsid w:val="00FA0216"/>
    <w:rPr>
      <w:b w:val="0"/>
      <w:sz w:val="72"/>
      <w:szCs w:val="72"/>
      <w:lang w:val="en-NZ"/>
    </w:rPr>
  </w:style>
  <w:style w:type="character" w:customStyle="1" w:styleId="QuoteChar">
    <w:name w:val="Quote Char"/>
    <w:basedOn w:val="DefaultParagraphFont"/>
    <w:link w:val="Quote"/>
    <w:rsid w:val="00FA0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216"/>
    <w:pPr>
      <w:pageBreakBefore/>
    </w:pPr>
  </w:style>
  <w:style w:type="paragraph" w:customStyle="1" w:styleId="Border">
    <w:name w:val="Border"/>
    <w:basedOn w:val="Normal"/>
    <w:qFormat/>
    <w:rsid w:val="00FA0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216"/>
    <w:rPr>
      <w:b/>
      <w:bCs/>
      <w:i/>
      <w:iCs/>
      <w:color w:val="auto"/>
    </w:rPr>
  </w:style>
  <w:style w:type="paragraph" w:styleId="IntenseQuote">
    <w:name w:val="Intense Quote"/>
    <w:basedOn w:val="Normal"/>
    <w:next w:val="Normal"/>
    <w:link w:val="IntenseQuoteChar"/>
    <w:uiPriority w:val="30"/>
    <w:qFormat/>
    <w:rsid w:val="00FA0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216"/>
    <w:rPr>
      <w:smallCaps/>
      <w:color w:val="auto"/>
      <w:u w:val="single"/>
    </w:rPr>
  </w:style>
  <w:style w:type="character" w:styleId="IntenseReference">
    <w:name w:val="Intense Reference"/>
    <w:basedOn w:val="DefaultParagraphFont"/>
    <w:uiPriority w:val="32"/>
    <w:qFormat/>
    <w:rsid w:val="00FA0216"/>
    <w:rPr>
      <w:b/>
      <w:bCs/>
      <w:smallCaps/>
      <w:color w:val="auto"/>
      <w:spacing w:val="5"/>
      <w:u w:val="single"/>
    </w:rPr>
  </w:style>
  <w:style w:type="paragraph" w:customStyle="1" w:styleId="2ColumnHeading">
    <w:name w:val="2Column Heading"/>
    <w:basedOn w:val="BodyText"/>
    <w:qFormat/>
    <w:rsid w:val="00FA0216"/>
    <w:pPr>
      <w:spacing w:after="60"/>
      <w:ind w:left="-2268"/>
    </w:pPr>
    <w:rPr>
      <w:b/>
    </w:rPr>
  </w:style>
  <w:style w:type="paragraph" w:customStyle="1" w:styleId="Heading1TOC">
    <w:name w:val="Heading1 TOC"/>
    <w:basedOn w:val="Normal"/>
    <w:qFormat/>
    <w:rsid w:val="00FA0216"/>
    <w:pPr>
      <w:spacing w:before="240" w:after="120"/>
    </w:pPr>
    <w:rPr>
      <w:rFonts w:ascii="Times New Roman" w:hAnsi="Times New Roman"/>
      <w:b/>
      <w:sz w:val="32"/>
    </w:rPr>
  </w:style>
  <w:style w:type="paragraph" w:customStyle="1" w:styleId="Heading2TOC">
    <w:name w:val="Heading2 TOC"/>
    <w:basedOn w:val="Normal"/>
    <w:qFormat/>
    <w:rsid w:val="00FA0216"/>
    <w:pPr>
      <w:spacing w:before="240" w:after="60"/>
    </w:pPr>
    <w:rPr>
      <w:rFonts w:ascii="Times New Roman" w:hAnsi="Times New Roman"/>
      <w:b/>
      <w:sz w:val="28"/>
    </w:rPr>
  </w:style>
  <w:style w:type="character" w:customStyle="1" w:styleId="Underline">
    <w:name w:val="Underline"/>
    <w:basedOn w:val="DefaultParagraphFont"/>
    <w:qFormat/>
    <w:rsid w:val="00FA0216"/>
    <w:rPr>
      <w:u w:val="single"/>
    </w:rPr>
  </w:style>
  <w:style w:type="character" w:customStyle="1" w:styleId="BoldandItalics">
    <w:name w:val="Bold and Italics"/>
    <w:qFormat/>
    <w:rsid w:val="00FA0216"/>
    <w:rPr>
      <w:b/>
      <w:i/>
      <w:u w:val="none"/>
    </w:rPr>
  </w:style>
  <w:style w:type="paragraph" w:styleId="BalloonText">
    <w:name w:val="Balloon Text"/>
    <w:basedOn w:val="Normal"/>
    <w:link w:val="BalloonTextChar"/>
    <w:rsid w:val="00FA0216"/>
    <w:rPr>
      <w:rFonts w:ascii="Tahoma" w:hAnsi="Tahoma" w:cs="Tahoma"/>
      <w:sz w:val="16"/>
      <w:szCs w:val="16"/>
    </w:rPr>
  </w:style>
  <w:style w:type="character" w:customStyle="1" w:styleId="BalloonTextChar">
    <w:name w:val="Balloon Text Char"/>
    <w:basedOn w:val="DefaultParagraphFont"/>
    <w:link w:val="BalloonText"/>
    <w:rsid w:val="00FA0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216"/>
    <w:rPr>
      <w:b/>
      <w:color w:val="660033"/>
      <w:spacing w:val="0"/>
    </w:rPr>
  </w:style>
  <w:style w:type="paragraph" w:customStyle="1" w:styleId="Nameditemlist">
    <w:name w:val="Named item list"/>
    <w:basedOn w:val="BodyText"/>
    <w:qFormat/>
    <w:rsid w:val="00FA0216"/>
    <w:pPr>
      <w:tabs>
        <w:tab w:val="left" w:pos="2835"/>
      </w:tabs>
      <w:ind w:left="2835" w:hanging="2835"/>
    </w:pPr>
  </w:style>
  <w:style w:type="paragraph" w:customStyle="1" w:styleId="BodyTextnopadding">
    <w:name w:val="Body Text no padding"/>
    <w:basedOn w:val="BodyText"/>
    <w:qFormat/>
    <w:rsid w:val="00FA0216"/>
    <w:pPr>
      <w:spacing w:before="0" w:after="0"/>
    </w:pPr>
  </w:style>
  <w:style w:type="paragraph" w:customStyle="1" w:styleId="BodyTextBold">
    <w:name w:val="Body Text Bold"/>
    <w:basedOn w:val="BodyText"/>
    <w:qFormat/>
    <w:rsid w:val="00FA0216"/>
    <w:rPr>
      <w:b/>
    </w:rPr>
  </w:style>
  <w:style w:type="character" w:styleId="Hyperlink">
    <w:name w:val="Hyperlink"/>
    <w:basedOn w:val="DefaultParagraphFont"/>
    <w:uiPriority w:val="99"/>
    <w:unhideWhenUsed/>
    <w:rsid w:val="00D51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3724</Characters>
  <Application>Microsoft Office Word</Application>
  <DocSecurity>0</DocSecurity>
  <Lines>148</Lines>
  <Paragraphs>91</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MEA396 Assemble aircraft piston engine quick engine change unit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2019-09-30T08:10:00Z</dcterms:created>
  <dcterms:modified xsi:type="dcterms:W3CDTF">2019-09-30T08:10:00Z</dcterms:modified>
</cp:coreProperties>
</file>