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D702C" w:rsidP="001D702C">
      <w:pPr>
        <w:pStyle w:val="Title"/>
      </w:pPr>
      <w:r>
        <w:fldChar w:fldCharType="begin"/>
      </w:r>
      <w:r>
        <w:instrText xml:space="preserve"> TITLE   \* MERGEFORMAT </w:instrText>
      </w:r>
      <w:r>
        <w:fldChar w:fldCharType="separate"/>
      </w:r>
      <w:r>
        <w:t>MEA387 Test gas turbine engines and engine modules after overhaul or repair</w:t>
      </w:r>
      <w:r>
        <w:fldChar w:fldCharType="end"/>
      </w:r>
    </w:p>
    <w:p w:rsidR="001D702C" w:rsidP="001D702C">
      <w:pPr>
        <w:pStyle w:val="Version"/>
        <w:sectPr w:rsidSect="00E14190">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14190" w:rsidP="00E14190">
      <w:pPr>
        <w:pStyle w:val="SuperHeading"/>
      </w:pPr>
      <w:r w:rsidRPr="00E14190">
        <w:t>MEA387 Test g</w:t>
      </w:r>
      <w:r w:rsidRPr="00E14190">
        <w:t>as turbine engines and engine modules after overhaul or repair</w:t>
      </w:r>
    </w:p>
    <w:p w:rsidR="00000000" w:rsidRPr="00E14190" w:rsidP="00E14190">
      <w:pPr>
        <w:pStyle w:val="Heading1"/>
      </w:pPr>
      <w:bookmarkStart w:id="1" w:name="O_722619"/>
      <w:bookmarkEnd w:id="1"/>
      <w:r w:rsidRPr="00E14190">
        <w:t>Modification History</w:t>
      </w:r>
    </w:p>
    <w:p w:rsidR="00000000" w:rsidRPr="00E14190" w:rsidP="001D702C">
      <w:pPr>
        <w:pStyle w:val="BodyText"/>
      </w:pPr>
      <w:r w:rsidRPr="00E14190">
        <w:t>Release 1 - New unit of competency</w:t>
      </w:r>
    </w:p>
    <w:p w:rsidR="00000000" w:rsidRPr="00E14190" w:rsidP="00E14190">
      <w:pPr>
        <w:pStyle w:val="Heading1"/>
      </w:pPr>
      <w:bookmarkStart w:id="2" w:name="O_722627"/>
      <w:bookmarkEnd w:id="2"/>
      <w:r w:rsidRPr="00E14190">
        <w:t>Application</w:t>
      </w:r>
    </w:p>
    <w:p w:rsidR="00000000" w:rsidRPr="00E14190" w:rsidP="001D702C">
      <w:pPr>
        <w:pStyle w:val="BodyText"/>
      </w:pPr>
      <w:r w:rsidRPr="00E14190">
        <w:t>This unit of competency requires application of hand skills, theory knowledge and maintenance publication procedures to test run aircraft gas turbine engines and engine modules in engine test stands following overhaul or repair in workshops during the perf</w:t>
      </w:r>
      <w:r w:rsidRPr="00E14190">
        <w:t>ormance of scheduled or unscheduled maintenance. Testing may be performed individually or as part of a team.</w:t>
      </w:r>
    </w:p>
    <w:p w:rsidR="00000000" w:rsidRPr="00E14190" w:rsidP="001D702C">
      <w:pPr>
        <w:pStyle w:val="BodyText"/>
      </w:pPr>
      <w:r w:rsidRPr="00E14190">
        <w:t>Applications include turbo-jet, turbofan, turboshaft, turboprop engines and engine modules, or auxiliary power units.</w:t>
      </w:r>
    </w:p>
    <w:p w:rsidR="00000000" w:rsidRPr="00E14190" w:rsidP="001D702C">
      <w:pPr>
        <w:pStyle w:val="BodyText"/>
      </w:pPr>
      <w:r w:rsidRPr="00E14190">
        <w:t>The unit is part of the Mec</w:t>
      </w:r>
      <w:r w:rsidRPr="00E14190">
        <w:t>hanical Certificate IV (Component Workshop Maintenance Stream) training pathway. It is used in workplaces that operate under the airworthiness regulatory systems of the Australian Defence Force (ADF) and the Civil Aviation Safety Authority (CASA).</w:t>
      </w:r>
    </w:p>
    <w:p w:rsidR="00000000" w:rsidRPr="00E14190" w:rsidP="00E14190">
      <w:pPr>
        <w:pStyle w:val="Heading1"/>
      </w:pPr>
      <w:bookmarkStart w:id="3" w:name="O_722626"/>
      <w:bookmarkEnd w:id="3"/>
      <w:r w:rsidRPr="00E14190">
        <w:t>Pre-requisite Unit</w:t>
      </w:r>
    </w:p>
    <w:tbl>
      <w:tblPr>
        <w:tblW w:w="9215" w:type="dxa"/>
        <w:tblLayout w:type="fixed"/>
        <w:tblCellMar>
          <w:left w:w="62" w:type="dxa"/>
          <w:right w:w="62" w:type="dxa"/>
        </w:tblCellMar>
        <w:tblLook w:val="0000"/>
      </w:tblPr>
      <w:tblGrid>
        <w:gridCol w:w="1851"/>
        <w:gridCol w:w="7364"/>
      </w:tblGrid>
      <w:tr w:rsidTr="00E14190">
        <w:tblPrEx>
          <w:tblW w:w="9215" w:type="dxa"/>
          <w:tblLayout w:type="fixed"/>
          <w:tblCellMar>
            <w:left w:w="62" w:type="dxa"/>
            <w:right w:w="62" w:type="dxa"/>
          </w:tblCellMar>
          <w:tblLook w:val="0000"/>
        </w:tblPrEx>
        <w:tc>
          <w:tcPr>
            <w:tcW w:w="1851"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MEA383</w:t>
            </w:r>
          </w:p>
        </w:tc>
        <w:tc>
          <w:tcPr>
            <w:tcW w:w="7364"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Repair and/or overhaul gas turbine engine air inlet and compressor components and/or modules</w:t>
            </w:r>
          </w:p>
        </w:tc>
      </w:tr>
      <w:tr w:rsidTr="00E14190">
        <w:tblPrEx>
          <w:tblW w:w="9215" w:type="dxa"/>
          <w:tblLayout w:type="fixed"/>
          <w:tblCellMar>
            <w:left w:w="62" w:type="dxa"/>
            <w:right w:w="62" w:type="dxa"/>
          </w:tblCellMar>
          <w:tblLook w:val="0000"/>
        </w:tblPrEx>
        <w:tc>
          <w:tcPr>
            <w:tcW w:w="1851"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MEA384</w:t>
            </w:r>
          </w:p>
        </w:tc>
        <w:tc>
          <w:tcPr>
            <w:tcW w:w="7364"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Repair and/or overhaul gas turbine engine combustion section components and/or modules</w:t>
            </w:r>
          </w:p>
        </w:tc>
      </w:tr>
      <w:tr w:rsidTr="00E14190">
        <w:tblPrEx>
          <w:tblW w:w="9215" w:type="dxa"/>
          <w:tblLayout w:type="fixed"/>
          <w:tblCellMar>
            <w:left w:w="62" w:type="dxa"/>
            <w:right w:w="62" w:type="dxa"/>
          </w:tblCellMar>
          <w:tblLook w:val="0000"/>
        </w:tblPrEx>
        <w:tc>
          <w:tcPr>
            <w:tcW w:w="1851"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MEA385</w:t>
            </w:r>
          </w:p>
        </w:tc>
        <w:tc>
          <w:tcPr>
            <w:tcW w:w="7364"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Repair and/or overhaul ga</w:t>
            </w:r>
            <w:r w:rsidRPr="00E14190">
              <w:t>s turbine engine turbine and exhaust section components</w:t>
            </w:r>
          </w:p>
        </w:tc>
      </w:tr>
      <w:tr w:rsidTr="00E14190">
        <w:tblPrEx>
          <w:tblW w:w="9215" w:type="dxa"/>
          <w:tblLayout w:type="fixed"/>
          <w:tblCellMar>
            <w:left w:w="62" w:type="dxa"/>
            <w:right w:w="62" w:type="dxa"/>
          </w:tblCellMar>
          <w:tblLook w:val="0000"/>
        </w:tblPrEx>
        <w:tc>
          <w:tcPr>
            <w:tcW w:w="1851"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MEA386</w:t>
            </w:r>
          </w:p>
        </w:tc>
        <w:tc>
          <w:tcPr>
            <w:tcW w:w="7364" w:type="dxa"/>
            <w:tcBorders>
              <w:top w:val="nil"/>
              <w:left w:val="nil"/>
              <w:bottom w:val="nil"/>
              <w:right w:val="nil"/>
            </w:tcBorders>
            <w:tcMar>
              <w:top w:w="0" w:type="dxa"/>
              <w:left w:w="62" w:type="dxa"/>
              <w:bottom w:w="0" w:type="dxa"/>
              <w:right w:w="62" w:type="dxa"/>
            </w:tcMar>
          </w:tcPr>
          <w:p w:rsidR="00000000" w:rsidRPr="00E14190" w:rsidP="00E14190">
            <w:pPr>
              <w:pStyle w:val="BodyText"/>
            </w:pPr>
            <w:r w:rsidRPr="00E14190">
              <w:t>Repair and/or overhaul gas turbine engine ancillary section components</w:t>
            </w:r>
          </w:p>
        </w:tc>
      </w:tr>
    </w:tbl>
    <w:p w:rsidR="00000000" w:rsidRPr="00E14190" w:rsidP="00E14190">
      <w:pPr>
        <w:pStyle w:val="BodyText"/>
      </w:pPr>
    </w:p>
    <w:p w:rsidR="00000000" w:rsidRPr="00E14190" w:rsidP="00E14190">
      <w:pPr>
        <w:pStyle w:val="AllowPageBreak"/>
      </w:pPr>
    </w:p>
    <w:p w:rsidR="00000000" w:rsidRPr="00E14190" w:rsidP="00E14190">
      <w:pPr>
        <w:pStyle w:val="Heading1"/>
      </w:pPr>
      <w:bookmarkStart w:id="4" w:name="O_722625"/>
      <w:bookmarkEnd w:id="4"/>
      <w:r w:rsidRPr="00E14190">
        <w:t>Competency Field</w:t>
      </w:r>
    </w:p>
    <w:p w:rsidR="00000000" w:rsidRPr="00E14190" w:rsidP="001D702C">
      <w:pPr>
        <w:pStyle w:val="BodyText"/>
      </w:pPr>
      <w:r w:rsidRPr="00E14190">
        <w:t>Aviation maintenance</w:t>
      </w:r>
    </w:p>
    <w:p w:rsidR="00000000" w:rsidRPr="00E14190" w:rsidP="00E14190">
      <w:pPr>
        <w:pStyle w:val="Heading1"/>
      </w:pPr>
      <w:bookmarkStart w:id="5" w:name="O_722624"/>
      <w:bookmarkEnd w:id="5"/>
      <w:r w:rsidRPr="00E14190">
        <w:t>Unit Sector</w:t>
      </w:r>
    </w:p>
    <w:p w:rsidR="00000000" w:rsidRPr="00E14190" w:rsidP="00E14190">
      <w:pPr>
        <w:pStyle w:val="Heading1"/>
      </w:pPr>
      <w:bookmarkStart w:id="6" w:name="O_722623"/>
      <w:bookmarkEnd w:id="6"/>
      <w:r w:rsidRPr="00E14190">
        <w:t>Elements and Performance Criteria</w:t>
      </w:r>
    </w:p>
    <w:tbl>
      <w:tblPr>
        <w:tblW w:w="9496" w:type="dxa"/>
        <w:tblLayout w:type="fixed"/>
        <w:tblCellMar>
          <w:left w:w="62" w:type="dxa"/>
          <w:right w:w="62" w:type="dxa"/>
        </w:tblCellMar>
        <w:tblLook w:val="0000"/>
      </w:tblPr>
      <w:tblGrid>
        <w:gridCol w:w="730"/>
        <w:gridCol w:w="2387"/>
        <w:gridCol w:w="825"/>
        <w:gridCol w:w="5554"/>
      </w:tblGrid>
      <w:tr w:rsidTr="00E14190">
        <w:tblPrEx>
          <w:tblW w:w="9496" w:type="dxa"/>
          <w:tblLayout w:type="fixed"/>
          <w:tblCellMar>
            <w:left w:w="62" w:type="dxa"/>
            <w:right w:w="62" w:type="dxa"/>
          </w:tblCellMar>
          <w:tblLook w:val="0000"/>
        </w:tblPrEx>
        <w:tc>
          <w:tcPr>
            <w:tcW w:w="3117" w:type="dxa"/>
            <w:gridSpan w:val="2"/>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Elements describe the essential outcomes.</w:t>
            </w:r>
          </w:p>
        </w:tc>
        <w:tc>
          <w:tcPr>
            <w:tcW w:w="6379" w:type="dxa"/>
            <w:gridSpan w:val="2"/>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 xml:space="preserve">Performance criteria describe the performance needed to demonstrate achievement of the element. </w:t>
            </w:r>
          </w:p>
        </w:tc>
      </w:tr>
      <w:tr w:rsidTr="00E14190">
        <w:tblPrEx>
          <w:tblW w:w="9496"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1.</w:t>
            </w:r>
          </w:p>
        </w:tc>
        <w:tc>
          <w:tcPr>
            <w:tcW w:w="2387"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Prepare engine or module for testing</w:t>
            </w:r>
          </w:p>
        </w:tc>
        <w:tc>
          <w:tcPr>
            <w:tcW w:w="825"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1.1</w:t>
            </w:r>
          </w:p>
        </w:tc>
        <w:tc>
          <w:tcPr>
            <w:tcW w:w="5554"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Maintenance documentation is checked to confirm that engine or module is ready for testing</w:t>
            </w:r>
          </w:p>
        </w:tc>
      </w:tr>
      <w:tr w:rsidTr="00E14190">
        <w:tblPrEx>
          <w:tblW w:w="9496"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1.2</w:t>
            </w:r>
          </w:p>
        </w:tc>
        <w:tc>
          <w:tcPr>
            <w:tcW w:w="5554"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Where required, engine modules are assembled into a test engine</w:t>
            </w:r>
          </w:p>
        </w:tc>
      </w:tr>
      <w:tr w:rsidTr="00E14190">
        <w:tblPrEx>
          <w:tblW w:w="9496"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1.3</w:t>
            </w:r>
          </w:p>
        </w:tc>
        <w:tc>
          <w:tcPr>
            <w:tcW w:w="5554"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Engine is configured for testing in accordance with maintenance manual requirements and</w:t>
            </w:r>
            <w:r w:rsidRPr="00E14190">
              <w:t xml:space="preserve"> standard enterprise procedures</w:t>
            </w:r>
          </w:p>
        </w:tc>
      </w:tr>
      <w:tr w:rsidTr="00E14190">
        <w:tblPrEx>
          <w:tblW w:w="9496"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2.</w:t>
            </w:r>
          </w:p>
        </w:tc>
        <w:tc>
          <w:tcPr>
            <w:tcW w:w="2387"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Install engine in test stand</w:t>
            </w:r>
          </w:p>
        </w:tc>
        <w:tc>
          <w:tcPr>
            <w:tcW w:w="825"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2.1</w:t>
            </w:r>
          </w:p>
        </w:tc>
        <w:tc>
          <w:tcPr>
            <w:tcW w:w="5554"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Engine is installed in test stand in accordance with maintenance manual requirements and standard enterprise procedures while observing all relevant work health and safety (WHS) requireme</w:t>
            </w:r>
            <w:r w:rsidRPr="00E14190">
              <w:t>nts, including the use of material safety data sheets (MSDS) and items of personal protective equipment (PPE)</w:t>
            </w:r>
          </w:p>
        </w:tc>
      </w:tr>
      <w:tr w:rsidTr="00E14190">
        <w:tblPrEx>
          <w:tblW w:w="9496"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2.2</w:t>
            </w:r>
          </w:p>
        </w:tc>
        <w:tc>
          <w:tcPr>
            <w:tcW w:w="5554"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Fuel, oil and fluid levels are checked</w:t>
            </w:r>
          </w:p>
        </w:tc>
      </w:tr>
      <w:tr w:rsidTr="00E14190">
        <w:tblPrEx>
          <w:tblW w:w="9496"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2.3</w:t>
            </w:r>
          </w:p>
        </w:tc>
        <w:tc>
          <w:tcPr>
            <w:tcW w:w="5554"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Engine test stand is prepared for operation</w:t>
            </w:r>
          </w:p>
        </w:tc>
      </w:tr>
      <w:tr w:rsidTr="00E14190">
        <w:tblPrEx>
          <w:tblW w:w="9496"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3.</w:t>
            </w:r>
          </w:p>
        </w:tc>
        <w:tc>
          <w:tcPr>
            <w:tcW w:w="2387"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Run and test engine or module performance</w:t>
            </w:r>
          </w:p>
        </w:tc>
        <w:tc>
          <w:tcPr>
            <w:tcW w:w="825"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3.1</w:t>
            </w:r>
          </w:p>
        </w:tc>
        <w:tc>
          <w:tcPr>
            <w:tcW w:w="5554"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Engine is started and operating parameters are checked</w:t>
            </w:r>
          </w:p>
        </w:tc>
      </w:tr>
      <w:tr w:rsidTr="00E14190">
        <w:tblPrEx>
          <w:tblW w:w="9496"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3.2</w:t>
            </w:r>
          </w:p>
        </w:tc>
        <w:tc>
          <w:tcPr>
            <w:tcW w:w="5554"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Engine performance is tested and trimmed, where applicable, in accordance with maintenance manual requirements and standard enterprise procedures</w:t>
            </w:r>
          </w:p>
        </w:tc>
      </w:tr>
      <w:tr w:rsidTr="00E14190">
        <w:tblPrEx>
          <w:tblW w:w="9496"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3.3</w:t>
            </w:r>
          </w:p>
        </w:tc>
        <w:tc>
          <w:tcPr>
            <w:tcW w:w="5554"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Engine operating parameters and test res</w:t>
            </w:r>
            <w:r w:rsidRPr="00E14190">
              <w:t>ults are recorded in accordance with standard enterprise procedures</w:t>
            </w:r>
          </w:p>
        </w:tc>
      </w:tr>
      <w:tr w:rsidTr="00E14190">
        <w:tblPrEx>
          <w:tblW w:w="9496"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4.</w:t>
            </w:r>
          </w:p>
        </w:tc>
        <w:tc>
          <w:tcPr>
            <w:tcW w:w="2387"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Remove engine from test stand</w:t>
            </w:r>
          </w:p>
        </w:tc>
        <w:tc>
          <w:tcPr>
            <w:tcW w:w="825"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4.1</w:t>
            </w:r>
          </w:p>
        </w:tc>
        <w:tc>
          <w:tcPr>
            <w:tcW w:w="5554"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Engine is removed from test stand in accordance with maintenance manual requirements and standard enterprise procedures while observing all rele</w:t>
            </w:r>
            <w:r w:rsidRPr="00E14190">
              <w:t>vant WHS requirements, including the use of MSDS and items of PPE</w:t>
            </w:r>
          </w:p>
        </w:tc>
      </w:tr>
      <w:tr w:rsidTr="00E14190">
        <w:tblPrEx>
          <w:tblW w:w="9496"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4.2</w:t>
            </w:r>
          </w:p>
        </w:tc>
        <w:tc>
          <w:tcPr>
            <w:tcW w:w="5554"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Serviceable engines or modules are configured, inhibited and prepared in accordance with maintenance manual requirements and standard enterprise procedures for transport or storage</w:t>
            </w:r>
          </w:p>
        </w:tc>
      </w:tr>
      <w:tr w:rsidTr="00E14190">
        <w:tblPrEx>
          <w:tblW w:w="9496" w:type="dxa"/>
          <w:tblLayout w:type="fixed"/>
          <w:tblCellMar>
            <w:left w:w="62" w:type="dxa"/>
            <w:right w:w="62" w:type="dxa"/>
          </w:tblCellMar>
          <w:tblLook w:val="0000"/>
        </w:tblPrEx>
        <w:tc>
          <w:tcPr>
            <w:tcW w:w="730"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2387"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color w:val="000000"/>
                <w:sz w:val="20"/>
                <w:lang w:val="en-NZ"/>
              </w:rPr>
            </w:pPr>
          </w:p>
        </w:tc>
        <w:tc>
          <w:tcPr>
            <w:tcW w:w="825"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4.3</w:t>
            </w:r>
          </w:p>
        </w:tc>
        <w:tc>
          <w:tcPr>
            <w:tcW w:w="5554" w:type="dxa"/>
            <w:tcBorders>
              <w:top w:val="nil"/>
              <w:left w:val="nil"/>
              <w:bottom w:val="nil"/>
              <w:right w:val="nil"/>
            </w:tcBorders>
            <w:tcMar>
              <w:top w:w="0" w:type="dxa"/>
              <w:left w:w="62" w:type="dxa"/>
              <w:bottom w:w="0" w:type="dxa"/>
              <w:right w:w="62" w:type="dxa"/>
            </w:tcMar>
          </w:tcPr>
          <w:p w:rsidR="00000000" w:rsidRPr="00E14190" w:rsidP="00E14190">
            <w:pPr>
              <w:pStyle w:val="BodyText"/>
            </w:pPr>
            <w:r w:rsidRPr="00E14190">
              <w:t>Unserviceable engines or modules are returned to workshop in accordance with standard enterprise procedures for rectification or rework</w:t>
            </w:r>
          </w:p>
        </w:tc>
      </w:tr>
    </w:tbl>
    <w:p w:rsidR="00000000" w:rsidRPr="00E14190" w:rsidP="00E14190">
      <w:pPr>
        <w:pStyle w:val="BodyText"/>
      </w:pPr>
    </w:p>
    <w:p w:rsidR="00000000" w:rsidRPr="00E14190" w:rsidP="00E14190">
      <w:pPr>
        <w:pStyle w:val="AllowPageBreak"/>
      </w:pPr>
    </w:p>
    <w:p w:rsidR="00000000" w:rsidRPr="00E14190" w:rsidP="00E14190">
      <w:pPr>
        <w:pStyle w:val="Heading1"/>
      </w:pPr>
      <w:bookmarkStart w:id="7" w:name="O_722622"/>
      <w:bookmarkEnd w:id="7"/>
      <w:r w:rsidRPr="00E14190">
        <w:t>Foundation Skills</w:t>
      </w:r>
    </w:p>
    <w:p w:rsidR="00000000" w:rsidRPr="00E14190" w:rsidP="001D702C">
      <w:pPr>
        <w:pStyle w:val="BodyText"/>
      </w:pPr>
      <w:r w:rsidRPr="00E14190">
        <w:t>Foundation skills essential to performance are explicit in the performance cri</w:t>
      </w:r>
      <w:r w:rsidRPr="00E14190">
        <w:t>teria of this unit of competency.</w:t>
      </w:r>
    </w:p>
    <w:p w:rsidR="00000000" w:rsidRPr="00E14190" w:rsidP="00E14190">
      <w:pPr>
        <w:pStyle w:val="Heading1"/>
      </w:pPr>
      <w:bookmarkStart w:id="8" w:name="O_722621"/>
      <w:bookmarkEnd w:id="8"/>
      <w:r w:rsidRPr="00E14190">
        <w:t>Range of Conditions</w:t>
      </w:r>
    </w:p>
    <w:tbl>
      <w:tblPr>
        <w:tblW w:w="0" w:type="auto"/>
        <w:tblLayout w:type="fixed"/>
        <w:tblCellMar>
          <w:left w:w="62" w:type="dxa"/>
          <w:right w:w="62" w:type="dxa"/>
        </w:tblCellMar>
        <w:tblLook w:val="0000"/>
      </w:tblPr>
      <w:tblGrid>
        <w:gridCol w:w="3150"/>
        <w:gridCol w:w="5922"/>
      </w:tblGrid>
      <w:tr w:rsidTr="00E14190">
        <w:tblPrEx>
          <w:tblW w:w="0" w:type="auto"/>
          <w:tblLayout w:type="fixed"/>
          <w:tblCellMar>
            <w:left w:w="62" w:type="dxa"/>
            <w:right w:w="62" w:type="dxa"/>
          </w:tblCellMar>
          <w:tblLook w:val="0000"/>
        </w:tblPrEx>
        <w:trPr>
          <w:trHeight w:val="822"/>
        </w:trPr>
        <w:tc>
          <w:tcPr>
            <w:tcW w:w="9072" w:type="dxa"/>
            <w:gridSpan w:val="2"/>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t xml:space="preserve">This field allows for different work environments and conditions that may affect performance. Essential operating conditions that may be present </w:t>
            </w:r>
            <w:r w:rsidRPr="00E14190">
              <w:t>(depending on the work situation, needs of the candidate, accessibility of the item, and local industry and regional contexts) are included.</w:t>
            </w:r>
          </w:p>
        </w:tc>
      </w:tr>
      <w:tr w:rsidTr="00E1419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rPr>
                <w:rStyle w:val="SpecialBold"/>
              </w:rPr>
              <w:t>Engines include:</w:t>
            </w:r>
          </w:p>
        </w:tc>
        <w:tc>
          <w:tcPr>
            <w:tcW w:w="5922" w:type="dxa"/>
            <w:tcBorders>
              <w:top w:val="nil"/>
              <w:left w:val="nil"/>
              <w:bottom w:val="nil"/>
              <w:right w:val="nil"/>
            </w:tcBorders>
            <w:tcMar>
              <w:top w:w="0" w:type="dxa"/>
              <w:left w:w="62" w:type="dxa"/>
              <w:bottom w:w="0" w:type="dxa"/>
              <w:right w:w="62" w:type="dxa"/>
            </w:tcMar>
          </w:tcPr>
          <w:p w:rsidR="00000000" w:rsidP="00E14190">
            <w:pPr>
              <w:pStyle w:val="ListBullet"/>
              <w:rPr>
                <w:lang w:val="en-NZ"/>
              </w:rPr>
            </w:pPr>
            <w:r w:rsidRPr="00E14190">
              <w:t>Fixed or rotary wing gas turbine engine (turbo-jet, turbofan, turboshaft, turboprop), or auxili</w:t>
            </w:r>
            <w:r w:rsidRPr="00E14190">
              <w:t>ary power unit</w:t>
            </w:r>
          </w:p>
        </w:tc>
      </w:tr>
      <w:tr w:rsidTr="00E1419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rPr>
                <w:rStyle w:val="SpecialBold"/>
              </w:rPr>
              <w:t>Modules include:</w:t>
            </w:r>
          </w:p>
        </w:tc>
        <w:tc>
          <w:tcPr>
            <w:tcW w:w="5922" w:type="dxa"/>
            <w:tcBorders>
              <w:top w:val="nil"/>
              <w:left w:val="nil"/>
              <w:bottom w:val="nil"/>
              <w:right w:val="nil"/>
            </w:tcBorders>
            <w:tcMar>
              <w:top w:w="0" w:type="dxa"/>
              <w:left w:w="62" w:type="dxa"/>
              <w:bottom w:w="0" w:type="dxa"/>
              <w:right w:w="62" w:type="dxa"/>
            </w:tcMar>
          </w:tcPr>
          <w:p w:rsidR="00000000" w:rsidP="00E14190">
            <w:pPr>
              <w:pStyle w:val="ListBullet"/>
              <w:rPr>
                <w:lang w:val="en-NZ"/>
              </w:rPr>
            </w:pPr>
            <w:r w:rsidRPr="00E14190">
              <w:t>Various combinations of gas turbine engine sections as determined by the manufacturer</w:t>
            </w:r>
          </w:p>
        </w:tc>
      </w:tr>
      <w:tr w:rsidTr="00E1419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rPr>
                <w:rStyle w:val="SpecialBold"/>
              </w:rPr>
              <w:t>Adjustment and testing includes:</w:t>
            </w:r>
          </w:p>
        </w:tc>
        <w:tc>
          <w:tcPr>
            <w:tcW w:w="5922" w:type="dxa"/>
            <w:tcBorders>
              <w:top w:val="nil"/>
              <w:left w:val="nil"/>
              <w:bottom w:val="nil"/>
              <w:right w:val="nil"/>
            </w:tcBorders>
            <w:tcMar>
              <w:top w:w="0" w:type="dxa"/>
              <w:left w:w="62" w:type="dxa"/>
              <w:bottom w:w="0" w:type="dxa"/>
              <w:right w:w="62" w:type="dxa"/>
            </w:tcMar>
          </w:tcPr>
          <w:p w:rsidR="00000000" w:rsidP="00E14190">
            <w:pPr>
              <w:pStyle w:val="ListBullet"/>
              <w:rPr>
                <w:lang w:val="en-NZ"/>
              </w:rPr>
            </w:pPr>
            <w:r w:rsidRPr="00E14190">
              <w:t>Complex adjusting and testing of engine performance to be carried out under supervision</w:t>
            </w:r>
          </w:p>
        </w:tc>
      </w:tr>
      <w:tr w:rsidTr="00E14190">
        <w:tblPrEx>
          <w:tblW w:w="0" w:type="auto"/>
          <w:tblLayout w:type="fixed"/>
          <w:tblCellMar>
            <w:left w:w="62" w:type="dxa"/>
            <w:right w:w="62" w:type="dxa"/>
          </w:tblCellMar>
          <w:tblLook w:val="0000"/>
        </w:tblPrEx>
        <w:tc>
          <w:tcPr>
            <w:tcW w:w="3150" w:type="dxa"/>
            <w:tcBorders>
              <w:top w:val="nil"/>
              <w:left w:val="nil"/>
              <w:bottom w:val="nil"/>
              <w:right w:val="nil"/>
            </w:tcBorders>
            <w:tcMar>
              <w:top w:w="0" w:type="dxa"/>
              <w:left w:w="62" w:type="dxa"/>
              <w:bottom w:w="0" w:type="dxa"/>
              <w:right w:w="62" w:type="dxa"/>
            </w:tcMar>
          </w:tcPr>
          <w:p w:rsidR="00000000" w:rsidP="00E14190">
            <w:pPr>
              <w:pStyle w:val="BodyText"/>
              <w:rPr>
                <w:lang w:val="en-NZ"/>
              </w:rPr>
            </w:pPr>
            <w:r w:rsidRPr="00E14190">
              <w:rPr>
                <w:rStyle w:val="SpecialBold"/>
              </w:rPr>
              <w:t>Procedures and requirements include:</w:t>
            </w:r>
          </w:p>
        </w:tc>
        <w:tc>
          <w:tcPr>
            <w:tcW w:w="5922" w:type="dxa"/>
            <w:tcBorders>
              <w:top w:val="nil"/>
              <w:left w:val="nil"/>
              <w:bottom w:val="nil"/>
              <w:right w:val="nil"/>
            </w:tcBorders>
            <w:tcMar>
              <w:top w:w="0" w:type="dxa"/>
              <w:left w:w="62" w:type="dxa"/>
              <w:bottom w:w="0" w:type="dxa"/>
              <w:right w:w="62" w:type="dxa"/>
            </w:tcMar>
          </w:tcPr>
          <w:p w:rsidR="00000000" w:rsidRPr="00E14190" w:rsidP="00E14190">
            <w:pPr>
              <w:pStyle w:val="ListBullet"/>
            </w:pPr>
            <w:r w:rsidRPr="00E14190">
              <w:t>Industry standard procedures specified by manufacturers, regulatory authorities or the enterprise</w:t>
            </w:r>
          </w:p>
        </w:tc>
      </w:tr>
    </w:tbl>
    <w:p w:rsidR="00000000" w:rsidRPr="00E14190" w:rsidP="00E14190">
      <w:pPr>
        <w:pStyle w:val="BodyText"/>
      </w:pPr>
    </w:p>
    <w:p w:rsidR="00000000" w:rsidRPr="00E14190" w:rsidP="00E14190">
      <w:pPr>
        <w:pStyle w:val="AllowPageBreak"/>
      </w:pPr>
    </w:p>
    <w:p w:rsidR="00000000" w:rsidRPr="00E14190" w:rsidP="00E14190">
      <w:pPr>
        <w:pStyle w:val="Heading1"/>
      </w:pPr>
      <w:bookmarkStart w:id="9" w:name="O_722620"/>
      <w:bookmarkEnd w:id="9"/>
      <w:r w:rsidRPr="00E14190">
        <w:t>Unit Mapping Information</w:t>
      </w:r>
    </w:p>
    <w:p w:rsidR="00000000" w:rsidRPr="00E14190" w:rsidP="001D702C">
      <w:pPr>
        <w:pStyle w:val="BodyText"/>
      </w:pPr>
      <w:r w:rsidRPr="00E14190">
        <w:t>Release 1 – equivalent to MEA387A Test gas turbine engines and engine module</w:t>
      </w:r>
      <w:r w:rsidRPr="00E14190">
        <w:t>s after overhaul or repair</w:t>
      </w:r>
    </w:p>
    <w:p w:rsidR="00000000" w:rsidRPr="00E14190" w:rsidP="00E14190">
      <w:pPr>
        <w:pStyle w:val="Heading1"/>
      </w:pPr>
      <w:bookmarkStart w:id="10" w:name="O_722613"/>
      <w:bookmarkEnd w:id="10"/>
      <w:r w:rsidRPr="00E14190">
        <w:t>Links</w:t>
      </w:r>
    </w:p>
    <w:p w:rsidR="00000000" w:rsidRPr="00E14190" w:rsidP="001D702C">
      <w:pPr>
        <w:pStyle w:val="BodyText"/>
      </w:pPr>
      <w:r w:rsidRPr="00E14190">
        <w:t xml:space="preserve">Companion Volume implementation guides are found in VETNet - </w:t>
      </w:r>
      <w:r>
        <w:fldChar w:fldCharType="begin"/>
      </w:r>
      <w:r>
        <w:instrText xml:space="preserve"> HYPERLINK "https://vetnet.education.gov.au/Pages/TrainingDocs.aspx?q=ce216c9c-04d5-4b3b-9bcf-4e81d0950371" </w:instrText>
      </w:r>
      <w:r>
        <w:fldChar w:fldCharType="separate"/>
      </w:r>
      <w:r w:rsidRPr="000B2EF7">
        <w:rPr>
          <w:rStyle w:val="Hyperlink"/>
        </w:rPr>
        <w:t>https://vetnet.education.gov.au/Pages/TrainingDocs.aspx?q=ce216c9c-04d5-4b3b-9bcf-4e81d0950371</w:t>
      </w:r>
      <w:r>
        <w:fldChar w:fldCharType="end"/>
      </w:r>
    </w:p>
    <w:p w:rsidR="00000000" w:rsidRPr="00E14190" w:rsidP="00E14190"/>
    <w:sectPr w:rsidSect="00E14190">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19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190" w:rsidRPr="001D702C" w:rsidP="001D702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19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02C" w:rsidP="00E1419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D702C" w:rsidP="00E14190">
    <w:pPr>
      <w:pStyle w:val="Footer"/>
      <w:framePr w:wrap="around"/>
    </w:pPr>
    <w:r>
      <w:t xml:space="preserve">© Commonwealth of Australia, </w:t>
    </w:r>
    <w:r>
      <w:fldChar w:fldCharType="begin"/>
    </w:r>
    <w:r>
      <w:instrText xml:space="preserve"> DATE  \@ "yyyy"  \* MERGEFORMAT </w:instrText>
    </w:r>
    <w:r>
      <w:fldChar w:fldCharType="separate"/>
    </w:r>
    <w:r>
      <w:rPr>
        <w:noProof/>
      </w:rPr>
      <w:t>2019</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1D702C" w:rsidP="00E1419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19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02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14190" w:rsidRPr="001D702C" w:rsidP="001D702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1419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702C" w:rsidRPr="002D2AF8" w:rsidP="00E14190">
    <w:pPr>
      <w:pStyle w:val="Header"/>
      <w:framePr w:wrap="around"/>
    </w:pPr>
    <w:r>
      <w:fldChar w:fldCharType="begin"/>
    </w:r>
    <w:r>
      <w:instrText xml:space="preserve"> TITLE   \* MERGEFORMAT </w:instrText>
    </w:r>
    <w:r>
      <w:fldChar w:fldCharType="separate"/>
    </w:r>
    <w:r>
      <w:t>MEA387 Test gas turbine engines and engine modules after overhaul or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30 September 2019</w:t>
    </w:r>
    <w:r>
      <w:fldChar w:fldCharType="end"/>
    </w:r>
  </w:p>
  <w:p w:rsidR="001D702C" w:rsidP="00E1419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4035D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01127BB6"/>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1419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14190"/>
    <w:pPr>
      <w:spacing w:before="360" w:after="60"/>
      <w:outlineLvl w:val="0"/>
    </w:pPr>
    <w:rPr>
      <w:sz w:val="32"/>
    </w:rPr>
  </w:style>
  <w:style w:type="paragraph" w:styleId="Heading2">
    <w:name w:val="heading 2"/>
    <w:basedOn w:val="HeadingBase"/>
    <w:next w:val="BodyText"/>
    <w:link w:val="Heading2Char"/>
    <w:qFormat/>
    <w:rsid w:val="00E14190"/>
    <w:pPr>
      <w:keepLines/>
      <w:spacing w:before="240" w:after="120"/>
      <w:outlineLvl w:val="1"/>
    </w:pPr>
    <w:rPr>
      <w:sz w:val="28"/>
      <w:szCs w:val="40"/>
    </w:rPr>
  </w:style>
  <w:style w:type="paragraph" w:styleId="Heading3">
    <w:name w:val="heading 3"/>
    <w:basedOn w:val="HeadingBase"/>
    <w:next w:val="BodyText"/>
    <w:link w:val="Heading3Char"/>
    <w:qFormat/>
    <w:rsid w:val="00E14190"/>
    <w:pPr>
      <w:spacing w:before="180" w:after="120"/>
      <w:outlineLvl w:val="2"/>
    </w:pPr>
    <w:rPr>
      <w:spacing w:val="-10"/>
      <w:kern w:val="32"/>
    </w:rPr>
  </w:style>
  <w:style w:type="paragraph" w:styleId="Heading4">
    <w:name w:val="heading 4"/>
    <w:basedOn w:val="HeadingBase"/>
    <w:next w:val="BodyText"/>
    <w:link w:val="Heading4Char"/>
    <w:qFormat/>
    <w:rsid w:val="00E14190"/>
    <w:pPr>
      <w:spacing w:before="160" w:after="120"/>
      <w:outlineLvl w:val="3"/>
    </w:pPr>
    <w:rPr>
      <w:sz w:val="22"/>
    </w:rPr>
  </w:style>
  <w:style w:type="paragraph" w:styleId="Heading5">
    <w:name w:val="heading 5"/>
    <w:basedOn w:val="HeadingBase"/>
    <w:next w:val="Normal"/>
    <w:link w:val="Heading5Char"/>
    <w:qFormat/>
    <w:rsid w:val="00E14190"/>
    <w:pPr>
      <w:spacing w:before="80"/>
      <w:outlineLvl w:val="4"/>
    </w:pPr>
    <w:rPr>
      <w:color w:val="918585"/>
      <w:sz w:val="20"/>
    </w:rPr>
  </w:style>
  <w:style w:type="paragraph" w:styleId="Heading6">
    <w:name w:val="heading 6"/>
    <w:basedOn w:val="HeadingBase"/>
    <w:next w:val="Normal"/>
    <w:link w:val="Heading6Char"/>
    <w:qFormat/>
    <w:rsid w:val="00E14190"/>
    <w:pPr>
      <w:spacing w:before="60"/>
      <w:outlineLvl w:val="5"/>
    </w:pPr>
    <w:rPr>
      <w:color w:val="918585"/>
      <w:sz w:val="20"/>
    </w:rPr>
  </w:style>
  <w:style w:type="paragraph" w:styleId="Heading7">
    <w:name w:val="heading 7"/>
    <w:basedOn w:val="Normal"/>
    <w:next w:val="Normal"/>
    <w:link w:val="Heading7Char"/>
    <w:qFormat/>
    <w:rsid w:val="00E14190"/>
    <w:pPr>
      <w:ind w:left="720"/>
      <w:outlineLvl w:val="6"/>
    </w:pPr>
    <w:rPr>
      <w:i/>
    </w:rPr>
  </w:style>
  <w:style w:type="paragraph" w:styleId="Heading8">
    <w:name w:val="heading 8"/>
    <w:basedOn w:val="Normal"/>
    <w:next w:val="Normal"/>
    <w:link w:val="Heading8Char"/>
    <w:qFormat/>
    <w:rsid w:val="00E14190"/>
    <w:pPr>
      <w:ind w:left="720"/>
      <w:outlineLvl w:val="7"/>
    </w:pPr>
    <w:rPr>
      <w:i/>
    </w:rPr>
  </w:style>
  <w:style w:type="paragraph" w:styleId="Heading9">
    <w:name w:val="heading 9"/>
    <w:basedOn w:val="Normal"/>
    <w:next w:val="Normal"/>
    <w:link w:val="Heading9Char"/>
    <w:qFormat/>
    <w:rsid w:val="00E14190"/>
    <w:pPr>
      <w:ind w:left="720"/>
      <w:outlineLvl w:val="8"/>
    </w:pPr>
    <w:rPr>
      <w:i/>
    </w:rPr>
  </w:style>
  <w:style w:type="character" w:default="1" w:styleId="DefaultParagraphFont">
    <w:name w:val="Default Paragraph Font"/>
    <w:uiPriority w:val="1"/>
    <w:unhideWhenUsed/>
    <w:rsid w:val="00E1419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14190"/>
  </w:style>
  <w:style w:type="character" w:customStyle="1" w:styleId="Heading1Char">
    <w:name w:val="Heading 1 Char"/>
    <w:basedOn w:val="DefaultParagraphFont"/>
    <w:link w:val="Heading1"/>
    <w:rsid w:val="00E14190"/>
    <w:rPr>
      <w:rFonts w:ascii="Times New Roman" w:eastAsia="Times New Roman" w:hAnsi="Times New Roman" w:cs="Times New Roman"/>
      <w:b/>
      <w:sz w:val="32"/>
      <w:szCs w:val="20"/>
      <w:lang w:eastAsia="en-US"/>
    </w:rPr>
  </w:style>
  <w:style w:type="paragraph" w:styleId="BodyText">
    <w:name w:val="Body Text"/>
    <w:basedOn w:val="Normal"/>
    <w:link w:val="BodyTextChar"/>
    <w:rsid w:val="00E1419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14190"/>
    <w:rPr>
      <w:rFonts w:ascii="Times New Roman" w:eastAsia="Times New Roman" w:hAnsi="Times New Roman" w:cs="Times New Roman"/>
      <w:sz w:val="24"/>
      <w:lang w:eastAsia="en-US"/>
    </w:rPr>
  </w:style>
  <w:style w:type="paragraph" w:styleId="ListBullet">
    <w:name w:val="List Bullet"/>
    <w:basedOn w:val="List"/>
    <w:rsid w:val="00E14190"/>
    <w:pPr>
      <w:numPr>
        <w:numId w:val="11"/>
      </w:numPr>
      <w:tabs>
        <w:tab w:val="clear" w:pos="340"/>
      </w:tabs>
      <w:spacing w:before="40" w:after="40"/>
    </w:pPr>
  </w:style>
  <w:style w:type="character" w:customStyle="1" w:styleId="SpecialBold">
    <w:name w:val="Special Bold"/>
    <w:basedOn w:val="DefaultParagraphFont"/>
    <w:rsid w:val="00E14190"/>
    <w:rPr>
      <w:b/>
      <w:spacing w:val="0"/>
    </w:rPr>
  </w:style>
  <w:style w:type="paragraph" w:customStyle="1" w:styleId="SuperHeading">
    <w:name w:val="SuperHeading"/>
    <w:basedOn w:val="Normal"/>
    <w:rsid w:val="00E14190"/>
    <w:pPr>
      <w:spacing w:before="240" w:after="120"/>
      <w:outlineLvl w:val="0"/>
    </w:pPr>
    <w:rPr>
      <w:rFonts w:ascii="Times New Roman" w:hAnsi="Times New Roman"/>
      <w:b/>
      <w:sz w:val="32"/>
    </w:rPr>
  </w:style>
  <w:style w:type="paragraph" w:customStyle="1" w:styleId="AllowPageBreak">
    <w:name w:val="AllowPageBreak"/>
    <w:rsid w:val="00E1419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1419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1419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1419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1419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1419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1419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1419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14190"/>
    <w:rPr>
      <w:rFonts w:ascii="Courier New" w:eastAsia="Times New Roman" w:hAnsi="Courier New" w:cs="Times New Roman"/>
      <w:i/>
      <w:szCs w:val="20"/>
      <w:lang w:eastAsia="en-US"/>
    </w:rPr>
  </w:style>
  <w:style w:type="paragraph" w:customStyle="1" w:styleId="HeadingBase">
    <w:name w:val="Heading Base"/>
    <w:rsid w:val="00E1419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14190"/>
    <w:pPr>
      <w:tabs>
        <w:tab w:val="right" w:leader="dot" w:pos="9072"/>
      </w:tabs>
      <w:ind w:left="567"/>
    </w:pPr>
    <w:rPr>
      <w:szCs w:val="22"/>
    </w:rPr>
  </w:style>
  <w:style w:type="paragraph" w:customStyle="1" w:styleId="TOCBase">
    <w:name w:val="TOC Base"/>
    <w:rsid w:val="00E1419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14190"/>
    <w:pPr>
      <w:tabs>
        <w:tab w:val="right" w:leader="dot" w:pos="9072"/>
      </w:tabs>
      <w:spacing w:before="40" w:after="40"/>
      <w:ind w:left="284"/>
    </w:pPr>
    <w:rPr>
      <w:rFonts w:ascii="Times New Roman" w:hAnsi="Times New Roman"/>
    </w:rPr>
  </w:style>
  <w:style w:type="paragraph" w:styleId="TOC1">
    <w:name w:val="toc 1"/>
    <w:basedOn w:val="TOCBase"/>
    <w:next w:val="Normal"/>
    <w:rsid w:val="00E1419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1419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14190"/>
    <w:rPr>
      <w:rFonts w:ascii="Times New Roman" w:eastAsia="Times New Roman" w:hAnsi="Times New Roman" w:cs="Times New Roman"/>
      <w:sz w:val="16"/>
      <w:lang w:eastAsia="en-US"/>
    </w:rPr>
  </w:style>
  <w:style w:type="paragraph" w:styleId="Title">
    <w:name w:val="Title"/>
    <w:basedOn w:val="HeadingBase"/>
    <w:link w:val="TitleChar"/>
    <w:qFormat/>
    <w:rsid w:val="00E14190"/>
    <w:pPr>
      <w:spacing w:before="5040"/>
      <w:jc w:val="center"/>
    </w:pPr>
    <w:rPr>
      <w:sz w:val="48"/>
      <w:szCs w:val="72"/>
      <w:lang w:val="en-US"/>
    </w:rPr>
  </w:style>
  <w:style w:type="character" w:customStyle="1" w:styleId="TitleChar">
    <w:name w:val="Title Char"/>
    <w:basedOn w:val="DefaultParagraphFont"/>
    <w:link w:val="Title"/>
    <w:rsid w:val="00E1419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14190"/>
    <w:pPr>
      <w:tabs>
        <w:tab w:val="left" w:pos="3600"/>
        <w:tab w:val="left" w:pos="3958"/>
      </w:tabs>
    </w:pPr>
  </w:style>
  <w:style w:type="paragraph" w:styleId="List">
    <w:name w:val="List"/>
    <w:basedOn w:val="BodyText"/>
    <w:next w:val="BodyText"/>
    <w:rsid w:val="00E14190"/>
    <w:pPr>
      <w:tabs>
        <w:tab w:val="left" w:pos="340"/>
      </w:tabs>
      <w:spacing w:before="60" w:after="60"/>
      <w:ind w:left="340" w:hanging="340"/>
    </w:pPr>
  </w:style>
  <w:style w:type="paragraph" w:customStyle="1" w:styleId="Note">
    <w:name w:val="Note"/>
    <w:basedOn w:val="BodyText"/>
    <w:rsid w:val="00E1419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14190"/>
    <w:pPr>
      <w:framePr w:wrap="auto" w:hAnchor="text" w:y="6049"/>
    </w:pPr>
    <w:rPr>
      <w:color w:val="000000"/>
      <w:sz w:val="40"/>
    </w:rPr>
  </w:style>
  <w:style w:type="paragraph" w:customStyle="1" w:styleId="TOCTitle">
    <w:name w:val="TOCTitle"/>
    <w:basedOn w:val="Heading1"/>
    <w:rsid w:val="00E14190"/>
    <w:pPr>
      <w:spacing w:after="240"/>
      <w:jc w:val="center"/>
      <w:outlineLvl w:val="9"/>
    </w:pPr>
    <w:rPr>
      <w:caps/>
    </w:rPr>
  </w:style>
  <w:style w:type="paragraph" w:customStyle="1" w:styleId="Version">
    <w:name w:val="Version"/>
    <w:rsid w:val="00E14190"/>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14190"/>
    <w:pPr>
      <w:numPr>
        <w:numId w:val="12"/>
      </w:numPr>
      <w:tabs>
        <w:tab w:val="clear" w:pos="680"/>
      </w:tabs>
    </w:pPr>
  </w:style>
  <w:style w:type="paragraph" w:styleId="Index1">
    <w:name w:val="index 1"/>
    <w:basedOn w:val="Normal"/>
    <w:next w:val="Normal"/>
    <w:semiHidden/>
    <w:rsid w:val="00E14190"/>
    <w:pPr>
      <w:keepNext w:val="0"/>
      <w:tabs>
        <w:tab w:val="right" w:pos="4176"/>
      </w:tabs>
      <w:ind w:left="198" w:hanging="198"/>
    </w:pPr>
    <w:rPr>
      <w:rFonts w:ascii="Garamond" w:hAnsi="Garamond"/>
    </w:rPr>
  </w:style>
  <w:style w:type="paragraph" w:styleId="IndexHeading">
    <w:name w:val="index heading"/>
    <w:basedOn w:val="Normal"/>
    <w:next w:val="Index1"/>
    <w:semiHidden/>
    <w:rsid w:val="00E14190"/>
    <w:pPr>
      <w:spacing w:before="120" w:after="120"/>
    </w:pPr>
    <w:rPr>
      <w:rFonts w:ascii="Arial" w:hAnsi="Arial"/>
      <w:b/>
      <w:color w:val="918585"/>
      <w:sz w:val="24"/>
    </w:rPr>
  </w:style>
  <w:style w:type="paragraph" w:styleId="Header">
    <w:name w:val="header"/>
    <w:basedOn w:val="Normal"/>
    <w:link w:val="HeaderChar"/>
    <w:rsid w:val="00E1419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14190"/>
    <w:rPr>
      <w:rFonts w:ascii="Times New Roman" w:eastAsia="Times New Roman" w:hAnsi="Times New Roman" w:cs="Times New Roman"/>
      <w:sz w:val="16"/>
      <w:szCs w:val="20"/>
      <w:lang w:val="en-GB" w:eastAsia="en-US"/>
    </w:rPr>
  </w:style>
  <w:style w:type="paragraph" w:customStyle="1" w:styleId="Chapter">
    <w:name w:val="Chapter"/>
    <w:basedOn w:val="Normal"/>
    <w:rsid w:val="00E14190"/>
    <w:pPr>
      <w:spacing w:before="240"/>
    </w:pPr>
    <w:rPr>
      <w:rFonts w:ascii="Times New Roman" w:hAnsi="Times New Roman"/>
      <w:smallCaps/>
      <w:spacing w:val="80"/>
      <w:sz w:val="28"/>
    </w:rPr>
  </w:style>
  <w:style w:type="paragraph" w:customStyle="1" w:styleId="InChapter">
    <w:name w:val="InChapter"/>
    <w:basedOn w:val="Heading3"/>
    <w:rsid w:val="00E14190"/>
    <w:pPr>
      <w:spacing w:after="240"/>
      <w:outlineLvl w:val="9"/>
    </w:pPr>
    <w:rPr>
      <w:noProof/>
    </w:rPr>
  </w:style>
  <w:style w:type="paragraph" w:styleId="Index2">
    <w:name w:val="index 2"/>
    <w:basedOn w:val="Normal"/>
    <w:next w:val="Normal"/>
    <w:semiHidden/>
    <w:rsid w:val="00E14190"/>
    <w:pPr>
      <w:tabs>
        <w:tab w:val="right" w:pos="4176"/>
      </w:tabs>
      <w:ind w:left="568" w:hanging="284"/>
    </w:pPr>
    <w:rPr>
      <w:rFonts w:ascii="Garamond" w:hAnsi="Garamond"/>
    </w:rPr>
  </w:style>
  <w:style w:type="paragraph" w:customStyle="1" w:styleId="Byline">
    <w:name w:val="Byline"/>
    <w:rsid w:val="00E1419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14190"/>
    <w:pPr>
      <w:tabs>
        <w:tab w:val="clear" w:pos="3600"/>
        <w:tab w:val="clear" w:pos="3958"/>
      </w:tabs>
      <w:jc w:val="right"/>
    </w:pPr>
  </w:style>
  <w:style w:type="character" w:styleId="Emphasis">
    <w:name w:val="Emphasis"/>
    <w:basedOn w:val="DefaultParagraphFont"/>
    <w:qFormat/>
    <w:rsid w:val="00E14190"/>
    <w:rPr>
      <w:i/>
    </w:rPr>
  </w:style>
  <w:style w:type="paragraph" w:styleId="Caption">
    <w:name w:val="caption"/>
    <w:basedOn w:val="BodyText"/>
    <w:next w:val="Normal"/>
    <w:qFormat/>
    <w:rsid w:val="00E14190"/>
    <w:pPr>
      <w:framePr w:w="2268" w:hSpace="181" w:vSpace="181" w:wrap="around" w:vAnchor="text" w:hAnchor="page" w:x="1135" w:y="285" w:anchorLock="1"/>
    </w:pPr>
    <w:rPr>
      <w:i/>
    </w:rPr>
  </w:style>
  <w:style w:type="paragraph" w:customStyle="1" w:styleId="MiniTOCTitle">
    <w:name w:val="MiniTOCTitle"/>
    <w:basedOn w:val="Heading4"/>
    <w:rsid w:val="00E14190"/>
    <w:pPr>
      <w:spacing w:before="240"/>
      <w:outlineLvl w:val="9"/>
    </w:pPr>
    <w:rPr>
      <w:noProof/>
      <w:sz w:val="24"/>
    </w:rPr>
  </w:style>
  <w:style w:type="paragraph" w:customStyle="1" w:styleId="MiniTOCItem">
    <w:name w:val="MiniTOCItem"/>
    <w:basedOn w:val="ListBullet"/>
    <w:rsid w:val="00E14190"/>
    <w:pPr>
      <w:numPr>
        <w:numId w:val="0"/>
      </w:numPr>
      <w:tabs>
        <w:tab w:val="right" w:leader="dot" w:pos="6521"/>
      </w:tabs>
      <w:spacing w:before="0" w:after="0"/>
    </w:pPr>
  </w:style>
  <w:style w:type="paragraph" w:customStyle="1" w:styleId="TOFTitle">
    <w:name w:val="TOFTitle"/>
    <w:basedOn w:val="TOCTitle"/>
    <w:rsid w:val="00E14190"/>
  </w:style>
  <w:style w:type="paragraph" w:styleId="TableofFigures">
    <w:name w:val="table of figures"/>
    <w:basedOn w:val="Normal"/>
    <w:next w:val="Normal"/>
    <w:semiHidden/>
    <w:rsid w:val="00E14190"/>
    <w:pPr>
      <w:tabs>
        <w:tab w:val="right" w:leader="dot" w:pos="9072"/>
      </w:tabs>
      <w:ind w:left="970" w:hanging="403"/>
    </w:pPr>
    <w:rPr>
      <w:rFonts w:ascii="Times New Roman" w:hAnsi="Times New Roman"/>
      <w:b/>
    </w:rPr>
  </w:style>
  <w:style w:type="paragraph" w:styleId="ListNumber">
    <w:name w:val="List Number"/>
    <w:basedOn w:val="List"/>
    <w:rsid w:val="00E14190"/>
    <w:pPr>
      <w:numPr>
        <w:numId w:val="14"/>
      </w:numPr>
      <w:tabs>
        <w:tab w:val="clear" w:pos="340"/>
      </w:tabs>
    </w:pPr>
  </w:style>
  <w:style w:type="character" w:customStyle="1" w:styleId="WingdingSymbols">
    <w:name w:val="Wingding Symbols"/>
    <w:rsid w:val="00E14190"/>
    <w:rPr>
      <w:rFonts w:ascii="Wingdings" w:hAnsi="Wingdings"/>
    </w:rPr>
  </w:style>
  <w:style w:type="paragraph" w:customStyle="1" w:styleId="TableHeading">
    <w:name w:val="Table Heading"/>
    <w:basedOn w:val="HeadingBase"/>
    <w:rsid w:val="00E14190"/>
    <w:pPr>
      <w:keepLines/>
      <w:pBdr>
        <w:bottom w:val="single" w:sz="6" w:space="1" w:color="918585"/>
      </w:pBdr>
      <w:spacing w:before="240"/>
    </w:pPr>
  </w:style>
  <w:style w:type="character" w:customStyle="1" w:styleId="HotSpot">
    <w:name w:val="HotSpot"/>
    <w:rsid w:val="00E14190"/>
    <w:rPr>
      <w:color w:val="0033CC"/>
      <w:u w:val="none"/>
    </w:rPr>
  </w:style>
  <w:style w:type="paragraph" w:customStyle="1" w:styleId="BodyTextRight">
    <w:name w:val="Body Text Right"/>
    <w:basedOn w:val="BodyText"/>
    <w:rsid w:val="00E14190"/>
    <w:pPr>
      <w:spacing w:before="0" w:after="0"/>
      <w:jc w:val="right"/>
    </w:pPr>
  </w:style>
  <w:style w:type="paragraph" w:styleId="Index3">
    <w:name w:val="index 3"/>
    <w:basedOn w:val="ListNumber2"/>
    <w:next w:val="Normal"/>
    <w:semiHidden/>
    <w:rsid w:val="00E14190"/>
    <w:pPr>
      <w:numPr>
        <w:numId w:val="0"/>
      </w:numPr>
      <w:tabs>
        <w:tab w:val="right" w:leader="dot" w:pos="4176"/>
      </w:tabs>
    </w:pPr>
  </w:style>
  <w:style w:type="paragraph" w:styleId="ListNumber2">
    <w:name w:val="List Number 2"/>
    <w:basedOn w:val="List2"/>
    <w:rsid w:val="00E14190"/>
    <w:pPr>
      <w:numPr>
        <w:numId w:val="9"/>
      </w:numPr>
      <w:tabs>
        <w:tab w:val="clear" w:pos="1060"/>
      </w:tabs>
    </w:pPr>
  </w:style>
  <w:style w:type="paragraph" w:customStyle="1" w:styleId="MarginNote">
    <w:name w:val="Margin Note"/>
    <w:basedOn w:val="BodyText"/>
    <w:rsid w:val="00E1419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1419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1419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14190"/>
    <w:rPr>
      <w:sz w:val="32"/>
    </w:rPr>
  </w:style>
  <w:style w:type="paragraph" w:customStyle="1" w:styleId="HeadingProcedure">
    <w:name w:val="Heading Procedure"/>
    <w:basedOn w:val="HeadingBase"/>
    <w:next w:val="Normal"/>
    <w:rsid w:val="00E14190"/>
    <w:pPr>
      <w:tabs>
        <w:tab w:val="left" w:pos="0"/>
      </w:tabs>
      <w:spacing w:before="120" w:after="60"/>
    </w:pPr>
    <w:rPr>
      <w:i/>
      <w:color w:val="918585"/>
      <w:sz w:val="22"/>
    </w:rPr>
  </w:style>
  <w:style w:type="paragraph" w:customStyle="1" w:styleId="TableBodyText">
    <w:name w:val="Table Body Text"/>
    <w:basedOn w:val="BodyText"/>
    <w:rsid w:val="00E14190"/>
    <w:pPr>
      <w:spacing w:before="60" w:after="60"/>
    </w:pPr>
  </w:style>
  <w:style w:type="paragraph" w:styleId="ListContinue">
    <w:name w:val="List Continue"/>
    <w:basedOn w:val="List"/>
    <w:rsid w:val="00E14190"/>
    <w:pPr>
      <w:ind w:firstLine="0"/>
    </w:pPr>
  </w:style>
  <w:style w:type="paragraph" w:customStyle="1" w:styleId="ListNote">
    <w:name w:val="List Note"/>
    <w:basedOn w:val="List"/>
    <w:rsid w:val="00E14190"/>
    <w:pPr>
      <w:pBdr>
        <w:top w:val="single" w:sz="6" w:space="2" w:color="918585"/>
        <w:bottom w:val="single" w:sz="6" w:space="2" w:color="918585"/>
      </w:pBdr>
      <w:tabs>
        <w:tab w:val="left" w:pos="1021"/>
      </w:tabs>
      <w:ind w:firstLine="0"/>
    </w:pPr>
  </w:style>
  <w:style w:type="paragraph" w:customStyle="1" w:styleId="Warning">
    <w:name w:val="Warning"/>
    <w:basedOn w:val="BodyText"/>
    <w:rsid w:val="00E14190"/>
    <w:pPr>
      <w:shd w:val="clear" w:color="auto" w:fill="D9D9D9"/>
      <w:tabs>
        <w:tab w:val="left" w:pos="992"/>
      </w:tabs>
      <w:ind w:left="119" w:right="119"/>
    </w:pPr>
    <w:rPr>
      <w:sz w:val="20"/>
    </w:rPr>
  </w:style>
  <w:style w:type="paragraph" w:customStyle="1" w:styleId="MarginIcons">
    <w:name w:val="Margin Icons"/>
    <w:basedOn w:val="BodyText"/>
    <w:rsid w:val="00E1419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14190"/>
    <w:rPr>
      <w:rFonts w:ascii="Courier New" w:hAnsi="Courier New"/>
    </w:rPr>
  </w:style>
  <w:style w:type="paragraph" w:customStyle="1" w:styleId="NoteBullet">
    <w:name w:val="Note Bullet"/>
    <w:basedOn w:val="Note"/>
    <w:rsid w:val="00E14190"/>
    <w:pPr>
      <w:tabs>
        <w:tab w:val="clear" w:pos="680"/>
      </w:tabs>
      <w:spacing w:before="60" w:after="60"/>
    </w:pPr>
  </w:style>
  <w:style w:type="paragraph" w:customStyle="1" w:styleId="SubHeading2">
    <w:name w:val="SubHeading2"/>
    <w:basedOn w:val="HeadingBase"/>
    <w:rsid w:val="00E14190"/>
    <w:pPr>
      <w:spacing w:before="240" w:after="60"/>
    </w:pPr>
    <w:rPr>
      <w:sz w:val="20"/>
    </w:rPr>
  </w:style>
  <w:style w:type="paragraph" w:customStyle="1" w:styleId="SubHeading1">
    <w:name w:val="SubHeading1"/>
    <w:basedOn w:val="HeadingBase"/>
    <w:rsid w:val="00E14190"/>
    <w:pPr>
      <w:spacing w:before="240" w:after="60"/>
    </w:pPr>
    <w:rPr>
      <w:color w:val="918585"/>
      <w:sz w:val="22"/>
    </w:rPr>
  </w:style>
  <w:style w:type="paragraph" w:customStyle="1" w:styleId="SideHeading">
    <w:name w:val="Side Heading"/>
    <w:basedOn w:val="HeadingBase"/>
    <w:rsid w:val="00E1419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14190"/>
    <w:pPr>
      <w:numPr>
        <w:numId w:val="10"/>
      </w:numPr>
    </w:pPr>
  </w:style>
  <w:style w:type="paragraph" w:styleId="PlainText">
    <w:name w:val="Plain Text"/>
    <w:basedOn w:val="Normal"/>
    <w:link w:val="PlainTextChar"/>
    <w:rsid w:val="00E14190"/>
    <w:rPr>
      <w:sz w:val="20"/>
    </w:rPr>
  </w:style>
  <w:style w:type="character" w:customStyle="1" w:styleId="PlainTextChar">
    <w:name w:val="Plain Text Char"/>
    <w:basedOn w:val="DefaultParagraphFont"/>
    <w:link w:val="PlainText"/>
    <w:rsid w:val="00E14190"/>
    <w:rPr>
      <w:rFonts w:ascii="Courier New" w:eastAsia="Times New Roman" w:hAnsi="Courier New" w:cs="Times New Roman"/>
      <w:sz w:val="20"/>
      <w:szCs w:val="20"/>
      <w:lang w:eastAsia="en-US"/>
    </w:rPr>
  </w:style>
  <w:style w:type="character" w:customStyle="1" w:styleId="MenuOption">
    <w:name w:val="Menu Option"/>
    <w:basedOn w:val="DefaultParagraphFont"/>
    <w:rsid w:val="00E14190"/>
    <w:rPr>
      <w:b/>
      <w:smallCaps/>
    </w:rPr>
  </w:style>
  <w:style w:type="paragraph" w:customStyle="1" w:styleId="TableListNumber">
    <w:name w:val="Table List Number"/>
    <w:basedOn w:val="ListNumber"/>
    <w:rsid w:val="00E14190"/>
    <w:pPr>
      <w:numPr>
        <w:numId w:val="0"/>
      </w:numPr>
    </w:pPr>
  </w:style>
  <w:style w:type="paragraph" w:styleId="TOC4">
    <w:name w:val="toc 4"/>
    <w:basedOn w:val="TOCBase"/>
    <w:next w:val="Normal"/>
    <w:semiHidden/>
    <w:rsid w:val="00E14190"/>
    <w:pPr>
      <w:tabs>
        <w:tab w:val="right" w:leader="dot" w:pos="9071"/>
      </w:tabs>
      <w:ind w:left="1701"/>
    </w:pPr>
  </w:style>
  <w:style w:type="paragraph" w:customStyle="1" w:styleId="ListAlpha">
    <w:name w:val="List Alpha"/>
    <w:basedOn w:val="List"/>
    <w:rsid w:val="00E14190"/>
    <w:pPr>
      <w:numPr>
        <w:numId w:val="8"/>
      </w:numPr>
    </w:pPr>
  </w:style>
  <w:style w:type="paragraph" w:customStyle="1" w:styleId="ListAlpha2">
    <w:name w:val="List Alpha 2"/>
    <w:basedOn w:val="List2"/>
    <w:rsid w:val="00E14190"/>
    <w:pPr>
      <w:numPr>
        <w:numId w:val="7"/>
      </w:numPr>
    </w:pPr>
  </w:style>
  <w:style w:type="paragraph" w:styleId="List2">
    <w:name w:val="List 2"/>
    <w:basedOn w:val="BodyText"/>
    <w:rsid w:val="00E14190"/>
    <w:pPr>
      <w:tabs>
        <w:tab w:val="left" w:pos="680"/>
      </w:tabs>
      <w:spacing w:before="60" w:after="60"/>
      <w:ind w:left="680" w:hanging="340"/>
    </w:pPr>
  </w:style>
  <w:style w:type="paragraph" w:styleId="List3">
    <w:name w:val="List 3"/>
    <w:basedOn w:val="BodyText"/>
    <w:rsid w:val="00E14190"/>
    <w:pPr>
      <w:tabs>
        <w:tab w:val="left" w:pos="1021"/>
      </w:tabs>
      <w:spacing w:before="60" w:after="60"/>
      <w:ind w:left="1020" w:hanging="340"/>
    </w:pPr>
  </w:style>
  <w:style w:type="paragraph" w:styleId="List4">
    <w:name w:val="List 4"/>
    <w:basedOn w:val="BodyText"/>
    <w:rsid w:val="00E14190"/>
    <w:pPr>
      <w:tabs>
        <w:tab w:val="left" w:pos="1361"/>
      </w:tabs>
      <w:spacing w:before="60" w:after="60"/>
      <w:ind w:left="1361" w:hanging="340"/>
    </w:pPr>
  </w:style>
  <w:style w:type="paragraph" w:styleId="List5">
    <w:name w:val="List 5"/>
    <w:basedOn w:val="BodyText"/>
    <w:rsid w:val="00E14190"/>
    <w:pPr>
      <w:tabs>
        <w:tab w:val="left" w:pos="1701"/>
      </w:tabs>
      <w:spacing w:before="60" w:after="60"/>
      <w:ind w:left="1701" w:hanging="340"/>
    </w:pPr>
  </w:style>
  <w:style w:type="paragraph" w:styleId="ListBullet3">
    <w:name w:val="List Bullet 3"/>
    <w:basedOn w:val="List3"/>
    <w:rsid w:val="00E14190"/>
    <w:pPr>
      <w:numPr>
        <w:numId w:val="13"/>
      </w:numPr>
      <w:tabs>
        <w:tab w:val="clear" w:pos="1021"/>
      </w:tabs>
      <w:ind w:left="1037" w:hanging="357"/>
    </w:pPr>
  </w:style>
  <w:style w:type="paragraph" w:styleId="ListBullet4">
    <w:name w:val="List Bullet 4"/>
    <w:basedOn w:val="List4"/>
    <w:rsid w:val="00E14190"/>
    <w:pPr>
      <w:numPr>
        <w:numId w:val="2"/>
      </w:numPr>
      <w:tabs>
        <w:tab w:val="clear" w:pos="1361"/>
      </w:tabs>
    </w:pPr>
  </w:style>
  <w:style w:type="paragraph" w:styleId="ListBullet5">
    <w:name w:val="List Bullet 5"/>
    <w:basedOn w:val="List5"/>
    <w:rsid w:val="00E14190"/>
    <w:pPr>
      <w:numPr>
        <w:numId w:val="3"/>
      </w:numPr>
    </w:pPr>
  </w:style>
  <w:style w:type="paragraph" w:styleId="ListContinue2">
    <w:name w:val="List Continue 2"/>
    <w:basedOn w:val="List2"/>
    <w:rsid w:val="00E14190"/>
    <w:pPr>
      <w:ind w:firstLine="0"/>
    </w:pPr>
  </w:style>
  <w:style w:type="paragraph" w:styleId="ListContinue3">
    <w:name w:val="List Continue 3"/>
    <w:basedOn w:val="List3"/>
    <w:rsid w:val="00E14190"/>
    <w:pPr>
      <w:ind w:left="1021" w:firstLine="0"/>
    </w:pPr>
  </w:style>
  <w:style w:type="paragraph" w:styleId="ListContinue4">
    <w:name w:val="List Continue 4"/>
    <w:basedOn w:val="List4"/>
    <w:rsid w:val="00E14190"/>
    <w:pPr>
      <w:ind w:firstLine="0"/>
    </w:pPr>
  </w:style>
  <w:style w:type="paragraph" w:styleId="ListContinue5">
    <w:name w:val="List Continue 5"/>
    <w:basedOn w:val="List5"/>
    <w:rsid w:val="00E14190"/>
    <w:pPr>
      <w:ind w:firstLine="0"/>
    </w:pPr>
  </w:style>
  <w:style w:type="paragraph" w:styleId="ListNumber3">
    <w:name w:val="List Number 3"/>
    <w:basedOn w:val="List3"/>
    <w:rsid w:val="00E14190"/>
    <w:pPr>
      <w:numPr>
        <w:numId w:val="4"/>
      </w:numPr>
    </w:pPr>
  </w:style>
  <w:style w:type="paragraph" w:styleId="ListNumber4">
    <w:name w:val="List Number 4"/>
    <w:basedOn w:val="List4"/>
    <w:rsid w:val="00E14190"/>
    <w:pPr>
      <w:numPr>
        <w:numId w:val="5"/>
      </w:numPr>
    </w:pPr>
  </w:style>
  <w:style w:type="paragraph" w:styleId="ListNumber5">
    <w:name w:val="List Number 5"/>
    <w:basedOn w:val="List5"/>
    <w:rsid w:val="00E14190"/>
    <w:pPr>
      <w:numPr>
        <w:numId w:val="6"/>
      </w:numPr>
    </w:pPr>
  </w:style>
  <w:style w:type="paragraph" w:styleId="BlockText">
    <w:name w:val="Block Text"/>
    <w:basedOn w:val="Normal"/>
    <w:rsid w:val="00E14190"/>
    <w:pPr>
      <w:spacing w:after="120"/>
      <w:ind w:left="1440" w:right="1440"/>
    </w:pPr>
  </w:style>
  <w:style w:type="character" w:customStyle="1" w:styleId="Subscript">
    <w:name w:val="Subscript"/>
    <w:basedOn w:val="DefaultParagraphFont"/>
    <w:rsid w:val="00E14190"/>
    <w:rPr>
      <w:sz w:val="16"/>
      <w:vertAlign w:val="subscript"/>
    </w:rPr>
  </w:style>
  <w:style w:type="character" w:customStyle="1" w:styleId="Superscript">
    <w:name w:val="Superscript"/>
    <w:basedOn w:val="DefaultParagraphFont"/>
    <w:rsid w:val="00E14190"/>
    <w:rPr>
      <w:sz w:val="16"/>
      <w:vertAlign w:val="superscript"/>
    </w:rPr>
  </w:style>
  <w:style w:type="character" w:customStyle="1" w:styleId="Symbols">
    <w:name w:val="Symbols"/>
    <w:basedOn w:val="DefaultParagraphFont"/>
    <w:rsid w:val="00E14190"/>
    <w:rPr>
      <w:rFonts w:ascii="Symbol" w:hAnsi="Symbol"/>
    </w:rPr>
  </w:style>
  <w:style w:type="character" w:customStyle="1" w:styleId="MenuOptions">
    <w:name w:val="Menu Options"/>
    <w:basedOn w:val="DefaultParagraphFont"/>
    <w:rsid w:val="00E14190"/>
    <w:rPr>
      <w:rFonts w:ascii="Arial Narrow" w:hAnsi="Arial Narrow"/>
      <w:smallCaps/>
    </w:rPr>
  </w:style>
  <w:style w:type="character" w:customStyle="1" w:styleId="Buttons">
    <w:name w:val="Buttons"/>
    <w:basedOn w:val="DefaultParagraphFont"/>
    <w:rsid w:val="00E14190"/>
    <w:rPr>
      <w:b/>
    </w:rPr>
  </w:style>
  <w:style w:type="character" w:customStyle="1" w:styleId="Underlined">
    <w:name w:val="Underlined"/>
    <w:basedOn w:val="DefaultParagraphFont"/>
    <w:rsid w:val="00E14190"/>
    <w:rPr>
      <w:u w:val="single"/>
    </w:rPr>
  </w:style>
  <w:style w:type="paragraph" w:customStyle="1" w:styleId="TableBodyTextRight">
    <w:name w:val="Table Body Text Right"/>
    <w:basedOn w:val="TableBodyText"/>
    <w:rsid w:val="00E14190"/>
    <w:pPr>
      <w:widowControl w:val="0"/>
      <w:autoSpaceDE w:val="0"/>
      <w:autoSpaceDN w:val="0"/>
      <w:adjustRightInd w:val="0"/>
      <w:jc w:val="right"/>
    </w:pPr>
    <w:rPr>
      <w:rFonts w:cs="Arial"/>
      <w:szCs w:val="18"/>
    </w:rPr>
  </w:style>
  <w:style w:type="paragraph" w:customStyle="1" w:styleId="CopyrightText">
    <w:name w:val="Copyright Text"/>
    <w:basedOn w:val="BodyText"/>
    <w:rsid w:val="00E14190"/>
    <w:rPr>
      <w:sz w:val="18"/>
    </w:rPr>
  </w:style>
  <w:style w:type="paragraph" w:customStyle="1" w:styleId="BodySmallRight">
    <w:name w:val="Body Small Right"/>
    <w:basedOn w:val="BodyTextRight"/>
    <w:rsid w:val="00E14190"/>
    <w:rPr>
      <w:sz w:val="18"/>
      <w:szCs w:val="18"/>
    </w:rPr>
  </w:style>
  <w:style w:type="paragraph" w:customStyle="1" w:styleId="MarginEdition">
    <w:name w:val="Margin Edition"/>
    <w:basedOn w:val="MarginNote"/>
    <w:rsid w:val="00E14190"/>
    <w:pPr>
      <w:spacing w:before="0" w:after="0"/>
    </w:pPr>
    <w:rPr>
      <w:rFonts w:ascii="Times New Roman" w:hAnsi="Times New Roman"/>
      <w:color w:val="999999"/>
    </w:rPr>
  </w:style>
  <w:style w:type="paragraph" w:customStyle="1" w:styleId="Spacer">
    <w:name w:val="Spacer"/>
    <w:basedOn w:val="Normal"/>
    <w:rsid w:val="00E14190"/>
    <w:rPr>
      <w:sz w:val="2"/>
      <w:szCs w:val="2"/>
    </w:rPr>
  </w:style>
  <w:style w:type="character" w:customStyle="1" w:styleId="Small">
    <w:name w:val="Small"/>
    <w:basedOn w:val="DefaultParagraphFont"/>
    <w:rsid w:val="00E14190"/>
    <w:rPr>
      <w:sz w:val="16"/>
    </w:rPr>
  </w:style>
  <w:style w:type="paragraph" w:customStyle="1" w:styleId="WideTable">
    <w:name w:val="Wide Table"/>
    <w:basedOn w:val="Normal"/>
    <w:rsid w:val="00E14190"/>
    <w:pPr>
      <w:ind w:left="-1418"/>
    </w:pPr>
    <w:rPr>
      <w:sz w:val="2"/>
      <w:szCs w:val="2"/>
    </w:rPr>
  </w:style>
  <w:style w:type="character" w:styleId="PageNumber">
    <w:name w:val="page number"/>
    <w:basedOn w:val="DefaultParagraphFont"/>
    <w:rsid w:val="00E14190"/>
  </w:style>
  <w:style w:type="paragraph" w:styleId="Quote">
    <w:name w:val="Quote"/>
    <w:basedOn w:val="Heading1"/>
    <w:link w:val="QuoteChar"/>
    <w:qFormat/>
    <w:rsid w:val="00E14190"/>
    <w:rPr>
      <w:b w:val="0"/>
      <w:sz w:val="72"/>
      <w:szCs w:val="72"/>
      <w:lang w:val="en-NZ"/>
    </w:rPr>
  </w:style>
  <w:style w:type="character" w:customStyle="1" w:styleId="QuoteChar">
    <w:name w:val="Quote Char"/>
    <w:basedOn w:val="DefaultParagraphFont"/>
    <w:link w:val="Quote"/>
    <w:rsid w:val="00E1419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14190"/>
    <w:pPr>
      <w:pageBreakBefore/>
    </w:pPr>
  </w:style>
  <w:style w:type="paragraph" w:customStyle="1" w:styleId="Border">
    <w:name w:val="Border"/>
    <w:basedOn w:val="Normal"/>
    <w:qFormat/>
    <w:rsid w:val="00E1419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14190"/>
    <w:rPr>
      <w:b/>
      <w:bCs/>
      <w:i/>
      <w:iCs/>
      <w:color w:val="auto"/>
    </w:rPr>
  </w:style>
  <w:style w:type="paragraph" w:styleId="IntenseQuote">
    <w:name w:val="Intense Quote"/>
    <w:basedOn w:val="Normal"/>
    <w:next w:val="Normal"/>
    <w:link w:val="IntenseQuoteChar"/>
    <w:uiPriority w:val="30"/>
    <w:qFormat/>
    <w:rsid w:val="00E1419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1419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14190"/>
    <w:rPr>
      <w:smallCaps/>
      <w:color w:val="auto"/>
      <w:u w:val="single"/>
    </w:rPr>
  </w:style>
  <w:style w:type="character" w:styleId="IntenseReference">
    <w:name w:val="Intense Reference"/>
    <w:basedOn w:val="DefaultParagraphFont"/>
    <w:uiPriority w:val="32"/>
    <w:qFormat/>
    <w:rsid w:val="00E14190"/>
    <w:rPr>
      <w:b/>
      <w:bCs/>
      <w:smallCaps/>
      <w:color w:val="auto"/>
      <w:spacing w:val="5"/>
      <w:u w:val="single"/>
    </w:rPr>
  </w:style>
  <w:style w:type="paragraph" w:customStyle="1" w:styleId="2ColumnHeading">
    <w:name w:val="2Column Heading"/>
    <w:basedOn w:val="BodyText"/>
    <w:qFormat/>
    <w:rsid w:val="00E14190"/>
    <w:pPr>
      <w:spacing w:after="60"/>
      <w:ind w:left="-2268"/>
    </w:pPr>
    <w:rPr>
      <w:b/>
    </w:rPr>
  </w:style>
  <w:style w:type="paragraph" w:customStyle="1" w:styleId="Heading1TOC">
    <w:name w:val="Heading1 TOC"/>
    <w:basedOn w:val="Normal"/>
    <w:qFormat/>
    <w:rsid w:val="00E14190"/>
    <w:pPr>
      <w:spacing w:before="240" w:after="120"/>
    </w:pPr>
    <w:rPr>
      <w:rFonts w:ascii="Times New Roman" w:hAnsi="Times New Roman"/>
      <w:b/>
      <w:sz w:val="32"/>
    </w:rPr>
  </w:style>
  <w:style w:type="paragraph" w:customStyle="1" w:styleId="Heading2TOC">
    <w:name w:val="Heading2 TOC"/>
    <w:basedOn w:val="Normal"/>
    <w:qFormat/>
    <w:rsid w:val="00E14190"/>
    <w:pPr>
      <w:spacing w:before="240" w:after="60"/>
    </w:pPr>
    <w:rPr>
      <w:rFonts w:ascii="Times New Roman" w:hAnsi="Times New Roman"/>
      <w:b/>
      <w:sz w:val="28"/>
    </w:rPr>
  </w:style>
  <w:style w:type="character" w:customStyle="1" w:styleId="Underline">
    <w:name w:val="Underline"/>
    <w:basedOn w:val="DefaultParagraphFont"/>
    <w:qFormat/>
    <w:rsid w:val="00E14190"/>
    <w:rPr>
      <w:u w:val="single"/>
    </w:rPr>
  </w:style>
  <w:style w:type="character" w:customStyle="1" w:styleId="BoldandItalics">
    <w:name w:val="Bold and Italics"/>
    <w:qFormat/>
    <w:rsid w:val="00E14190"/>
    <w:rPr>
      <w:b/>
      <w:i/>
      <w:u w:val="none"/>
    </w:rPr>
  </w:style>
  <w:style w:type="paragraph" w:styleId="BalloonText">
    <w:name w:val="Balloon Text"/>
    <w:basedOn w:val="Normal"/>
    <w:link w:val="BalloonTextChar"/>
    <w:rsid w:val="00E14190"/>
    <w:rPr>
      <w:rFonts w:ascii="Tahoma" w:hAnsi="Tahoma" w:cs="Tahoma"/>
      <w:sz w:val="16"/>
      <w:szCs w:val="16"/>
    </w:rPr>
  </w:style>
  <w:style w:type="character" w:customStyle="1" w:styleId="BalloonTextChar">
    <w:name w:val="Balloon Text Char"/>
    <w:basedOn w:val="DefaultParagraphFont"/>
    <w:link w:val="BalloonText"/>
    <w:rsid w:val="00E1419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1419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1419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14190"/>
    <w:rPr>
      <w:b/>
      <w:color w:val="660033"/>
      <w:spacing w:val="0"/>
    </w:rPr>
  </w:style>
  <w:style w:type="paragraph" w:customStyle="1" w:styleId="Nameditemlist">
    <w:name w:val="Named item list"/>
    <w:basedOn w:val="BodyText"/>
    <w:qFormat/>
    <w:rsid w:val="00E14190"/>
    <w:pPr>
      <w:tabs>
        <w:tab w:val="left" w:pos="2835"/>
      </w:tabs>
      <w:ind w:left="2835" w:hanging="2835"/>
    </w:pPr>
  </w:style>
  <w:style w:type="paragraph" w:customStyle="1" w:styleId="BodyTextnopadding">
    <w:name w:val="Body Text no padding"/>
    <w:basedOn w:val="BodyText"/>
    <w:qFormat/>
    <w:rsid w:val="00E14190"/>
    <w:pPr>
      <w:spacing w:before="0" w:after="0"/>
    </w:pPr>
  </w:style>
  <w:style w:type="paragraph" w:customStyle="1" w:styleId="BodyTextBold">
    <w:name w:val="Body Text Bold"/>
    <w:basedOn w:val="BodyText"/>
    <w:qFormat/>
    <w:rsid w:val="00E14190"/>
    <w:rPr>
      <w:b/>
    </w:rPr>
  </w:style>
  <w:style w:type="character" w:styleId="Hyperlink">
    <w:name w:val="Hyperlink"/>
    <w:basedOn w:val="DefaultParagraphFont"/>
    <w:uiPriority w:val="99"/>
    <w:unhideWhenUsed/>
    <w:rsid w:val="001D702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653</Words>
  <Characters>4063</Characters>
  <Application>Microsoft Office Word</Application>
  <DocSecurity>0</DocSecurity>
  <Lines>169</Lines>
  <Paragraphs>87</Paragraphs>
  <ScaleCrop>false</ScaleCrop>
  <Company>Author-it Software Corporation Ltd.</Company>
  <LinksUpToDate>false</LinksUpToDate>
  <CharactersWithSpaces>4629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MEA387 Test gas turbine engines and engine modules after overhaul or repair</dc:title>
  <dc:subject>Approved</dc:subject>
  <dc:creator>Innovation and Business Skills Australia</dc:creator>
  <cp:keywords>Release: 1</cp:keywords>
  <dc:description>Review Date: 12 April 2008</dc:description>
  <cp:lastModifiedBy>HSD_TPCMSd.prod</cp:lastModifiedBy>
  <cp:revision>3</cp:revision>
  <dcterms:created xsi:type="dcterms:W3CDTF">2019-09-30T08:38:00Z</dcterms:created>
  <dcterms:modified xsi:type="dcterms:W3CDTF">2019-09-30T08:39:00Z</dcterms:modified>
</cp:coreProperties>
</file>