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1358" w:rsidP="00541358">
      <w:pPr>
        <w:pStyle w:val="Title"/>
      </w:pPr>
      <w:r>
        <w:fldChar w:fldCharType="begin"/>
      </w:r>
      <w:r>
        <w:instrText xml:space="preserve"> TITLE   \* MERGEFORMAT </w:instrText>
      </w:r>
      <w:r>
        <w:fldChar w:fldCharType="separate"/>
      </w:r>
      <w:r>
        <w:t>MEA387 Test gas turbine engines and engine modules after overhaul or repair</w:t>
      </w:r>
      <w:r>
        <w:fldChar w:fldCharType="end"/>
      </w:r>
    </w:p>
    <w:p w:rsidR="00541358" w:rsidP="00541358">
      <w:pPr>
        <w:pStyle w:val="Version"/>
        <w:sectPr w:rsidSect="002E75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7538" w:rsidP="002E7538">
      <w:pPr>
        <w:pStyle w:val="SuperHeading"/>
      </w:pPr>
      <w:r w:rsidRPr="002E7538">
        <w:t>MEA387 Test gas turbine engines and engine modules after overhaul or repair</w:t>
      </w:r>
    </w:p>
    <w:p w:rsidR="00000000" w:rsidRPr="002E7538" w:rsidP="002E7538">
      <w:pPr>
        <w:pStyle w:val="Heading1"/>
      </w:pPr>
      <w:bookmarkStart w:id="1" w:name="O_722619"/>
      <w:bookmarkEnd w:id="1"/>
      <w:r w:rsidRPr="002E7538">
        <w:t>Modification History</w:t>
      </w:r>
    </w:p>
    <w:p w:rsidR="00000000" w:rsidRPr="002E7538" w:rsidP="00541358">
      <w:pPr>
        <w:pStyle w:val="BodyText"/>
      </w:pPr>
      <w:r w:rsidRPr="002E7538">
        <w:t>Release 1 - New unit of competency</w:t>
      </w:r>
    </w:p>
    <w:p w:rsidR="00000000" w:rsidRPr="002E7538" w:rsidP="002E7538">
      <w:pPr>
        <w:pStyle w:val="Heading1"/>
      </w:pPr>
      <w:bookmarkStart w:id="2" w:name="O_722627"/>
      <w:bookmarkEnd w:id="2"/>
      <w:r w:rsidRPr="002E7538">
        <w:t>Application</w:t>
      </w:r>
    </w:p>
    <w:p w:rsidR="00000000" w:rsidRPr="002E7538" w:rsidP="00541358">
      <w:pPr>
        <w:pStyle w:val="BodyText"/>
      </w:pPr>
      <w:r w:rsidRPr="002E7538">
        <w:t>This unit of competency requires application of hand skills, theory knowledge and maintenance publication procedures to test run aircraft gas turbine engines and engine modules in engine test stands following overhaul or repair in workshops during the perf</w:t>
      </w:r>
      <w:r w:rsidRPr="002E7538">
        <w:t>ormance of scheduled or unscheduled maintenance. Testing may be performed individually or as part of a team.</w:t>
      </w:r>
    </w:p>
    <w:p w:rsidR="00000000" w:rsidRPr="002E7538" w:rsidP="00541358">
      <w:pPr>
        <w:pStyle w:val="BodyText"/>
      </w:pPr>
      <w:r w:rsidRPr="002E7538">
        <w:t>Applications include turbo-jet, turbofan, turboshaft, turboprop engines and engine modules, or auxiliary power units.</w:t>
      </w:r>
    </w:p>
    <w:p w:rsidR="00000000" w:rsidRPr="002E7538" w:rsidP="00541358">
      <w:pPr>
        <w:pStyle w:val="BodyText"/>
      </w:pPr>
      <w:r w:rsidRPr="002E7538">
        <w:t>The unit is part of the Mec</w:t>
      </w:r>
      <w:r w:rsidRPr="002E7538">
        <w:t>hanical Certificate IV (Component Workshop Maintenance Stream) training pathway. It is used in workplaces that operate under the airworthiness regulatory systems of the Australian Defence Force (ADF) and the Civil Aviation Safety Authority (CASA).</w:t>
      </w:r>
    </w:p>
    <w:p w:rsidR="00000000" w:rsidRPr="002E7538" w:rsidP="002E7538">
      <w:pPr>
        <w:pStyle w:val="Heading1"/>
      </w:pPr>
      <w:bookmarkStart w:id="3" w:name="O_722626"/>
      <w:bookmarkEnd w:id="3"/>
      <w:r w:rsidRPr="002E7538">
        <w:t>Pre-requisite Unit</w:t>
      </w:r>
    </w:p>
    <w:tbl>
      <w:tblPr>
        <w:tblW w:w="9215" w:type="dxa"/>
        <w:tblLayout w:type="fixed"/>
        <w:tblCellMar>
          <w:left w:w="62" w:type="dxa"/>
          <w:right w:w="62" w:type="dxa"/>
        </w:tblCellMar>
        <w:tblLook w:val="0000"/>
      </w:tblPr>
      <w:tblGrid>
        <w:gridCol w:w="1851"/>
        <w:gridCol w:w="7364"/>
      </w:tblGrid>
      <w:tr w:rsidTr="002E7538">
        <w:tblPrEx>
          <w:tblW w:w="9215" w:type="dxa"/>
          <w:tblLayout w:type="fixed"/>
          <w:tblCellMar>
            <w:left w:w="62" w:type="dxa"/>
            <w:right w:w="62" w:type="dxa"/>
          </w:tblCellMar>
          <w:tblLook w:val="0000"/>
        </w:tblPrEx>
        <w:tc>
          <w:tcPr>
            <w:tcW w:w="1851" w:type="dxa"/>
            <w:tcBorders>
              <w:top w:val="nil"/>
              <w:left w:val="nil"/>
              <w:bottom w:val="nil"/>
              <w:right w:val="nil"/>
            </w:tcBorders>
            <w:tcMar>
              <w:top w:w="0" w:type="dxa"/>
              <w:left w:w="62" w:type="dxa"/>
              <w:bottom w:w="0" w:type="dxa"/>
              <w:right w:w="62" w:type="dxa"/>
            </w:tcMar>
          </w:tcPr>
          <w:p w:rsidR="00000000" w:rsidP="002E7538">
            <w:pPr>
              <w:pStyle w:val="BodyText"/>
              <w:rPr>
                <w:lang w:val="en-NZ"/>
              </w:rPr>
            </w:pPr>
            <w:r w:rsidRPr="002E7538">
              <w:t>MEA383</w:t>
            </w:r>
          </w:p>
        </w:tc>
        <w:tc>
          <w:tcPr>
            <w:tcW w:w="7364" w:type="dxa"/>
            <w:tcBorders>
              <w:top w:val="nil"/>
              <w:left w:val="nil"/>
              <w:bottom w:val="nil"/>
              <w:right w:val="nil"/>
            </w:tcBorders>
            <w:tcMar>
              <w:top w:w="0" w:type="dxa"/>
              <w:left w:w="62" w:type="dxa"/>
              <w:bottom w:w="0" w:type="dxa"/>
              <w:right w:w="62" w:type="dxa"/>
            </w:tcMar>
          </w:tcPr>
          <w:p w:rsidR="00000000" w:rsidP="002E7538">
            <w:pPr>
              <w:pStyle w:val="BodyText"/>
              <w:rPr>
                <w:lang w:val="en-NZ"/>
              </w:rPr>
            </w:pPr>
            <w:r w:rsidRPr="002E7538">
              <w:t>Repair and/or overhaul gas turbine engine air inlet and compressor components and/or modules</w:t>
            </w:r>
          </w:p>
        </w:tc>
      </w:tr>
      <w:tr w:rsidTr="002E7538">
        <w:tblPrEx>
          <w:tblW w:w="9215" w:type="dxa"/>
          <w:tblLayout w:type="fixed"/>
          <w:tblCellMar>
            <w:left w:w="62" w:type="dxa"/>
            <w:right w:w="62" w:type="dxa"/>
          </w:tblCellMar>
          <w:tblLook w:val="0000"/>
        </w:tblPrEx>
        <w:tc>
          <w:tcPr>
            <w:tcW w:w="1851" w:type="dxa"/>
            <w:tcBorders>
              <w:top w:val="nil"/>
              <w:left w:val="nil"/>
              <w:bottom w:val="nil"/>
              <w:right w:val="nil"/>
            </w:tcBorders>
            <w:tcMar>
              <w:top w:w="0" w:type="dxa"/>
              <w:left w:w="62" w:type="dxa"/>
              <w:bottom w:w="0" w:type="dxa"/>
              <w:right w:w="62" w:type="dxa"/>
            </w:tcMar>
          </w:tcPr>
          <w:p w:rsidR="00000000" w:rsidP="002E7538">
            <w:pPr>
              <w:pStyle w:val="BodyText"/>
              <w:rPr>
                <w:lang w:val="en-NZ"/>
              </w:rPr>
            </w:pPr>
            <w:r w:rsidRPr="002E7538">
              <w:t>MEA384</w:t>
            </w:r>
          </w:p>
        </w:tc>
        <w:tc>
          <w:tcPr>
            <w:tcW w:w="7364" w:type="dxa"/>
            <w:tcBorders>
              <w:top w:val="nil"/>
              <w:left w:val="nil"/>
              <w:bottom w:val="nil"/>
              <w:right w:val="nil"/>
            </w:tcBorders>
            <w:tcMar>
              <w:top w:w="0" w:type="dxa"/>
              <w:left w:w="62" w:type="dxa"/>
              <w:bottom w:w="0" w:type="dxa"/>
              <w:right w:w="62" w:type="dxa"/>
            </w:tcMar>
          </w:tcPr>
          <w:p w:rsidR="00000000" w:rsidP="002E7538">
            <w:pPr>
              <w:pStyle w:val="BodyText"/>
              <w:rPr>
                <w:lang w:val="en-NZ"/>
              </w:rPr>
            </w:pPr>
            <w:r w:rsidRPr="002E7538">
              <w:t>Repair and/or overhaul gas turbine engine combustion section components and/or modules</w:t>
            </w:r>
          </w:p>
        </w:tc>
      </w:tr>
      <w:tr w:rsidTr="002E7538">
        <w:tblPrEx>
          <w:tblW w:w="9215" w:type="dxa"/>
          <w:tblLayout w:type="fixed"/>
          <w:tblCellMar>
            <w:left w:w="62" w:type="dxa"/>
            <w:right w:w="62" w:type="dxa"/>
          </w:tblCellMar>
          <w:tblLook w:val="0000"/>
        </w:tblPrEx>
        <w:tc>
          <w:tcPr>
            <w:tcW w:w="1851" w:type="dxa"/>
            <w:tcBorders>
              <w:top w:val="nil"/>
              <w:left w:val="nil"/>
              <w:bottom w:val="nil"/>
              <w:right w:val="nil"/>
            </w:tcBorders>
            <w:tcMar>
              <w:top w:w="0" w:type="dxa"/>
              <w:left w:w="62" w:type="dxa"/>
              <w:bottom w:w="0" w:type="dxa"/>
              <w:right w:w="62" w:type="dxa"/>
            </w:tcMar>
          </w:tcPr>
          <w:p w:rsidR="00000000" w:rsidP="002E7538">
            <w:pPr>
              <w:pStyle w:val="BodyText"/>
              <w:rPr>
                <w:lang w:val="en-NZ"/>
              </w:rPr>
            </w:pPr>
            <w:r w:rsidRPr="002E7538">
              <w:t>MEA385</w:t>
            </w:r>
          </w:p>
        </w:tc>
        <w:tc>
          <w:tcPr>
            <w:tcW w:w="7364" w:type="dxa"/>
            <w:tcBorders>
              <w:top w:val="nil"/>
              <w:left w:val="nil"/>
              <w:bottom w:val="nil"/>
              <w:right w:val="nil"/>
            </w:tcBorders>
            <w:tcMar>
              <w:top w:w="0" w:type="dxa"/>
              <w:left w:w="62" w:type="dxa"/>
              <w:bottom w:w="0" w:type="dxa"/>
              <w:right w:w="62" w:type="dxa"/>
            </w:tcMar>
          </w:tcPr>
          <w:p w:rsidR="00000000" w:rsidP="002E7538">
            <w:pPr>
              <w:pStyle w:val="BodyText"/>
              <w:rPr>
                <w:lang w:val="en-NZ"/>
              </w:rPr>
            </w:pPr>
            <w:r w:rsidRPr="002E7538">
              <w:t>Repair and/or overhaul ga</w:t>
            </w:r>
            <w:r w:rsidRPr="002E7538">
              <w:t>s turbine engine turbine and exhaust section components</w:t>
            </w:r>
          </w:p>
        </w:tc>
      </w:tr>
      <w:tr w:rsidTr="002E7538">
        <w:tblPrEx>
          <w:tblW w:w="9215" w:type="dxa"/>
          <w:tblLayout w:type="fixed"/>
          <w:tblCellMar>
            <w:left w:w="62" w:type="dxa"/>
            <w:right w:w="62" w:type="dxa"/>
          </w:tblCellMar>
          <w:tblLook w:val="0000"/>
        </w:tblPrEx>
        <w:tc>
          <w:tcPr>
            <w:tcW w:w="1851" w:type="dxa"/>
            <w:tcBorders>
              <w:top w:val="nil"/>
              <w:left w:val="nil"/>
              <w:bottom w:val="nil"/>
              <w:right w:val="nil"/>
            </w:tcBorders>
            <w:tcMar>
              <w:top w:w="0" w:type="dxa"/>
              <w:left w:w="62" w:type="dxa"/>
              <w:bottom w:w="0" w:type="dxa"/>
              <w:right w:w="62" w:type="dxa"/>
            </w:tcMar>
          </w:tcPr>
          <w:p w:rsidR="00000000" w:rsidP="002E7538">
            <w:pPr>
              <w:pStyle w:val="BodyText"/>
              <w:rPr>
                <w:lang w:val="en-NZ"/>
              </w:rPr>
            </w:pPr>
            <w:r w:rsidRPr="002E7538">
              <w:t>MEA386</w:t>
            </w:r>
          </w:p>
        </w:tc>
        <w:tc>
          <w:tcPr>
            <w:tcW w:w="7364" w:type="dxa"/>
            <w:tcBorders>
              <w:top w:val="nil"/>
              <w:left w:val="nil"/>
              <w:bottom w:val="nil"/>
              <w:right w:val="nil"/>
            </w:tcBorders>
            <w:tcMar>
              <w:top w:w="0" w:type="dxa"/>
              <w:left w:w="62" w:type="dxa"/>
              <w:bottom w:w="0" w:type="dxa"/>
              <w:right w:w="62" w:type="dxa"/>
            </w:tcMar>
          </w:tcPr>
          <w:p w:rsidR="00000000" w:rsidRPr="002E7538" w:rsidP="002E7538">
            <w:pPr>
              <w:pStyle w:val="BodyText"/>
            </w:pPr>
            <w:r w:rsidRPr="002E7538">
              <w:t>Repair and/or overhaul gas turbine engine ancillary section components</w:t>
            </w:r>
          </w:p>
        </w:tc>
      </w:tr>
    </w:tbl>
    <w:p w:rsidR="00000000" w:rsidRPr="002E7538" w:rsidP="002E7538">
      <w:pPr>
        <w:pStyle w:val="BodyText"/>
      </w:pPr>
    </w:p>
    <w:p w:rsidR="00000000" w:rsidRPr="002E7538" w:rsidP="002E7538">
      <w:pPr>
        <w:pStyle w:val="AllowPageBreak"/>
      </w:pPr>
    </w:p>
    <w:p w:rsidR="00000000" w:rsidRPr="002E7538" w:rsidP="002E7538">
      <w:pPr>
        <w:pStyle w:val="Heading1"/>
      </w:pPr>
      <w:bookmarkStart w:id="4" w:name="O_722625"/>
      <w:bookmarkEnd w:id="4"/>
      <w:r w:rsidRPr="002E7538">
        <w:t>Competency Field</w:t>
      </w:r>
    </w:p>
    <w:p w:rsidR="00000000" w:rsidRPr="002E7538" w:rsidP="00541358">
      <w:pPr>
        <w:pStyle w:val="BodyText"/>
      </w:pPr>
      <w:r w:rsidRPr="002E7538">
        <w:t>Aviation maintenance</w:t>
      </w:r>
    </w:p>
    <w:p w:rsidR="00000000" w:rsidRPr="002E7538" w:rsidP="002E7538">
      <w:pPr>
        <w:pStyle w:val="Heading1"/>
      </w:pPr>
      <w:bookmarkStart w:id="5" w:name="O_722624"/>
      <w:bookmarkEnd w:id="5"/>
      <w:r w:rsidRPr="002E7538">
        <w:t>Unit Sector</w:t>
      </w:r>
    </w:p>
    <w:p w:rsidR="00000000" w:rsidRPr="002E7538" w:rsidP="002E7538">
      <w:pPr>
        <w:pStyle w:val="Heading1"/>
      </w:pPr>
      <w:bookmarkStart w:id="6" w:name="O_722623"/>
      <w:bookmarkEnd w:id="6"/>
      <w:r w:rsidRPr="002E7538">
        <w:t>Elements and Performance Criteria</w:t>
      </w:r>
    </w:p>
    <w:tbl>
      <w:tblPr>
        <w:tblW w:w="9496" w:type="dxa"/>
        <w:tblLayout w:type="fixed"/>
        <w:tblCellMar>
          <w:left w:w="62" w:type="dxa"/>
          <w:right w:w="62" w:type="dxa"/>
        </w:tblCellMar>
        <w:tblLook w:val="0000"/>
      </w:tblPr>
      <w:tblGrid>
        <w:gridCol w:w="730"/>
        <w:gridCol w:w="2387"/>
        <w:gridCol w:w="825"/>
        <w:gridCol w:w="5554"/>
      </w:tblGrid>
      <w:tr w:rsidTr="002E7538">
        <w:tblPrEx>
          <w:tblW w:w="9496" w:type="dxa"/>
          <w:tblLayout w:type="fixed"/>
          <w:tblCellMar>
            <w:left w:w="62" w:type="dxa"/>
            <w:right w:w="62" w:type="dxa"/>
          </w:tblCellMar>
          <w:tblLook w:val="0000"/>
        </w:tblPrEx>
        <w:tc>
          <w:tcPr>
            <w:tcW w:w="3117" w:type="dxa"/>
            <w:gridSpan w:val="2"/>
            <w:tcBorders>
              <w:top w:val="nil"/>
              <w:left w:val="nil"/>
              <w:bottom w:val="nil"/>
              <w:right w:val="nil"/>
            </w:tcBorders>
            <w:tcMar>
              <w:top w:w="0" w:type="dxa"/>
              <w:left w:w="62" w:type="dxa"/>
              <w:bottom w:w="0" w:type="dxa"/>
              <w:right w:w="62" w:type="dxa"/>
            </w:tcMar>
          </w:tcPr>
          <w:p w:rsidR="00000000" w:rsidP="002E7538">
            <w:pPr>
              <w:pStyle w:val="BodyText"/>
              <w:rPr>
                <w:lang w:val="en-NZ"/>
              </w:rPr>
            </w:pPr>
            <w:r w:rsidRPr="002E7538">
              <w:t>Elements describe the essential outcomes.</w:t>
            </w:r>
          </w:p>
        </w:tc>
        <w:tc>
          <w:tcPr>
            <w:tcW w:w="6379" w:type="dxa"/>
            <w:gridSpan w:val="2"/>
            <w:tcBorders>
              <w:top w:val="nil"/>
              <w:left w:val="nil"/>
              <w:bottom w:val="nil"/>
              <w:right w:val="nil"/>
            </w:tcBorders>
            <w:tcMar>
              <w:top w:w="0" w:type="dxa"/>
              <w:left w:w="62" w:type="dxa"/>
              <w:bottom w:w="0" w:type="dxa"/>
              <w:right w:w="62" w:type="dxa"/>
            </w:tcMar>
          </w:tcPr>
          <w:p w:rsidR="00000000" w:rsidP="002E7538">
            <w:pPr>
              <w:pStyle w:val="BodyText"/>
              <w:rPr>
                <w:lang w:val="en-NZ"/>
              </w:rPr>
            </w:pPr>
            <w:r w:rsidRPr="002E7538">
              <w:t xml:space="preserve">Performance criteria describe the performance needed to demonstrate achievement of the element. </w:t>
            </w:r>
          </w:p>
        </w:tc>
      </w:tr>
      <w:tr w:rsidTr="002E7538">
        <w:tblPrEx>
          <w:tblW w:w="9496"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rsidP="002E7538">
            <w:pPr>
              <w:pStyle w:val="BodyText"/>
              <w:rPr>
                <w:lang w:val="en-NZ"/>
              </w:rPr>
            </w:pPr>
            <w:r w:rsidRPr="002E7538">
              <w:t>1.</w:t>
            </w:r>
          </w:p>
        </w:tc>
        <w:tc>
          <w:tcPr>
            <w:tcW w:w="2387" w:type="dxa"/>
            <w:tcBorders>
              <w:top w:val="nil"/>
              <w:left w:val="nil"/>
              <w:bottom w:val="nil"/>
              <w:right w:val="nil"/>
            </w:tcBorders>
            <w:tcMar>
              <w:top w:w="0" w:type="dxa"/>
              <w:left w:w="62" w:type="dxa"/>
              <w:bottom w:w="0" w:type="dxa"/>
              <w:right w:w="62" w:type="dxa"/>
            </w:tcMar>
          </w:tcPr>
          <w:p w:rsidR="00000000" w:rsidP="002E7538">
            <w:pPr>
              <w:pStyle w:val="BodyText"/>
              <w:rPr>
                <w:lang w:val="en-NZ"/>
              </w:rPr>
            </w:pPr>
            <w:r w:rsidRPr="002E7538">
              <w:t>Prepare engine or module for testing</w:t>
            </w:r>
          </w:p>
        </w:tc>
        <w:tc>
          <w:tcPr>
            <w:tcW w:w="825" w:type="dxa"/>
            <w:tcBorders>
              <w:top w:val="nil"/>
              <w:left w:val="nil"/>
              <w:bottom w:val="nil"/>
              <w:right w:val="nil"/>
            </w:tcBorders>
            <w:tcMar>
              <w:top w:w="0" w:type="dxa"/>
              <w:left w:w="62" w:type="dxa"/>
              <w:bottom w:w="0" w:type="dxa"/>
              <w:right w:w="62" w:type="dxa"/>
            </w:tcMar>
          </w:tcPr>
          <w:p w:rsidR="00000000" w:rsidP="002E7538">
            <w:pPr>
              <w:pStyle w:val="BodyText"/>
              <w:rPr>
                <w:lang w:val="en-NZ"/>
              </w:rPr>
            </w:pPr>
            <w:r w:rsidRPr="002E7538">
              <w:t>1.1</w:t>
            </w:r>
          </w:p>
        </w:tc>
        <w:tc>
          <w:tcPr>
            <w:tcW w:w="5554" w:type="dxa"/>
            <w:tcBorders>
              <w:top w:val="nil"/>
              <w:left w:val="nil"/>
              <w:bottom w:val="nil"/>
              <w:right w:val="nil"/>
            </w:tcBorders>
            <w:tcMar>
              <w:top w:w="0" w:type="dxa"/>
              <w:left w:w="62" w:type="dxa"/>
              <w:bottom w:w="0" w:type="dxa"/>
              <w:right w:w="62" w:type="dxa"/>
            </w:tcMar>
          </w:tcPr>
          <w:p w:rsidR="00000000" w:rsidP="002E7538">
            <w:pPr>
              <w:pStyle w:val="BodyText"/>
              <w:rPr>
                <w:lang w:val="en-NZ"/>
              </w:rPr>
            </w:pPr>
            <w:r w:rsidRPr="002E7538">
              <w:t>Maintenance documentation is checked to confirm that engine or module is ready for testing</w:t>
            </w:r>
          </w:p>
        </w:tc>
      </w:tr>
      <w:tr w:rsidTr="002E7538">
        <w:tblPrEx>
          <w:tblW w:w="9496"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2E7538">
            <w:pPr>
              <w:pStyle w:val="BodyText"/>
              <w:rPr>
                <w:lang w:val="en-NZ"/>
              </w:rPr>
            </w:pPr>
            <w:r w:rsidRPr="002E7538">
              <w:t>1.2</w:t>
            </w:r>
          </w:p>
        </w:tc>
        <w:tc>
          <w:tcPr>
            <w:tcW w:w="5554" w:type="dxa"/>
            <w:tcBorders>
              <w:top w:val="nil"/>
              <w:left w:val="nil"/>
              <w:bottom w:val="nil"/>
              <w:right w:val="nil"/>
            </w:tcBorders>
            <w:tcMar>
              <w:top w:w="0" w:type="dxa"/>
              <w:left w:w="62" w:type="dxa"/>
              <w:bottom w:w="0" w:type="dxa"/>
              <w:right w:w="62" w:type="dxa"/>
            </w:tcMar>
          </w:tcPr>
          <w:p w:rsidR="00000000" w:rsidP="002E7538">
            <w:pPr>
              <w:pStyle w:val="BodyText"/>
              <w:rPr>
                <w:lang w:val="en-NZ"/>
              </w:rPr>
            </w:pPr>
            <w:r w:rsidRPr="002E7538">
              <w:t>Where required, engine modules are assembled into a test engine</w:t>
            </w:r>
          </w:p>
        </w:tc>
      </w:tr>
      <w:tr w:rsidTr="002E7538">
        <w:tblPrEx>
          <w:tblW w:w="9496"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2E7538">
            <w:pPr>
              <w:pStyle w:val="BodyText"/>
              <w:rPr>
                <w:lang w:val="en-NZ"/>
              </w:rPr>
            </w:pPr>
            <w:r w:rsidRPr="002E7538">
              <w:t>1.3</w:t>
            </w:r>
          </w:p>
        </w:tc>
        <w:tc>
          <w:tcPr>
            <w:tcW w:w="5554" w:type="dxa"/>
            <w:tcBorders>
              <w:top w:val="nil"/>
              <w:left w:val="nil"/>
              <w:bottom w:val="nil"/>
              <w:right w:val="nil"/>
            </w:tcBorders>
            <w:tcMar>
              <w:top w:w="0" w:type="dxa"/>
              <w:left w:w="62" w:type="dxa"/>
              <w:bottom w:w="0" w:type="dxa"/>
              <w:right w:w="62" w:type="dxa"/>
            </w:tcMar>
          </w:tcPr>
          <w:p w:rsidR="00000000" w:rsidP="002E7538">
            <w:pPr>
              <w:pStyle w:val="BodyText"/>
              <w:rPr>
                <w:lang w:val="en-NZ"/>
              </w:rPr>
            </w:pPr>
            <w:r w:rsidRPr="002E7538">
              <w:t>Engine is configured for testing in accordance with maintenance manual requirements and</w:t>
            </w:r>
            <w:r w:rsidRPr="002E7538">
              <w:t xml:space="preserve"> standard enterprise procedures</w:t>
            </w:r>
          </w:p>
        </w:tc>
      </w:tr>
      <w:tr w:rsidTr="002E7538">
        <w:tblPrEx>
          <w:tblW w:w="9496"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rsidP="002E7538">
            <w:pPr>
              <w:pStyle w:val="BodyText"/>
              <w:rPr>
                <w:lang w:val="en-NZ"/>
              </w:rPr>
            </w:pPr>
            <w:r w:rsidRPr="002E7538">
              <w:t>2.</w:t>
            </w:r>
          </w:p>
        </w:tc>
        <w:tc>
          <w:tcPr>
            <w:tcW w:w="2387" w:type="dxa"/>
            <w:tcBorders>
              <w:top w:val="nil"/>
              <w:left w:val="nil"/>
              <w:bottom w:val="nil"/>
              <w:right w:val="nil"/>
            </w:tcBorders>
            <w:tcMar>
              <w:top w:w="0" w:type="dxa"/>
              <w:left w:w="62" w:type="dxa"/>
              <w:bottom w:w="0" w:type="dxa"/>
              <w:right w:w="62" w:type="dxa"/>
            </w:tcMar>
          </w:tcPr>
          <w:p w:rsidR="00000000" w:rsidP="002E7538">
            <w:pPr>
              <w:pStyle w:val="BodyText"/>
              <w:rPr>
                <w:lang w:val="en-NZ"/>
              </w:rPr>
            </w:pPr>
            <w:r w:rsidRPr="002E7538">
              <w:t>Install engine in test stand</w:t>
            </w:r>
          </w:p>
        </w:tc>
        <w:tc>
          <w:tcPr>
            <w:tcW w:w="825" w:type="dxa"/>
            <w:tcBorders>
              <w:top w:val="nil"/>
              <w:left w:val="nil"/>
              <w:bottom w:val="nil"/>
              <w:right w:val="nil"/>
            </w:tcBorders>
            <w:tcMar>
              <w:top w:w="0" w:type="dxa"/>
              <w:left w:w="62" w:type="dxa"/>
              <w:bottom w:w="0" w:type="dxa"/>
              <w:right w:w="62" w:type="dxa"/>
            </w:tcMar>
          </w:tcPr>
          <w:p w:rsidR="00000000" w:rsidP="002E7538">
            <w:pPr>
              <w:pStyle w:val="BodyText"/>
              <w:rPr>
                <w:lang w:val="en-NZ"/>
              </w:rPr>
            </w:pPr>
            <w:r w:rsidRPr="002E7538">
              <w:t>2.1</w:t>
            </w:r>
          </w:p>
        </w:tc>
        <w:tc>
          <w:tcPr>
            <w:tcW w:w="5554" w:type="dxa"/>
            <w:tcBorders>
              <w:top w:val="nil"/>
              <w:left w:val="nil"/>
              <w:bottom w:val="nil"/>
              <w:right w:val="nil"/>
            </w:tcBorders>
            <w:tcMar>
              <w:top w:w="0" w:type="dxa"/>
              <w:left w:w="62" w:type="dxa"/>
              <w:bottom w:w="0" w:type="dxa"/>
              <w:right w:w="62" w:type="dxa"/>
            </w:tcMar>
          </w:tcPr>
          <w:p w:rsidR="00000000" w:rsidP="002E7538">
            <w:pPr>
              <w:pStyle w:val="BodyText"/>
              <w:rPr>
                <w:lang w:val="en-NZ"/>
              </w:rPr>
            </w:pPr>
            <w:r w:rsidRPr="002E7538">
              <w:t xml:space="preserve">Engine is installed in test stand in accordance with maintenance manual requirements and standard enterprise procedures while observing all relevant work health </w:t>
            </w:r>
            <w:r w:rsidRPr="002E7538">
              <w:t>and safety (WHS) requirements, including the use of material safety data sheets (MSDS) and items of personal protective equipment (PPE)</w:t>
            </w:r>
          </w:p>
        </w:tc>
      </w:tr>
      <w:tr w:rsidTr="002E7538">
        <w:tblPrEx>
          <w:tblW w:w="9496"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2E7538">
            <w:pPr>
              <w:pStyle w:val="BodyText"/>
              <w:rPr>
                <w:lang w:val="en-NZ"/>
              </w:rPr>
            </w:pPr>
            <w:r w:rsidRPr="002E7538">
              <w:t>2.2</w:t>
            </w:r>
          </w:p>
        </w:tc>
        <w:tc>
          <w:tcPr>
            <w:tcW w:w="5554" w:type="dxa"/>
            <w:tcBorders>
              <w:top w:val="nil"/>
              <w:left w:val="nil"/>
              <w:bottom w:val="nil"/>
              <w:right w:val="nil"/>
            </w:tcBorders>
            <w:tcMar>
              <w:top w:w="0" w:type="dxa"/>
              <w:left w:w="62" w:type="dxa"/>
              <w:bottom w:w="0" w:type="dxa"/>
              <w:right w:w="62" w:type="dxa"/>
            </w:tcMar>
          </w:tcPr>
          <w:p w:rsidR="00000000" w:rsidP="002E7538">
            <w:pPr>
              <w:pStyle w:val="BodyText"/>
              <w:rPr>
                <w:lang w:val="en-NZ"/>
              </w:rPr>
            </w:pPr>
            <w:r w:rsidRPr="002E7538">
              <w:t>Fuel, oil and fluid levels are checked</w:t>
            </w:r>
          </w:p>
        </w:tc>
      </w:tr>
      <w:tr w:rsidTr="002E7538">
        <w:tblPrEx>
          <w:tblW w:w="9496"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2E7538">
            <w:pPr>
              <w:pStyle w:val="BodyText"/>
              <w:rPr>
                <w:lang w:val="en-NZ"/>
              </w:rPr>
            </w:pPr>
            <w:r w:rsidRPr="002E7538">
              <w:t>2.3</w:t>
            </w:r>
          </w:p>
        </w:tc>
        <w:tc>
          <w:tcPr>
            <w:tcW w:w="5554" w:type="dxa"/>
            <w:tcBorders>
              <w:top w:val="nil"/>
              <w:left w:val="nil"/>
              <w:bottom w:val="nil"/>
              <w:right w:val="nil"/>
            </w:tcBorders>
            <w:tcMar>
              <w:top w:w="0" w:type="dxa"/>
              <w:left w:w="62" w:type="dxa"/>
              <w:bottom w:w="0" w:type="dxa"/>
              <w:right w:w="62" w:type="dxa"/>
            </w:tcMar>
          </w:tcPr>
          <w:p w:rsidR="00000000" w:rsidP="002E7538">
            <w:pPr>
              <w:pStyle w:val="BodyText"/>
              <w:rPr>
                <w:lang w:val="en-NZ"/>
              </w:rPr>
            </w:pPr>
            <w:r w:rsidRPr="002E7538">
              <w:t>Engine test stand is prepared for operation</w:t>
            </w:r>
          </w:p>
        </w:tc>
      </w:tr>
      <w:tr w:rsidTr="002E7538">
        <w:tblPrEx>
          <w:tblW w:w="9496"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rsidP="002E7538">
            <w:pPr>
              <w:pStyle w:val="BodyText"/>
              <w:rPr>
                <w:lang w:val="en-NZ"/>
              </w:rPr>
            </w:pPr>
            <w:r w:rsidRPr="002E7538">
              <w:t>3.</w:t>
            </w:r>
          </w:p>
        </w:tc>
        <w:tc>
          <w:tcPr>
            <w:tcW w:w="2387" w:type="dxa"/>
            <w:tcBorders>
              <w:top w:val="nil"/>
              <w:left w:val="nil"/>
              <w:bottom w:val="nil"/>
              <w:right w:val="nil"/>
            </w:tcBorders>
            <w:tcMar>
              <w:top w:w="0" w:type="dxa"/>
              <w:left w:w="62" w:type="dxa"/>
              <w:bottom w:w="0" w:type="dxa"/>
              <w:right w:w="62" w:type="dxa"/>
            </w:tcMar>
          </w:tcPr>
          <w:p w:rsidR="00000000" w:rsidP="002E7538">
            <w:pPr>
              <w:pStyle w:val="BodyText"/>
              <w:rPr>
                <w:lang w:val="en-NZ"/>
              </w:rPr>
            </w:pPr>
            <w:r w:rsidRPr="002E7538">
              <w:t>Run and test engine</w:t>
            </w:r>
            <w:r w:rsidRPr="002E7538">
              <w:t xml:space="preserve"> or module performance</w:t>
            </w:r>
          </w:p>
        </w:tc>
        <w:tc>
          <w:tcPr>
            <w:tcW w:w="825" w:type="dxa"/>
            <w:tcBorders>
              <w:top w:val="nil"/>
              <w:left w:val="nil"/>
              <w:bottom w:val="nil"/>
              <w:right w:val="nil"/>
            </w:tcBorders>
            <w:tcMar>
              <w:top w:w="0" w:type="dxa"/>
              <w:left w:w="62" w:type="dxa"/>
              <w:bottom w:w="0" w:type="dxa"/>
              <w:right w:w="62" w:type="dxa"/>
            </w:tcMar>
          </w:tcPr>
          <w:p w:rsidR="00000000" w:rsidP="002E7538">
            <w:pPr>
              <w:pStyle w:val="BodyText"/>
              <w:rPr>
                <w:lang w:val="en-NZ"/>
              </w:rPr>
            </w:pPr>
            <w:r w:rsidRPr="002E7538">
              <w:t>3.1</w:t>
            </w:r>
          </w:p>
        </w:tc>
        <w:tc>
          <w:tcPr>
            <w:tcW w:w="5554" w:type="dxa"/>
            <w:tcBorders>
              <w:top w:val="nil"/>
              <w:left w:val="nil"/>
              <w:bottom w:val="nil"/>
              <w:right w:val="nil"/>
            </w:tcBorders>
            <w:tcMar>
              <w:top w:w="0" w:type="dxa"/>
              <w:left w:w="62" w:type="dxa"/>
              <w:bottom w:w="0" w:type="dxa"/>
              <w:right w:w="62" w:type="dxa"/>
            </w:tcMar>
          </w:tcPr>
          <w:p w:rsidR="00000000" w:rsidP="002E7538">
            <w:pPr>
              <w:pStyle w:val="BodyText"/>
              <w:rPr>
                <w:lang w:val="en-NZ"/>
              </w:rPr>
            </w:pPr>
            <w:r w:rsidRPr="002E7538">
              <w:t>Engine is started and operating parameters are checked</w:t>
            </w:r>
          </w:p>
        </w:tc>
      </w:tr>
      <w:tr w:rsidTr="002E7538">
        <w:tblPrEx>
          <w:tblW w:w="9496"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2E7538">
            <w:pPr>
              <w:pStyle w:val="BodyText"/>
              <w:rPr>
                <w:lang w:val="en-NZ"/>
              </w:rPr>
            </w:pPr>
            <w:r w:rsidRPr="002E7538">
              <w:t>3.2</w:t>
            </w:r>
          </w:p>
        </w:tc>
        <w:tc>
          <w:tcPr>
            <w:tcW w:w="5554" w:type="dxa"/>
            <w:tcBorders>
              <w:top w:val="nil"/>
              <w:left w:val="nil"/>
              <w:bottom w:val="nil"/>
              <w:right w:val="nil"/>
            </w:tcBorders>
            <w:tcMar>
              <w:top w:w="0" w:type="dxa"/>
              <w:left w:w="62" w:type="dxa"/>
              <w:bottom w:w="0" w:type="dxa"/>
              <w:right w:w="62" w:type="dxa"/>
            </w:tcMar>
          </w:tcPr>
          <w:p w:rsidR="00000000" w:rsidP="002E7538">
            <w:pPr>
              <w:pStyle w:val="BodyText"/>
              <w:rPr>
                <w:lang w:val="en-NZ"/>
              </w:rPr>
            </w:pPr>
            <w:r w:rsidRPr="002E7538">
              <w:t>Engine performance is tested and trimmed, where applicable, in accordance with maintenance manual requirements and standard enterprise procedures</w:t>
            </w:r>
          </w:p>
        </w:tc>
      </w:tr>
      <w:tr w:rsidTr="002E7538">
        <w:tblPrEx>
          <w:tblW w:w="9496"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2E7538">
            <w:pPr>
              <w:pStyle w:val="BodyText"/>
              <w:rPr>
                <w:lang w:val="en-NZ"/>
              </w:rPr>
            </w:pPr>
            <w:r w:rsidRPr="002E7538">
              <w:t>3.3</w:t>
            </w:r>
          </w:p>
        </w:tc>
        <w:tc>
          <w:tcPr>
            <w:tcW w:w="5554" w:type="dxa"/>
            <w:tcBorders>
              <w:top w:val="nil"/>
              <w:left w:val="nil"/>
              <w:bottom w:val="nil"/>
              <w:right w:val="nil"/>
            </w:tcBorders>
            <w:tcMar>
              <w:top w:w="0" w:type="dxa"/>
              <w:left w:w="62" w:type="dxa"/>
              <w:bottom w:w="0" w:type="dxa"/>
              <w:right w:w="62" w:type="dxa"/>
            </w:tcMar>
          </w:tcPr>
          <w:p w:rsidR="00000000" w:rsidP="002E7538">
            <w:pPr>
              <w:pStyle w:val="BodyText"/>
              <w:rPr>
                <w:lang w:val="en-NZ"/>
              </w:rPr>
            </w:pPr>
            <w:r w:rsidRPr="002E7538">
              <w:t>Engine operating parameters and test results are recorded in accordance with standard enterprise procedures</w:t>
            </w:r>
          </w:p>
        </w:tc>
      </w:tr>
      <w:tr w:rsidTr="002E7538">
        <w:tblPrEx>
          <w:tblW w:w="9496"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rsidP="002E7538">
            <w:pPr>
              <w:pStyle w:val="BodyText"/>
              <w:rPr>
                <w:lang w:val="en-NZ"/>
              </w:rPr>
            </w:pPr>
            <w:r w:rsidRPr="002E7538">
              <w:t>4.</w:t>
            </w:r>
          </w:p>
        </w:tc>
        <w:tc>
          <w:tcPr>
            <w:tcW w:w="2387" w:type="dxa"/>
            <w:tcBorders>
              <w:top w:val="nil"/>
              <w:left w:val="nil"/>
              <w:bottom w:val="nil"/>
              <w:right w:val="nil"/>
            </w:tcBorders>
            <w:tcMar>
              <w:top w:w="0" w:type="dxa"/>
              <w:left w:w="62" w:type="dxa"/>
              <w:bottom w:w="0" w:type="dxa"/>
              <w:right w:w="62" w:type="dxa"/>
            </w:tcMar>
          </w:tcPr>
          <w:p w:rsidR="00000000" w:rsidP="002E7538">
            <w:pPr>
              <w:pStyle w:val="BodyText"/>
              <w:rPr>
                <w:lang w:val="en-NZ"/>
              </w:rPr>
            </w:pPr>
            <w:r w:rsidRPr="002E7538">
              <w:t>Remove engine from test stand</w:t>
            </w:r>
          </w:p>
        </w:tc>
        <w:tc>
          <w:tcPr>
            <w:tcW w:w="825" w:type="dxa"/>
            <w:tcBorders>
              <w:top w:val="nil"/>
              <w:left w:val="nil"/>
              <w:bottom w:val="nil"/>
              <w:right w:val="nil"/>
            </w:tcBorders>
            <w:tcMar>
              <w:top w:w="0" w:type="dxa"/>
              <w:left w:w="62" w:type="dxa"/>
              <w:bottom w:w="0" w:type="dxa"/>
              <w:right w:w="62" w:type="dxa"/>
            </w:tcMar>
          </w:tcPr>
          <w:p w:rsidR="00000000" w:rsidP="002E7538">
            <w:pPr>
              <w:pStyle w:val="BodyText"/>
              <w:rPr>
                <w:lang w:val="en-NZ"/>
              </w:rPr>
            </w:pPr>
            <w:r w:rsidRPr="002E7538">
              <w:t>4.1</w:t>
            </w:r>
          </w:p>
        </w:tc>
        <w:tc>
          <w:tcPr>
            <w:tcW w:w="5554" w:type="dxa"/>
            <w:tcBorders>
              <w:top w:val="nil"/>
              <w:left w:val="nil"/>
              <w:bottom w:val="nil"/>
              <w:right w:val="nil"/>
            </w:tcBorders>
            <w:tcMar>
              <w:top w:w="0" w:type="dxa"/>
              <w:left w:w="62" w:type="dxa"/>
              <w:bottom w:w="0" w:type="dxa"/>
              <w:right w:w="62" w:type="dxa"/>
            </w:tcMar>
          </w:tcPr>
          <w:p w:rsidR="00000000" w:rsidP="002E7538">
            <w:pPr>
              <w:pStyle w:val="BodyText"/>
              <w:rPr>
                <w:lang w:val="en-NZ"/>
              </w:rPr>
            </w:pPr>
            <w:r w:rsidRPr="002E7538">
              <w:t>Engine is removed from test stand in accordance with maintenance manual requirements and standard enterprise p</w:t>
            </w:r>
            <w:r w:rsidRPr="002E7538">
              <w:t>rocedures while observing all relevant WHS requirements, including the use of MSDS and items of PPE</w:t>
            </w:r>
          </w:p>
        </w:tc>
      </w:tr>
      <w:tr w:rsidTr="002E7538">
        <w:tblPrEx>
          <w:tblW w:w="9496"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2E7538">
            <w:pPr>
              <w:pStyle w:val="BodyText"/>
              <w:rPr>
                <w:lang w:val="en-NZ"/>
              </w:rPr>
            </w:pPr>
            <w:r w:rsidRPr="002E7538">
              <w:t>4.2</w:t>
            </w:r>
          </w:p>
        </w:tc>
        <w:tc>
          <w:tcPr>
            <w:tcW w:w="5554" w:type="dxa"/>
            <w:tcBorders>
              <w:top w:val="nil"/>
              <w:left w:val="nil"/>
              <w:bottom w:val="nil"/>
              <w:right w:val="nil"/>
            </w:tcBorders>
            <w:tcMar>
              <w:top w:w="0" w:type="dxa"/>
              <w:left w:w="62" w:type="dxa"/>
              <w:bottom w:w="0" w:type="dxa"/>
              <w:right w:w="62" w:type="dxa"/>
            </w:tcMar>
          </w:tcPr>
          <w:p w:rsidR="00000000" w:rsidP="002E7538">
            <w:pPr>
              <w:pStyle w:val="BodyText"/>
              <w:rPr>
                <w:lang w:val="en-NZ"/>
              </w:rPr>
            </w:pPr>
            <w:r w:rsidRPr="002E7538">
              <w:t>Serviceable engines or modules are configured, inhibited and prepared in accordance with maintenance manual requirements and standard enterprise proc</w:t>
            </w:r>
            <w:r w:rsidRPr="002E7538">
              <w:t>edures for transport or storage</w:t>
            </w:r>
          </w:p>
        </w:tc>
      </w:tr>
      <w:tr w:rsidTr="002E7538">
        <w:tblPrEx>
          <w:tblW w:w="9496"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2E7538">
            <w:pPr>
              <w:pStyle w:val="BodyText"/>
              <w:rPr>
                <w:lang w:val="en-NZ"/>
              </w:rPr>
            </w:pPr>
            <w:r w:rsidRPr="002E7538">
              <w:t>4.3</w:t>
            </w:r>
          </w:p>
        </w:tc>
        <w:tc>
          <w:tcPr>
            <w:tcW w:w="5554" w:type="dxa"/>
            <w:tcBorders>
              <w:top w:val="nil"/>
              <w:left w:val="nil"/>
              <w:bottom w:val="nil"/>
              <w:right w:val="nil"/>
            </w:tcBorders>
            <w:tcMar>
              <w:top w:w="0" w:type="dxa"/>
              <w:left w:w="62" w:type="dxa"/>
              <w:bottom w:w="0" w:type="dxa"/>
              <w:right w:w="62" w:type="dxa"/>
            </w:tcMar>
          </w:tcPr>
          <w:p w:rsidR="00000000" w:rsidRPr="002E7538" w:rsidP="002E7538">
            <w:pPr>
              <w:pStyle w:val="BodyText"/>
            </w:pPr>
            <w:r w:rsidRPr="002E7538">
              <w:t>Unserviceable engines or modules are returned to workshop in accordance with standard enterprise procedures for rectification or rework</w:t>
            </w:r>
          </w:p>
        </w:tc>
      </w:tr>
    </w:tbl>
    <w:p w:rsidR="00000000" w:rsidRPr="002E7538" w:rsidP="002E7538">
      <w:pPr>
        <w:pStyle w:val="BodyText"/>
      </w:pPr>
    </w:p>
    <w:p w:rsidR="00000000" w:rsidRPr="002E7538" w:rsidP="002E7538">
      <w:pPr>
        <w:pStyle w:val="AllowPageBreak"/>
      </w:pPr>
    </w:p>
    <w:p w:rsidR="00000000" w:rsidRPr="002E7538" w:rsidP="002E7538">
      <w:pPr>
        <w:pStyle w:val="Heading1"/>
      </w:pPr>
      <w:bookmarkStart w:id="7" w:name="O_722622"/>
      <w:bookmarkEnd w:id="7"/>
      <w:r w:rsidRPr="002E7538">
        <w:t>Foundation Skills</w:t>
      </w:r>
    </w:p>
    <w:p w:rsidR="00000000" w:rsidRPr="002E7538" w:rsidP="00541358">
      <w:pPr>
        <w:pStyle w:val="BodyText"/>
      </w:pPr>
      <w:r w:rsidRPr="002E7538">
        <w:t>Foundation skills essential to per</w:t>
      </w:r>
      <w:r w:rsidRPr="002E7538">
        <w:t>formance are explicit in the performance criteria of this unit of competency.</w:t>
      </w:r>
    </w:p>
    <w:p w:rsidR="00000000" w:rsidRPr="002E7538" w:rsidP="002E7538">
      <w:pPr>
        <w:pStyle w:val="Heading1"/>
      </w:pPr>
      <w:bookmarkStart w:id="8" w:name="O_722621"/>
      <w:bookmarkEnd w:id="8"/>
      <w:r w:rsidRPr="002E7538">
        <w:t>Range of Conditions</w:t>
      </w:r>
    </w:p>
    <w:tbl>
      <w:tblPr>
        <w:tblW w:w="0" w:type="auto"/>
        <w:tblLayout w:type="fixed"/>
        <w:tblCellMar>
          <w:left w:w="62" w:type="dxa"/>
          <w:right w:w="62" w:type="dxa"/>
        </w:tblCellMar>
        <w:tblLook w:val="0000"/>
      </w:tblPr>
      <w:tblGrid>
        <w:gridCol w:w="3150"/>
        <w:gridCol w:w="5922"/>
      </w:tblGrid>
      <w:tr w:rsidTr="002E7538">
        <w:tblPrEx>
          <w:tblW w:w="0" w:type="auto"/>
          <w:tblLayout w:type="fixed"/>
          <w:tblCellMar>
            <w:left w:w="62" w:type="dxa"/>
            <w:right w:w="62" w:type="dxa"/>
          </w:tblCellMar>
          <w:tblLook w:val="0000"/>
        </w:tblPrEx>
        <w:trPr>
          <w:trHeight w:val="822"/>
        </w:trPr>
        <w:tc>
          <w:tcPr>
            <w:tcW w:w="9072" w:type="dxa"/>
            <w:gridSpan w:val="2"/>
            <w:tcBorders>
              <w:top w:val="nil"/>
              <w:left w:val="nil"/>
              <w:bottom w:val="nil"/>
              <w:right w:val="nil"/>
            </w:tcBorders>
            <w:tcMar>
              <w:top w:w="0" w:type="dxa"/>
              <w:left w:w="62" w:type="dxa"/>
              <w:bottom w:w="0" w:type="dxa"/>
              <w:right w:w="62" w:type="dxa"/>
            </w:tcMar>
          </w:tcPr>
          <w:p w:rsidR="00000000" w:rsidP="002E7538">
            <w:pPr>
              <w:pStyle w:val="BodyText"/>
              <w:rPr>
                <w:lang w:val="en-NZ"/>
              </w:rPr>
            </w:pPr>
            <w:r w:rsidRPr="002E7538">
              <w:t>This field allows for different work environments and conditions that may affect performance. Essential operating conditions that may be pres</w:t>
            </w:r>
            <w:r w:rsidRPr="002E7538">
              <w:t>ent (depending on the work situation, needs of the candidate, accessibility of the item, and local industry and regional contexts) are included.</w:t>
            </w:r>
          </w:p>
        </w:tc>
      </w:tr>
      <w:tr w:rsidTr="002E753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2E7538">
            <w:pPr>
              <w:pStyle w:val="BodyText"/>
              <w:rPr>
                <w:lang w:val="en-NZ"/>
              </w:rPr>
            </w:pPr>
            <w:r w:rsidRPr="002E7538">
              <w:rPr>
                <w:rStyle w:val="SpecialBold"/>
              </w:rPr>
              <w:t>Engines include:</w:t>
            </w:r>
          </w:p>
        </w:tc>
        <w:tc>
          <w:tcPr>
            <w:tcW w:w="5922" w:type="dxa"/>
            <w:tcBorders>
              <w:top w:val="nil"/>
              <w:left w:val="nil"/>
              <w:bottom w:val="nil"/>
              <w:right w:val="nil"/>
            </w:tcBorders>
            <w:tcMar>
              <w:top w:w="0" w:type="dxa"/>
              <w:left w:w="62" w:type="dxa"/>
              <w:bottom w:w="0" w:type="dxa"/>
              <w:right w:w="62" w:type="dxa"/>
            </w:tcMar>
          </w:tcPr>
          <w:p w:rsidR="00000000" w:rsidP="002E7538">
            <w:pPr>
              <w:pStyle w:val="ListBullet"/>
              <w:rPr>
                <w:lang w:val="en-NZ"/>
              </w:rPr>
            </w:pPr>
            <w:r w:rsidRPr="002E7538">
              <w:t>Fixed or rotary wing gas turbine engine (turbo-jet, turbofan, turboshaft, turboprop), or au</w:t>
            </w:r>
            <w:r w:rsidRPr="002E7538">
              <w:t>xiliary power unit</w:t>
            </w:r>
          </w:p>
        </w:tc>
      </w:tr>
      <w:tr w:rsidTr="002E753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2E7538">
            <w:pPr>
              <w:pStyle w:val="BodyText"/>
              <w:rPr>
                <w:lang w:val="en-NZ"/>
              </w:rPr>
            </w:pPr>
            <w:r w:rsidRPr="002E7538">
              <w:rPr>
                <w:rStyle w:val="SpecialBold"/>
              </w:rPr>
              <w:t>Modules include:</w:t>
            </w:r>
          </w:p>
        </w:tc>
        <w:tc>
          <w:tcPr>
            <w:tcW w:w="5922" w:type="dxa"/>
            <w:tcBorders>
              <w:top w:val="nil"/>
              <w:left w:val="nil"/>
              <w:bottom w:val="nil"/>
              <w:right w:val="nil"/>
            </w:tcBorders>
            <w:tcMar>
              <w:top w:w="0" w:type="dxa"/>
              <w:left w:w="62" w:type="dxa"/>
              <w:bottom w:w="0" w:type="dxa"/>
              <w:right w:w="62" w:type="dxa"/>
            </w:tcMar>
          </w:tcPr>
          <w:p w:rsidR="00000000" w:rsidP="002E7538">
            <w:pPr>
              <w:pStyle w:val="ListBullet"/>
              <w:rPr>
                <w:lang w:val="en-NZ"/>
              </w:rPr>
            </w:pPr>
            <w:r w:rsidRPr="002E7538">
              <w:t>Various combinations of gas turbine engine sections as determined by the manufacturer</w:t>
            </w:r>
          </w:p>
        </w:tc>
      </w:tr>
      <w:tr w:rsidTr="002E753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2E7538">
            <w:pPr>
              <w:pStyle w:val="BodyText"/>
              <w:rPr>
                <w:lang w:val="en-NZ"/>
              </w:rPr>
            </w:pPr>
            <w:r w:rsidRPr="002E7538">
              <w:rPr>
                <w:rStyle w:val="SpecialBold"/>
              </w:rPr>
              <w:t>Adjustment and testing includes:</w:t>
            </w:r>
          </w:p>
        </w:tc>
        <w:tc>
          <w:tcPr>
            <w:tcW w:w="5922" w:type="dxa"/>
            <w:tcBorders>
              <w:top w:val="nil"/>
              <w:left w:val="nil"/>
              <w:bottom w:val="nil"/>
              <w:right w:val="nil"/>
            </w:tcBorders>
            <w:tcMar>
              <w:top w:w="0" w:type="dxa"/>
              <w:left w:w="62" w:type="dxa"/>
              <w:bottom w:w="0" w:type="dxa"/>
              <w:right w:w="62" w:type="dxa"/>
            </w:tcMar>
          </w:tcPr>
          <w:p w:rsidR="00000000" w:rsidP="002E7538">
            <w:pPr>
              <w:pStyle w:val="ListBullet"/>
              <w:rPr>
                <w:lang w:val="en-NZ"/>
              </w:rPr>
            </w:pPr>
            <w:r w:rsidRPr="002E7538">
              <w:t>Complex adjusting and testing of engine performance to be carried out under supervision</w:t>
            </w:r>
          </w:p>
        </w:tc>
      </w:tr>
      <w:tr w:rsidTr="002E753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2E7538">
            <w:pPr>
              <w:pStyle w:val="BodyText"/>
              <w:rPr>
                <w:lang w:val="en-NZ"/>
              </w:rPr>
            </w:pPr>
            <w:r w:rsidRPr="002E7538">
              <w:rPr>
                <w:rStyle w:val="SpecialBold"/>
              </w:rPr>
              <w:t>Procedures and requirements include:</w:t>
            </w:r>
          </w:p>
        </w:tc>
        <w:tc>
          <w:tcPr>
            <w:tcW w:w="5922" w:type="dxa"/>
            <w:tcBorders>
              <w:top w:val="nil"/>
              <w:left w:val="nil"/>
              <w:bottom w:val="nil"/>
              <w:right w:val="nil"/>
            </w:tcBorders>
            <w:tcMar>
              <w:top w:w="0" w:type="dxa"/>
              <w:left w:w="62" w:type="dxa"/>
              <w:bottom w:w="0" w:type="dxa"/>
              <w:right w:w="62" w:type="dxa"/>
            </w:tcMar>
          </w:tcPr>
          <w:p w:rsidR="00000000" w:rsidRPr="002E7538" w:rsidP="002E7538">
            <w:pPr>
              <w:pStyle w:val="ListBullet"/>
            </w:pPr>
            <w:r w:rsidRPr="002E7538">
              <w:t>Industry standard procedures specified by manufacturers, regulatory authorities or the enterprise</w:t>
            </w:r>
          </w:p>
        </w:tc>
      </w:tr>
    </w:tbl>
    <w:p w:rsidR="00000000" w:rsidRPr="002E7538" w:rsidP="002E7538">
      <w:pPr>
        <w:pStyle w:val="BodyText"/>
      </w:pPr>
    </w:p>
    <w:p w:rsidR="00000000" w:rsidRPr="002E7538" w:rsidP="002E7538">
      <w:pPr>
        <w:pStyle w:val="AllowPageBreak"/>
      </w:pPr>
    </w:p>
    <w:p w:rsidR="00000000" w:rsidRPr="002E7538" w:rsidP="002E7538">
      <w:pPr>
        <w:pStyle w:val="Heading1"/>
      </w:pPr>
      <w:bookmarkStart w:id="9" w:name="O_722620"/>
      <w:bookmarkEnd w:id="9"/>
      <w:r w:rsidRPr="002E7538">
        <w:t>Unit Mapping Information</w:t>
      </w:r>
    </w:p>
    <w:p w:rsidR="00000000" w:rsidRPr="002E7538" w:rsidP="00541358">
      <w:pPr>
        <w:pStyle w:val="BodyText"/>
      </w:pPr>
      <w:r w:rsidRPr="002E7538">
        <w:t>Release 1 – equivalent to MEA387A Test gas turbine engines and engine</w:t>
      </w:r>
      <w:r w:rsidRPr="002E7538">
        <w:t xml:space="preserve"> modules after overhaul or repair</w:t>
      </w:r>
    </w:p>
    <w:p w:rsidR="00000000" w:rsidRPr="002E7538" w:rsidP="002E7538">
      <w:pPr>
        <w:pStyle w:val="Heading1"/>
      </w:pPr>
      <w:bookmarkStart w:id="10" w:name="O_722613"/>
      <w:bookmarkEnd w:id="10"/>
      <w:r w:rsidRPr="002E7538">
        <w:t>Links</w:t>
      </w:r>
    </w:p>
    <w:p w:rsidR="00000000" w:rsidRPr="002E7538" w:rsidP="00541358">
      <w:pPr>
        <w:pStyle w:val="BodyText"/>
      </w:pPr>
      <w:r w:rsidRPr="002E753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6176F">
        <w:rPr>
          <w:rStyle w:val="Hyperlink"/>
        </w:rPr>
        <w:t>https://vetnet.gov.au/Pages/TrainingDocs.aspx?q=ce216c9c-04d5-4b3b-9bcf-4e81d0950371</w:t>
      </w:r>
      <w:r>
        <w:fldChar w:fldCharType="end"/>
      </w:r>
    </w:p>
    <w:p w:rsidR="00000000" w:rsidRPr="002E7538" w:rsidP="00541358">
      <w:pPr>
        <w:pStyle w:val="BodyText"/>
        <w:sectPr w:rsidSect="002E7538">
          <w:headerReference w:type="default" r:id="rId10"/>
          <w:footerReference w:type="default" r:id="rId11"/>
          <w:pgSz w:w="11908" w:h="16833"/>
          <w:pgMar w:top="1702" w:right="1418" w:bottom="1702" w:left="1418" w:header="992" w:footer="992" w:gutter="0"/>
          <w:cols w:space="720"/>
          <w:noEndnote/>
          <w:docGrid w:linePitch="299"/>
        </w:sectPr>
      </w:pPr>
    </w:p>
    <w:p w:rsidR="00000000" w:rsidRPr="002E7538" w:rsidP="002E7538">
      <w:pPr>
        <w:pStyle w:val="SuperHeading"/>
      </w:pPr>
      <w:r w:rsidRPr="002E7538">
        <w:t>Assess</w:t>
      </w:r>
      <w:r w:rsidRPr="002E7538">
        <w:t>ment Requirements for MEA387 Test gas turbine engines and engine modules after overhaul or repair</w:t>
      </w:r>
    </w:p>
    <w:p w:rsidR="00000000" w:rsidRPr="002E7538" w:rsidP="002E7538">
      <w:pPr>
        <w:pStyle w:val="Heading1"/>
      </w:pPr>
      <w:bookmarkStart w:id="11" w:name="O_722615"/>
      <w:bookmarkEnd w:id="11"/>
      <w:r w:rsidRPr="002E7538">
        <w:t>Modification History</w:t>
      </w:r>
    </w:p>
    <w:p w:rsidR="00000000" w:rsidRPr="002E7538" w:rsidP="00541358">
      <w:pPr>
        <w:pStyle w:val="BodyText"/>
      </w:pPr>
      <w:r w:rsidRPr="002E7538">
        <w:t>Release 1 - New unit of competency</w:t>
      </w:r>
    </w:p>
    <w:p w:rsidR="00000000" w:rsidRPr="002E7538" w:rsidP="002E7538">
      <w:pPr>
        <w:pStyle w:val="Heading1"/>
      </w:pPr>
      <w:bookmarkStart w:id="12" w:name="O_722618"/>
      <w:bookmarkEnd w:id="12"/>
      <w:r w:rsidRPr="002E7538">
        <w:t>Performance Evidence</w:t>
      </w:r>
    </w:p>
    <w:p w:rsidR="00000000" w:rsidRPr="002E7538" w:rsidP="00541358">
      <w:pPr>
        <w:pStyle w:val="BodyText"/>
      </w:pPr>
      <w:r w:rsidRPr="002E7538">
        <w:t>Evidence required to demonstrate competency in t</w:t>
      </w:r>
      <w:r w:rsidRPr="002E7538">
        <w:t>his unit must be relevant to and satisfy all of the requirements of the elements and performance criteria under the specified conditions of assessment, and must include:</w:t>
      </w:r>
    </w:p>
    <w:p w:rsidR="00000000" w:rsidRPr="002E7538" w:rsidP="002E7538">
      <w:pPr>
        <w:pStyle w:val="ListBullet"/>
      </w:pPr>
      <w:r w:rsidRPr="002E7538">
        <w:t>applying relevant WHS procedures</w:t>
      </w:r>
    </w:p>
    <w:p w:rsidR="00000000" w:rsidRPr="002E7538" w:rsidP="002E7538">
      <w:pPr>
        <w:pStyle w:val="ListBullet"/>
      </w:pPr>
      <w:r w:rsidRPr="002E7538">
        <w:t>using relevant MSDS and items of PPE</w:t>
      </w:r>
    </w:p>
    <w:p w:rsidR="00000000" w:rsidRPr="002E7538" w:rsidP="002E7538">
      <w:pPr>
        <w:pStyle w:val="ListBullet"/>
      </w:pPr>
      <w:r w:rsidRPr="002E7538">
        <w:t xml:space="preserve">using relevant </w:t>
      </w:r>
      <w:r w:rsidRPr="002E7538">
        <w:t>maintenance manuals and standard enterprise procedures to:</w:t>
      </w:r>
    </w:p>
    <w:p w:rsidR="00000000" w:rsidRPr="002E7538" w:rsidP="002E7538">
      <w:pPr>
        <w:pStyle w:val="ListBullet2"/>
      </w:pPr>
      <w:r w:rsidRPr="002E7538">
        <w:t>prepare engines or modules for test running</w:t>
      </w:r>
    </w:p>
    <w:p w:rsidR="00000000" w:rsidRPr="002E7538" w:rsidP="002E7538">
      <w:pPr>
        <w:pStyle w:val="ListBullet2"/>
      </w:pPr>
      <w:r w:rsidRPr="002E7538">
        <w:t>install engines in test stands</w:t>
      </w:r>
    </w:p>
    <w:p w:rsidR="00000000" w:rsidRPr="002E7538" w:rsidP="002E7538">
      <w:pPr>
        <w:pStyle w:val="ListBullet2"/>
      </w:pPr>
      <w:r w:rsidRPr="002E7538">
        <w:t>test run and trim engines, where applicable</w:t>
      </w:r>
    </w:p>
    <w:p w:rsidR="00000000" w:rsidRPr="002E7538" w:rsidP="002E7538">
      <w:pPr>
        <w:pStyle w:val="ListBullet2"/>
      </w:pPr>
      <w:r w:rsidRPr="002E7538">
        <w:t>record engine operating parameters</w:t>
      </w:r>
    </w:p>
    <w:p w:rsidR="00000000" w:rsidRPr="002E7538" w:rsidP="002E7538">
      <w:pPr>
        <w:pStyle w:val="ListBullet2"/>
      </w:pPr>
      <w:r w:rsidRPr="002E7538">
        <w:t>remove engines from the test stand</w:t>
      </w:r>
    </w:p>
    <w:p w:rsidR="00000000" w:rsidRPr="002E7538" w:rsidP="002E7538">
      <w:pPr>
        <w:pStyle w:val="ListBullet2"/>
      </w:pPr>
      <w:r w:rsidRPr="002E7538">
        <w:t>complete documentation</w:t>
      </w:r>
    </w:p>
    <w:p w:rsidR="00000000" w:rsidRPr="002E7538" w:rsidP="002E7538">
      <w:pPr>
        <w:pStyle w:val="ListBullet"/>
      </w:pPr>
      <w:r w:rsidRPr="002E7538">
        <w:t>configuring and inhibiting serviceable engines and modules for transport or storage.</w:t>
      </w:r>
    </w:p>
    <w:p w:rsidR="00000000" w:rsidRPr="002E7538" w:rsidP="00541358">
      <w:pPr>
        <w:pStyle w:val="BodyText"/>
      </w:pPr>
      <w:r w:rsidRPr="002E7538">
        <w:t>The underlying skills inherent in this unit should be transferable across a range of repair and/or overhaul applications associated with gas turbin</w:t>
      </w:r>
      <w:r w:rsidRPr="002E7538">
        <w:t>e engines and/or modules. It is essential that the maintenance procedures (including the use of correct fuels and lubricants) are interpreted and applied to ensure quality and safety standards are achieved.</w:t>
      </w:r>
    </w:p>
    <w:p w:rsidR="00541358" w:rsidP="00541358">
      <w:pPr>
        <w:pStyle w:val="BodyText"/>
      </w:pPr>
      <w:r w:rsidRPr="002E7538">
        <w:t>This shall be demonstrated through application ac</w:t>
      </w:r>
      <w:r w:rsidRPr="002E7538">
        <w:t xml:space="preserve">ross a number of gas turbine engine and/or module test runs. Capability to interpret test procedures and specifications (allowable limits) and apply them in practice is critical. </w:t>
      </w:r>
    </w:p>
    <w:p w:rsidR="00000000" w:rsidRPr="002E7538" w:rsidP="002E7538">
      <w:pPr>
        <w:pStyle w:val="Heading1"/>
      </w:pPr>
      <w:bookmarkStart w:id="13" w:name="O_722617"/>
      <w:bookmarkEnd w:id="13"/>
      <w:r w:rsidRPr="002E7538">
        <w:t>Knowledge Evidence</w:t>
      </w:r>
    </w:p>
    <w:p w:rsidR="00000000" w:rsidRPr="002E7538" w:rsidP="00541358">
      <w:pPr>
        <w:pStyle w:val="BodyText"/>
      </w:pPr>
      <w:r w:rsidRPr="002E7538">
        <w:t>Evidence required to demonstrate compet</w:t>
      </w:r>
      <w:r w:rsidRPr="002E7538">
        <w:t>ency in this unit must be relevant to and satisfy all of the requirements of the elements and performance criteria and include knowledge of:</w:t>
      </w:r>
    </w:p>
    <w:p w:rsidR="00000000" w:rsidRPr="002E7538" w:rsidP="002E7538">
      <w:pPr>
        <w:pStyle w:val="ListBullet"/>
      </w:pPr>
      <w:r w:rsidRPr="002E7538">
        <w:t>how to obtain relevant MSDS</w:t>
      </w:r>
    </w:p>
    <w:p w:rsidR="00000000" w:rsidRPr="002E7538" w:rsidP="002E7538">
      <w:pPr>
        <w:pStyle w:val="ListBullet"/>
      </w:pPr>
      <w:r w:rsidRPr="002E7538">
        <w:t xml:space="preserve">the use of applicable items of PPE </w:t>
      </w:r>
    </w:p>
    <w:p w:rsidR="00000000" w:rsidRPr="002E7538" w:rsidP="002E7538">
      <w:pPr>
        <w:pStyle w:val="ListBullet"/>
      </w:pPr>
      <w:r w:rsidRPr="002E7538">
        <w:t>WHS procedures</w:t>
      </w:r>
    </w:p>
    <w:p w:rsidR="00000000" w:rsidRPr="002E7538" w:rsidP="002E7538">
      <w:pPr>
        <w:pStyle w:val="ListBullet"/>
      </w:pPr>
      <w:r w:rsidRPr="002E7538">
        <w:t>test stand operation</w:t>
      </w:r>
    </w:p>
    <w:p w:rsidR="00000000" w:rsidRPr="002E7538" w:rsidP="002E7538">
      <w:pPr>
        <w:pStyle w:val="ListBullet"/>
      </w:pPr>
      <w:r w:rsidRPr="002E7538">
        <w:t>engine and module test requirements</w:t>
      </w:r>
    </w:p>
    <w:p w:rsidR="00000000" w:rsidRPr="002E7538" w:rsidP="002E7538">
      <w:pPr>
        <w:pStyle w:val="ListBullet"/>
      </w:pPr>
      <w:r w:rsidRPr="002E7538">
        <w:t>engine operating parameters and adjustment methods.</w:t>
      </w:r>
    </w:p>
    <w:p w:rsidR="00000000" w:rsidRPr="002E7538" w:rsidP="002E7538">
      <w:pPr>
        <w:pStyle w:val="AllowPageBreak"/>
      </w:pPr>
    </w:p>
    <w:p w:rsidR="00000000" w:rsidRPr="002E7538" w:rsidP="002E7538">
      <w:pPr>
        <w:pStyle w:val="Heading1"/>
      </w:pPr>
      <w:bookmarkStart w:id="14" w:name="O_722616"/>
      <w:bookmarkEnd w:id="14"/>
      <w:r w:rsidRPr="002E7538">
        <w:t>Assessment Conditions</w:t>
      </w:r>
    </w:p>
    <w:p w:rsidR="00000000" w:rsidRPr="002E7538" w:rsidP="002E7538">
      <w:pPr>
        <w:pStyle w:val="ListBullet"/>
      </w:pPr>
      <w:r w:rsidRPr="002E7538">
        <w:t xml:space="preserve">Competency should be assessed in the work environment or simulated work environment in an applicable </w:t>
      </w:r>
      <w:r w:rsidRPr="002E7538">
        <w:t>engine test stand. It is also expected that general-purpose tools and test equipment found in most routine situations would be used where appropriate.</w:t>
      </w:r>
    </w:p>
    <w:p w:rsidR="00000000" w:rsidRPr="002E7538" w:rsidP="002E7538">
      <w:pPr>
        <w:pStyle w:val="ListBullet"/>
      </w:pPr>
      <w:r w:rsidRPr="002E7538">
        <w:t>The application of testing procedures should clearly indicate knowledge of system operation. Knowledge of</w:t>
      </w:r>
      <w:r w:rsidRPr="002E7538">
        <w:t xml:space="preserve"> system operation and the relationship of individual components will be necessary to supplement evidence of ability to troubleshoot engine or module faults before undertaking any action. The work plan should take account of applicable safety and quality re</w:t>
      </w:r>
      <w:r w:rsidRPr="002E7538">
        <w:t>quirements in accordance with the industry and regulatory standards.</w:t>
      </w:r>
    </w:p>
    <w:p w:rsidR="00000000" w:rsidRPr="002E7538" w:rsidP="002E7538">
      <w:pPr>
        <w:pStyle w:val="ListBullet"/>
      </w:pPr>
      <w:r w:rsidRPr="002E7538">
        <w:t>The following conditions of assessment represent the requirements of the Regulators (ADF and CASA) and maintenance stakeholders and must be rigorously observed.</w:t>
      </w:r>
    </w:p>
    <w:p w:rsidR="00000000" w:rsidRPr="002E7538" w:rsidP="002E7538">
      <w:pPr>
        <w:pStyle w:val="ListBullet"/>
      </w:pPr>
      <w:r w:rsidRPr="002E7538">
        <w:t>A person cannot be assesse</w:t>
      </w:r>
      <w:r w:rsidRPr="002E7538">
        <w:t xml:space="preserve">d as competent until it can be demonstrated to the satisfaction of the workplace assessor that the relevant elements and performance criteria of the unit of competency are being achieved under routine supervision on a range of engine/module test runs that </w:t>
      </w:r>
      <w:r w:rsidRPr="002E7538">
        <w:t xml:space="preserve">are representative of the testing performed within the enterprise. </w:t>
      </w:r>
    </w:p>
    <w:p w:rsidR="00000000" w:rsidRPr="002E7538" w:rsidP="002E7538">
      <w:pPr>
        <w:pStyle w:val="ListBullet"/>
      </w:pPr>
      <w:r w:rsidRPr="002E7538">
        <w:t>This shall be established via the records in the Log of Industrial Experience and Achievement or, where appropriate, an equivalent Industry Evidence Guide (for details refer to the Compani</w:t>
      </w:r>
      <w:r w:rsidRPr="002E7538">
        <w:t>on Volume Assessment Guidelines).</w:t>
      </w:r>
    </w:p>
    <w:p w:rsidR="00000000" w:rsidRPr="002E7538" w:rsidP="002E7538">
      <w:pPr>
        <w:pStyle w:val="ListBullet"/>
      </w:pPr>
      <w:r w:rsidRPr="002E7538">
        <w:t>Assessors must satisfy the requirements of the National Vocational Education and Training Regulator (Australian Skills Quality Authority, or its successors).</w:t>
      </w:r>
    </w:p>
    <w:p w:rsidR="00000000" w:rsidRPr="002E7538" w:rsidP="002E7538">
      <w:pPr>
        <w:pStyle w:val="AllowPageBreak"/>
      </w:pPr>
    </w:p>
    <w:p w:rsidR="00000000" w:rsidRPr="002E7538" w:rsidP="002E7538">
      <w:pPr>
        <w:pStyle w:val="Heading1"/>
      </w:pPr>
      <w:bookmarkStart w:id="15" w:name="O_722614"/>
      <w:bookmarkEnd w:id="15"/>
      <w:r w:rsidRPr="002E7538">
        <w:t>Links</w:t>
      </w:r>
    </w:p>
    <w:p w:rsidR="00000000" w:rsidRPr="002E7538" w:rsidP="00541358">
      <w:pPr>
        <w:pStyle w:val="BodyText"/>
      </w:pPr>
      <w:r w:rsidRPr="002E7538">
        <w:t>Companion Volume implementation guides ar</w:t>
      </w:r>
      <w:r w:rsidRPr="002E7538">
        <w:t xml:space="preserve">e found in VETNet - </w:t>
      </w:r>
      <w:r>
        <w:fldChar w:fldCharType="begin"/>
      </w:r>
      <w:r>
        <w:instrText xml:space="preserve"> HYPERLINK "https://vetnet.gov.au/Pages/TrainingDocs.aspx?q=ce216c9c-04d5-4b3b-9bcf-4e81d0950371" </w:instrText>
      </w:r>
      <w:r>
        <w:fldChar w:fldCharType="separate"/>
      </w:r>
      <w:r w:rsidRPr="0016176F">
        <w:rPr>
          <w:rStyle w:val="Hyperlink"/>
        </w:rPr>
        <w:t>https://vetnet.gov.au/Pages/TrainingDocs.aspx?q=ce216c9c-04d5-4b3b-9bcf-4e81d0950371</w:t>
      </w:r>
      <w:r>
        <w:fldChar w:fldCharType="end"/>
      </w:r>
    </w:p>
    <w:p w:rsidR="00000000" w:rsidRPr="002E7538" w:rsidP="002E7538"/>
    <w:sectPr w:rsidSect="002E75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5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538" w:rsidRPr="00541358" w:rsidP="005413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5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358" w:rsidP="002E75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1358" w:rsidP="002E75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41358" w:rsidP="002E75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538" w:rsidP="002E7538">
    <w:pPr>
      <w:pStyle w:val="Footer"/>
      <w:framePr w:wrap="around"/>
    </w:pPr>
    <w:r>
      <w:fldChar w:fldCharType="begin"/>
    </w:r>
    <w:r>
      <w:instrText xml:space="preserve"> DOCPROPERTY  Subject  \* MERGEFORMAT </w:instrText>
    </w:r>
    <w:r>
      <w:fldChar w:fldCharType="separate"/>
    </w:r>
    <w:r w:rsidR="00541358">
      <w:t>Approved</w:t>
    </w:r>
    <w:r w:rsidR="00541358">
      <w:fldChar w:fldCharType="end"/>
    </w:r>
    <w:r>
      <w:tab/>
      <w:t xml:space="preserve">Page </w:t>
    </w:r>
    <w:r>
      <w:fldChar w:fldCharType="begin"/>
    </w:r>
    <w:r>
      <w:instrText xml:space="preserve"> PAGE  \* Arabic  \* MERGEFORMAT </w:instrText>
    </w:r>
    <w:r>
      <w:fldChar w:fldCharType="separate"/>
    </w:r>
    <w:r w:rsidR="0054135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1358">
      <w:rPr>
        <w:noProof/>
      </w:rPr>
      <w:t>4</w:t>
    </w:r>
    <w:r>
      <w:rPr>
        <w:noProof/>
      </w:rPr>
      <w:fldChar w:fldCharType="end"/>
    </w:r>
  </w:p>
  <w:p w:rsidR="002E7538" w:rsidP="002E7538">
    <w:pPr>
      <w:pStyle w:val="Footer"/>
      <w:framePr w:wrap="around"/>
    </w:pPr>
    <w:r>
      <w:t xml:space="preserve">© Commonwealth of Australia, </w:t>
    </w:r>
    <w:r>
      <w:fldChar w:fldCharType="begin"/>
    </w:r>
    <w:r>
      <w:instrText xml:space="preserve"> DATE  \@ "yyyy"  \* MERGEFORMAT </w:instrText>
    </w:r>
    <w:r>
      <w:fldChar w:fldCharType="separate"/>
    </w:r>
    <w:r w:rsidR="00541358">
      <w:rPr>
        <w:noProof/>
      </w:rPr>
      <w:t>2025</w:t>
    </w:r>
    <w:r>
      <w:fldChar w:fldCharType="end"/>
    </w:r>
    <w:r>
      <w:tab/>
    </w:r>
    <w:r>
      <w:fldChar w:fldCharType="begin"/>
    </w:r>
    <w:r>
      <w:instrText xml:space="preserve"> DOCPROPERTY  Author  \* MERGEFORMAT </w:instrText>
    </w:r>
    <w:r>
      <w:fldChar w:fldCharType="separate"/>
    </w:r>
    <w:r w:rsidR="00541358">
      <w:t>Manufacturing Industry Skills Alliance</w:t>
    </w:r>
    <w:r w:rsidR="00541358">
      <w:fldChar w:fldCharType="end"/>
    </w:r>
  </w:p>
  <w:p w:rsidR="002E7538" w:rsidP="002E75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5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3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7538" w:rsidRPr="00541358" w:rsidP="005413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5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358" w:rsidRPr="002D2AF8" w:rsidP="002E7538">
    <w:pPr>
      <w:pStyle w:val="Header"/>
      <w:framePr w:wrap="around"/>
    </w:pPr>
    <w:r>
      <w:fldChar w:fldCharType="begin"/>
    </w:r>
    <w:r>
      <w:instrText xml:space="preserve"> TITLE   \* MERGEFORMAT </w:instrText>
    </w:r>
    <w:r>
      <w:fldChar w:fldCharType="separate"/>
    </w:r>
    <w:r>
      <w:t>MEA387 Test gas turbine engines and engine modules after overhaul or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1358" w:rsidP="002E75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538" w:rsidRPr="002D2AF8" w:rsidP="002E7538">
    <w:pPr>
      <w:pStyle w:val="Header"/>
      <w:framePr w:wrap="around"/>
    </w:pPr>
    <w:r>
      <w:fldChar w:fldCharType="begin"/>
    </w:r>
    <w:r>
      <w:instrText xml:space="preserve"> TITLE   \* MERGEFORMAT </w:instrText>
    </w:r>
    <w:r>
      <w:fldChar w:fldCharType="separate"/>
    </w:r>
    <w:r w:rsidR="00541358">
      <w:t>MEA387 Test gas turbine engines and engine modules after overhaul or repair</w:t>
    </w:r>
    <w:r w:rsidR="00541358">
      <w:fldChar w:fldCharType="end"/>
    </w:r>
    <w:r>
      <w:tab/>
      <w:t xml:space="preserve">Date this document was generated: </w:t>
    </w:r>
    <w:r>
      <w:fldChar w:fldCharType="begin"/>
    </w:r>
    <w:r>
      <w:instrText xml:space="preserve"> CREATEDATE  \@ "d MMMM yyyy"  \* MERGEFORMAT </w:instrText>
    </w:r>
    <w:r>
      <w:fldChar w:fldCharType="separate"/>
    </w:r>
    <w:r w:rsidR="00541358">
      <w:rPr>
        <w:noProof/>
      </w:rPr>
      <w:t>2 March 2025</w:t>
    </w:r>
    <w:r>
      <w:fldChar w:fldCharType="end"/>
    </w:r>
  </w:p>
  <w:p w:rsidR="002E7538" w:rsidP="002E75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96DB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CE0F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42FA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5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7538"/>
    <w:pPr>
      <w:spacing w:before="360" w:after="60"/>
      <w:outlineLvl w:val="0"/>
    </w:pPr>
    <w:rPr>
      <w:sz w:val="32"/>
    </w:rPr>
  </w:style>
  <w:style w:type="paragraph" w:styleId="Heading2">
    <w:name w:val="heading 2"/>
    <w:basedOn w:val="HeadingBase"/>
    <w:next w:val="BodyText"/>
    <w:link w:val="Heading2Char"/>
    <w:qFormat/>
    <w:rsid w:val="002E7538"/>
    <w:pPr>
      <w:keepLines/>
      <w:spacing w:before="240" w:after="120"/>
      <w:outlineLvl w:val="1"/>
    </w:pPr>
    <w:rPr>
      <w:sz w:val="28"/>
      <w:szCs w:val="40"/>
    </w:rPr>
  </w:style>
  <w:style w:type="paragraph" w:styleId="Heading3">
    <w:name w:val="heading 3"/>
    <w:basedOn w:val="HeadingBase"/>
    <w:next w:val="BodyText"/>
    <w:link w:val="Heading3Char"/>
    <w:qFormat/>
    <w:rsid w:val="002E7538"/>
    <w:pPr>
      <w:spacing w:before="180" w:after="120"/>
      <w:outlineLvl w:val="2"/>
    </w:pPr>
    <w:rPr>
      <w:spacing w:val="-10"/>
      <w:kern w:val="32"/>
    </w:rPr>
  </w:style>
  <w:style w:type="paragraph" w:styleId="Heading4">
    <w:name w:val="heading 4"/>
    <w:basedOn w:val="HeadingBase"/>
    <w:next w:val="BodyText"/>
    <w:link w:val="Heading4Char"/>
    <w:qFormat/>
    <w:rsid w:val="002E7538"/>
    <w:pPr>
      <w:spacing w:before="160" w:after="120"/>
      <w:outlineLvl w:val="3"/>
    </w:pPr>
    <w:rPr>
      <w:sz w:val="22"/>
    </w:rPr>
  </w:style>
  <w:style w:type="paragraph" w:styleId="Heading5">
    <w:name w:val="heading 5"/>
    <w:basedOn w:val="HeadingBase"/>
    <w:next w:val="Normal"/>
    <w:link w:val="Heading5Char"/>
    <w:qFormat/>
    <w:rsid w:val="002E7538"/>
    <w:pPr>
      <w:spacing w:before="80"/>
      <w:outlineLvl w:val="4"/>
    </w:pPr>
    <w:rPr>
      <w:color w:val="918585"/>
      <w:sz w:val="20"/>
    </w:rPr>
  </w:style>
  <w:style w:type="paragraph" w:styleId="Heading6">
    <w:name w:val="heading 6"/>
    <w:basedOn w:val="HeadingBase"/>
    <w:next w:val="Normal"/>
    <w:link w:val="Heading6Char"/>
    <w:qFormat/>
    <w:rsid w:val="002E7538"/>
    <w:pPr>
      <w:spacing w:before="60"/>
      <w:outlineLvl w:val="5"/>
    </w:pPr>
    <w:rPr>
      <w:color w:val="918585"/>
      <w:sz w:val="20"/>
    </w:rPr>
  </w:style>
  <w:style w:type="paragraph" w:styleId="Heading7">
    <w:name w:val="heading 7"/>
    <w:basedOn w:val="Normal"/>
    <w:next w:val="Normal"/>
    <w:link w:val="Heading7Char"/>
    <w:qFormat/>
    <w:rsid w:val="002E7538"/>
    <w:pPr>
      <w:ind w:left="720"/>
      <w:outlineLvl w:val="6"/>
    </w:pPr>
    <w:rPr>
      <w:i/>
    </w:rPr>
  </w:style>
  <w:style w:type="paragraph" w:styleId="Heading8">
    <w:name w:val="heading 8"/>
    <w:basedOn w:val="Normal"/>
    <w:next w:val="Normal"/>
    <w:link w:val="Heading8Char"/>
    <w:qFormat/>
    <w:rsid w:val="002E7538"/>
    <w:pPr>
      <w:ind w:left="720"/>
      <w:outlineLvl w:val="7"/>
    </w:pPr>
    <w:rPr>
      <w:i/>
    </w:rPr>
  </w:style>
  <w:style w:type="paragraph" w:styleId="Heading9">
    <w:name w:val="heading 9"/>
    <w:basedOn w:val="Normal"/>
    <w:next w:val="Normal"/>
    <w:link w:val="Heading9Char"/>
    <w:qFormat/>
    <w:rsid w:val="002E7538"/>
    <w:pPr>
      <w:ind w:left="720"/>
      <w:outlineLvl w:val="8"/>
    </w:pPr>
    <w:rPr>
      <w:i/>
    </w:rPr>
  </w:style>
  <w:style w:type="character" w:default="1" w:styleId="DefaultParagraphFont">
    <w:name w:val="Default Paragraph Font"/>
    <w:uiPriority w:val="1"/>
    <w:unhideWhenUsed/>
    <w:rsid w:val="002E75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7538"/>
  </w:style>
  <w:style w:type="character" w:customStyle="1" w:styleId="Heading1Char">
    <w:name w:val="Heading 1 Char"/>
    <w:basedOn w:val="DefaultParagraphFont"/>
    <w:link w:val="Heading1"/>
    <w:rsid w:val="002E7538"/>
    <w:rPr>
      <w:rFonts w:ascii="Times New Roman" w:eastAsia="Times New Roman" w:hAnsi="Times New Roman" w:cs="Times New Roman"/>
      <w:b/>
      <w:sz w:val="32"/>
      <w:szCs w:val="20"/>
      <w:lang w:eastAsia="en-US"/>
    </w:rPr>
  </w:style>
  <w:style w:type="paragraph" w:styleId="BodyText">
    <w:name w:val="Body Text"/>
    <w:basedOn w:val="Normal"/>
    <w:link w:val="BodyTextChar"/>
    <w:rsid w:val="002E75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7538"/>
    <w:rPr>
      <w:rFonts w:ascii="Times New Roman" w:eastAsia="Times New Roman" w:hAnsi="Times New Roman" w:cs="Times New Roman"/>
      <w:sz w:val="24"/>
      <w:lang w:eastAsia="en-US"/>
    </w:rPr>
  </w:style>
  <w:style w:type="paragraph" w:styleId="ListBullet">
    <w:name w:val="List Bullet"/>
    <w:basedOn w:val="List"/>
    <w:rsid w:val="002E7538"/>
    <w:pPr>
      <w:numPr>
        <w:numId w:val="12"/>
      </w:numPr>
      <w:tabs>
        <w:tab w:val="clear" w:pos="340"/>
      </w:tabs>
      <w:spacing w:before="40" w:after="40"/>
    </w:pPr>
  </w:style>
  <w:style w:type="character" w:customStyle="1" w:styleId="SpecialBold">
    <w:name w:val="Special Bold"/>
    <w:basedOn w:val="DefaultParagraphFont"/>
    <w:rsid w:val="002E7538"/>
    <w:rPr>
      <w:b/>
      <w:spacing w:val="0"/>
    </w:rPr>
  </w:style>
  <w:style w:type="paragraph" w:styleId="ListBullet2">
    <w:name w:val="List Bullet 2"/>
    <w:basedOn w:val="List2"/>
    <w:rsid w:val="002E7538"/>
    <w:pPr>
      <w:numPr>
        <w:numId w:val="13"/>
      </w:numPr>
      <w:tabs>
        <w:tab w:val="clear" w:pos="680"/>
      </w:tabs>
    </w:pPr>
  </w:style>
  <w:style w:type="paragraph" w:customStyle="1" w:styleId="SuperHeading">
    <w:name w:val="SuperHeading"/>
    <w:basedOn w:val="Normal"/>
    <w:rsid w:val="002E7538"/>
    <w:pPr>
      <w:spacing w:before="240" w:after="120"/>
      <w:outlineLvl w:val="0"/>
    </w:pPr>
    <w:rPr>
      <w:rFonts w:ascii="Times New Roman" w:hAnsi="Times New Roman"/>
      <w:b/>
      <w:sz w:val="32"/>
    </w:rPr>
  </w:style>
  <w:style w:type="paragraph" w:customStyle="1" w:styleId="AllowPageBreak">
    <w:name w:val="AllowPageBreak"/>
    <w:rsid w:val="002E75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75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75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75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75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75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75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75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7538"/>
    <w:rPr>
      <w:rFonts w:ascii="Courier New" w:eastAsia="Times New Roman" w:hAnsi="Courier New" w:cs="Times New Roman"/>
      <w:i/>
      <w:szCs w:val="20"/>
      <w:lang w:eastAsia="en-US"/>
    </w:rPr>
  </w:style>
  <w:style w:type="paragraph" w:customStyle="1" w:styleId="HeadingBase">
    <w:name w:val="Heading Base"/>
    <w:rsid w:val="002E75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7538"/>
    <w:pPr>
      <w:tabs>
        <w:tab w:val="right" w:leader="dot" w:pos="9072"/>
      </w:tabs>
      <w:ind w:left="567"/>
    </w:pPr>
    <w:rPr>
      <w:szCs w:val="22"/>
    </w:rPr>
  </w:style>
  <w:style w:type="paragraph" w:customStyle="1" w:styleId="TOCBase">
    <w:name w:val="TOC Base"/>
    <w:rsid w:val="002E75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7538"/>
    <w:pPr>
      <w:tabs>
        <w:tab w:val="right" w:leader="dot" w:pos="9072"/>
      </w:tabs>
      <w:spacing w:before="40" w:after="40"/>
      <w:ind w:left="284"/>
    </w:pPr>
    <w:rPr>
      <w:rFonts w:ascii="Times New Roman" w:hAnsi="Times New Roman"/>
    </w:rPr>
  </w:style>
  <w:style w:type="paragraph" w:styleId="TOC1">
    <w:name w:val="toc 1"/>
    <w:basedOn w:val="TOCBase"/>
    <w:next w:val="Normal"/>
    <w:rsid w:val="002E75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75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7538"/>
    <w:rPr>
      <w:rFonts w:ascii="Times New Roman" w:eastAsia="Times New Roman" w:hAnsi="Times New Roman" w:cs="Times New Roman"/>
      <w:sz w:val="16"/>
      <w:lang w:eastAsia="en-US"/>
    </w:rPr>
  </w:style>
  <w:style w:type="paragraph" w:styleId="Title">
    <w:name w:val="Title"/>
    <w:basedOn w:val="HeadingBase"/>
    <w:link w:val="TitleChar"/>
    <w:qFormat/>
    <w:rsid w:val="002E7538"/>
    <w:pPr>
      <w:spacing w:before="5040"/>
      <w:jc w:val="center"/>
    </w:pPr>
    <w:rPr>
      <w:sz w:val="48"/>
      <w:szCs w:val="72"/>
      <w:lang w:val="en-US"/>
    </w:rPr>
  </w:style>
  <w:style w:type="character" w:customStyle="1" w:styleId="TitleChar">
    <w:name w:val="Title Char"/>
    <w:basedOn w:val="DefaultParagraphFont"/>
    <w:link w:val="Title"/>
    <w:rsid w:val="002E75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7538"/>
    <w:pPr>
      <w:tabs>
        <w:tab w:val="left" w:pos="3600"/>
        <w:tab w:val="left" w:pos="3958"/>
      </w:tabs>
    </w:pPr>
  </w:style>
  <w:style w:type="paragraph" w:styleId="List">
    <w:name w:val="List"/>
    <w:basedOn w:val="BodyText"/>
    <w:next w:val="BodyText"/>
    <w:rsid w:val="002E7538"/>
    <w:pPr>
      <w:tabs>
        <w:tab w:val="left" w:pos="340"/>
      </w:tabs>
      <w:spacing w:before="60" w:after="60"/>
      <w:ind w:left="340" w:hanging="340"/>
    </w:pPr>
  </w:style>
  <w:style w:type="paragraph" w:customStyle="1" w:styleId="Note">
    <w:name w:val="Note"/>
    <w:basedOn w:val="BodyText"/>
    <w:rsid w:val="002E75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7538"/>
    <w:pPr>
      <w:framePr w:wrap="auto" w:hAnchor="text" w:y="6049"/>
    </w:pPr>
    <w:rPr>
      <w:color w:val="000000"/>
      <w:sz w:val="40"/>
    </w:rPr>
  </w:style>
  <w:style w:type="paragraph" w:customStyle="1" w:styleId="TOCTitle">
    <w:name w:val="TOCTitle"/>
    <w:basedOn w:val="Heading1"/>
    <w:rsid w:val="002E7538"/>
    <w:pPr>
      <w:spacing w:after="240"/>
      <w:jc w:val="center"/>
      <w:outlineLvl w:val="9"/>
    </w:pPr>
    <w:rPr>
      <w:caps/>
    </w:rPr>
  </w:style>
  <w:style w:type="paragraph" w:customStyle="1" w:styleId="Version">
    <w:name w:val="Version"/>
    <w:rsid w:val="002E75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7538"/>
    <w:pPr>
      <w:keepNext w:val="0"/>
      <w:tabs>
        <w:tab w:val="right" w:pos="4176"/>
      </w:tabs>
      <w:ind w:left="198" w:hanging="198"/>
    </w:pPr>
    <w:rPr>
      <w:rFonts w:ascii="Garamond" w:hAnsi="Garamond"/>
    </w:rPr>
  </w:style>
  <w:style w:type="paragraph" w:styleId="IndexHeading">
    <w:name w:val="index heading"/>
    <w:basedOn w:val="Normal"/>
    <w:next w:val="Index1"/>
    <w:semiHidden/>
    <w:rsid w:val="002E7538"/>
    <w:pPr>
      <w:spacing w:before="120" w:after="120"/>
    </w:pPr>
    <w:rPr>
      <w:rFonts w:ascii="Arial" w:hAnsi="Arial"/>
      <w:b/>
      <w:color w:val="918585"/>
      <w:sz w:val="24"/>
    </w:rPr>
  </w:style>
  <w:style w:type="paragraph" w:styleId="Header">
    <w:name w:val="header"/>
    <w:basedOn w:val="Normal"/>
    <w:link w:val="HeaderChar"/>
    <w:rsid w:val="002E75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7538"/>
    <w:rPr>
      <w:rFonts w:ascii="Times New Roman" w:eastAsia="Times New Roman" w:hAnsi="Times New Roman" w:cs="Times New Roman"/>
      <w:sz w:val="16"/>
      <w:szCs w:val="20"/>
      <w:lang w:val="en-GB" w:eastAsia="en-US"/>
    </w:rPr>
  </w:style>
  <w:style w:type="paragraph" w:customStyle="1" w:styleId="Chapter">
    <w:name w:val="Chapter"/>
    <w:basedOn w:val="Normal"/>
    <w:rsid w:val="002E7538"/>
    <w:pPr>
      <w:spacing w:before="240"/>
    </w:pPr>
    <w:rPr>
      <w:rFonts w:ascii="Times New Roman" w:hAnsi="Times New Roman"/>
      <w:smallCaps/>
      <w:spacing w:val="80"/>
      <w:sz w:val="28"/>
    </w:rPr>
  </w:style>
  <w:style w:type="paragraph" w:customStyle="1" w:styleId="InChapter">
    <w:name w:val="InChapter"/>
    <w:basedOn w:val="Heading3"/>
    <w:rsid w:val="002E7538"/>
    <w:pPr>
      <w:spacing w:after="240"/>
      <w:outlineLvl w:val="9"/>
    </w:pPr>
    <w:rPr>
      <w:noProof/>
    </w:rPr>
  </w:style>
  <w:style w:type="paragraph" w:styleId="Index2">
    <w:name w:val="index 2"/>
    <w:basedOn w:val="Normal"/>
    <w:next w:val="Normal"/>
    <w:semiHidden/>
    <w:rsid w:val="002E7538"/>
    <w:pPr>
      <w:tabs>
        <w:tab w:val="right" w:pos="4176"/>
      </w:tabs>
      <w:ind w:left="568" w:hanging="284"/>
    </w:pPr>
    <w:rPr>
      <w:rFonts w:ascii="Garamond" w:hAnsi="Garamond"/>
    </w:rPr>
  </w:style>
  <w:style w:type="paragraph" w:customStyle="1" w:styleId="Byline">
    <w:name w:val="Byline"/>
    <w:rsid w:val="002E75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7538"/>
    <w:pPr>
      <w:tabs>
        <w:tab w:val="clear" w:pos="3600"/>
        <w:tab w:val="clear" w:pos="3958"/>
      </w:tabs>
      <w:jc w:val="right"/>
    </w:pPr>
  </w:style>
  <w:style w:type="character" w:styleId="Emphasis">
    <w:name w:val="Emphasis"/>
    <w:basedOn w:val="DefaultParagraphFont"/>
    <w:qFormat/>
    <w:rsid w:val="002E7538"/>
    <w:rPr>
      <w:i/>
    </w:rPr>
  </w:style>
  <w:style w:type="paragraph" w:styleId="Caption">
    <w:name w:val="caption"/>
    <w:basedOn w:val="BodyText"/>
    <w:next w:val="Normal"/>
    <w:qFormat/>
    <w:rsid w:val="002E7538"/>
    <w:pPr>
      <w:framePr w:w="2268" w:hSpace="181" w:vSpace="181" w:wrap="around" w:vAnchor="text" w:hAnchor="page" w:x="1135" w:y="285" w:anchorLock="1"/>
    </w:pPr>
    <w:rPr>
      <w:i/>
    </w:rPr>
  </w:style>
  <w:style w:type="paragraph" w:customStyle="1" w:styleId="MiniTOCTitle">
    <w:name w:val="MiniTOCTitle"/>
    <w:basedOn w:val="Heading4"/>
    <w:rsid w:val="002E7538"/>
    <w:pPr>
      <w:spacing w:before="240"/>
      <w:outlineLvl w:val="9"/>
    </w:pPr>
    <w:rPr>
      <w:noProof/>
      <w:sz w:val="24"/>
    </w:rPr>
  </w:style>
  <w:style w:type="paragraph" w:customStyle="1" w:styleId="MiniTOCItem">
    <w:name w:val="MiniTOCItem"/>
    <w:basedOn w:val="ListBullet"/>
    <w:rsid w:val="002E7538"/>
    <w:pPr>
      <w:numPr>
        <w:numId w:val="0"/>
      </w:numPr>
      <w:tabs>
        <w:tab w:val="right" w:leader="dot" w:pos="6521"/>
      </w:tabs>
      <w:spacing w:before="0" w:after="0"/>
    </w:pPr>
  </w:style>
  <w:style w:type="paragraph" w:customStyle="1" w:styleId="TOFTitle">
    <w:name w:val="TOFTitle"/>
    <w:basedOn w:val="TOCTitle"/>
    <w:rsid w:val="002E7538"/>
  </w:style>
  <w:style w:type="paragraph" w:styleId="TableofFigures">
    <w:name w:val="table of figures"/>
    <w:basedOn w:val="Normal"/>
    <w:next w:val="Normal"/>
    <w:semiHidden/>
    <w:rsid w:val="002E7538"/>
    <w:pPr>
      <w:tabs>
        <w:tab w:val="right" w:leader="dot" w:pos="9072"/>
      </w:tabs>
      <w:ind w:left="970" w:hanging="403"/>
    </w:pPr>
    <w:rPr>
      <w:rFonts w:ascii="Times New Roman" w:hAnsi="Times New Roman"/>
      <w:b/>
    </w:rPr>
  </w:style>
  <w:style w:type="paragraph" w:styleId="ListNumber">
    <w:name w:val="List Number"/>
    <w:basedOn w:val="List"/>
    <w:rsid w:val="002E7538"/>
    <w:pPr>
      <w:numPr>
        <w:numId w:val="15"/>
      </w:numPr>
      <w:tabs>
        <w:tab w:val="clear" w:pos="340"/>
      </w:tabs>
    </w:pPr>
  </w:style>
  <w:style w:type="character" w:customStyle="1" w:styleId="WingdingSymbols">
    <w:name w:val="Wingding Symbols"/>
    <w:rsid w:val="002E7538"/>
    <w:rPr>
      <w:rFonts w:ascii="Wingdings" w:hAnsi="Wingdings"/>
    </w:rPr>
  </w:style>
  <w:style w:type="paragraph" w:customStyle="1" w:styleId="TableHeading">
    <w:name w:val="Table Heading"/>
    <w:basedOn w:val="HeadingBase"/>
    <w:rsid w:val="002E7538"/>
    <w:pPr>
      <w:keepLines/>
      <w:pBdr>
        <w:bottom w:val="single" w:sz="6" w:space="1" w:color="918585"/>
      </w:pBdr>
      <w:spacing w:before="240"/>
    </w:pPr>
  </w:style>
  <w:style w:type="character" w:customStyle="1" w:styleId="HotSpot">
    <w:name w:val="HotSpot"/>
    <w:rsid w:val="002E7538"/>
    <w:rPr>
      <w:color w:val="0033CC"/>
      <w:u w:val="none"/>
    </w:rPr>
  </w:style>
  <w:style w:type="paragraph" w:customStyle="1" w:styleId="BodyTextRight">
    <w:name w:val="Body Text Right"/>
    <w:basedOn w:val="BodyText"/>
    <w:rsid w:val="002E7538"/>
    <w:pPr>
      <w:spacing w:before="0" w:after="0"/>
      <w:jc w:val="right"/>
    </w:pPr>
  </w:style>
  <w:style w:type="paragraph" w:styleId="Index3">
    <w:name w:val="index 3"/>
    <w:basedOn w:val="ListNumber2"/>
    <w:next w:val="Normal"/>
    <w:semiHidden/>
    <w:rsid w:val="002E7538"/>
    <w:pPr>
      <w:numPr>
        <w:numId w:val="0"/>
      </w:numPr>
      <w:tabs>
        <w:tab w:val="right" w:leader="dot" w:pos="4176"/>
      </w:tabs>
    </w:pPr>
  </w:style>
  <w:style w:type="paragraph" w:styleId="ListNumber2">
    <w:name w:val="List Number 2"/>
    <w:basedOn w:val="List2"/>
    <w:rsid w:val="002E7538"/>
    <w:pPr>
      <w:numPr>
        <w:numId w:val="10"/>
      </w:numPr>
      <w:tabs>
        <w:tab w:val="clear" w:pos="1060"/>
      </w:tabs>
    </w:pPr>
  </w:style>
  <w:style w:type="paragraph" w:customStyle="1" w:styleId="MarginNote">
    <w:name w:val="Margin Note"/>
    <w:basedOn w:val="BodyText"/>
    <w:rsid w:val="002E75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75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75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7538"/>
    <w:rPr>
      <w:sz w:val="32"/>
    </w:rPr>
  </w:style>
  <w:style w:type="paragraph" w:customStyle="1" w:styleId="HeadingProcedure">
    <w:name w:val="Heading Procedure"/>
    <w:basedOn w:val="HeadingBase"/>
    <w:next w:val="Normal"/>
    <w:rsid w:val="002E7538"/>
    <w:pPr>
      <w:tabs>
        <w:tab w:val="left" w:pos="0"/>
      </w:tabs>
      <w:spacing w:before="120" w:after="60"/>
    </w:pPr>
    <w:rPr>
      <w:i/>
      <w:color w:val="918585"/>
      <w:sz w:val="22"/>
    </w:rPr>
  </w:style>
  <w:style w:type="paragraph" w:customStyle="1" w:styleId="TableBodyText">
    <w:name w:val="Table Body Text"/>
    <w:basedOn w:val="BodyText"/>
    <w:rsid w:val="002E7538"/>
    <w:pPr>
      <w:spacing w:before="60" w:after="60"/>
    </w:pPr>
  </w:style>
  <w:style w:type="paragraph" w:styleId="ListContinue">
    <w:name w:val="List Continue"/>
    <w:basedOn w:val="List"/>
    <w:rsid w:val="002E7538"/>
    <w:pPr>
      <w:ind w:firstLine="0"/>
    </w:pPr>
  </w:style>
  <w:style w:type="paragraph" w:customStyle="1" w:styleId="ListNote">
    <w:name w:val="List Note"/>
    <w:basedOn w:val="List"/>
    <w:rsid w:val="002E7538"/>
    <w:pPr>
      <w:pBdr>
        <w:top w:val="single" w:sz="6" w:space="2" w:color="918585"/>
        <w:bottom w:val="single" w:sz="6" w:space="2" w:color="918585"/>
      </w:pBdr>
      <w:tabs>
        <w:tab w:val="left" w:pos="1021"/>
      </w:tabs>
      <w:ind w:firstLine="0"/>
    </w:pPr>
  </w:style>
  <w:style w:type="paragraph" w:customStyle="1" w:styleId="Warning">
    <w:name w:val="Warning"/>
    <w:basedOn w:val="BodyText"/>
    <w:rsid w:val="002E7538"/>
    <w:pPr>
      <w:shd w:val="clear" w:color="auto" w:fill="D9D9D9"/>
      <w:tabs>
        <w:tab w:val="left" w:pos="992"/>
      </w:tabs>
      <w:ind w:left="119" w:right="119"/>
    </w:pPr>
    <w:rPr>
      <w:sz w:val="20"/>
    </w:rPr>
  </w:style>
  <w:style w:type="paragraph" w:customStyle="1" w:styleId="MarginIcons">
    <w:name w:val="Margin Icons"/>
    <w:basedOn w:val="BodyText"/>
    <w:rsid w:val="002E75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7538"/>
    <w:rPr>
      <w:rFonts w:ascii="Courier New" w:hAnsi="Courier New"/>
    </w:rPr>
  </w:style>
  <w:style w:type="paragraph" w:customStyle="1" w:styleId="NoteBullet">
    <w:name w:val="Note Bullet"/>
    <w:basedOn w:val="Note"/>
    <w:rsid w:val="002E7538"/>
    <w:pPr>
      <w:tabs>
        <w:tab w:val="clear" w:pos="680"/>
      </w:tabs>
      <w:spacing w:before="60" w:after="60"/>
    </w:pPr>
  </w:style>
  <w:style w:type="paragraph" w:customStyle="1" w:styleId="SubHeading2">
    <w:name w:val="SubHeading2"/>
    <w:basedOn w:val="HeadingBase"/>
    <w:rsid w:val="002E7538"/>
    <w:pPr>
      <w:spacing w:before="240" w:after="60"/>
    </w:pPr>
    <w:rPr>
      <w:sz w:val="20"/>
    </w:rPr>
  </w:style>
  <w:style w:type="paragraph" w:customStyle="1" w:styleId="SubHeading1">
    <w:name w:val="SubHeading1"/>
    <w:basedOn w:val="HeadingBase"/>
    <w:rsid w:val="002E7538"/>
    <w:pPr>
      <w:spacing w:before="240" w:after="60"/>
    </w:pPr>
    <w:rPr>
      <w:color w:val="918585"/>
      <w:sz w:val="22"/>
    </w:rPr>
  </w:style>
  <w:style w:type="paragraph" w:customStyle="1" w:styleId="SideHeading">
    <w:name w:val="Side Heading"/>
    <w:basedOn w:val="HeadingBase"/>
    <w:rsid w:val="002E75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7538"/>
    <w:pPr>
      <w:tabs>
        <w:tab w:val="num" w:pos="360"/>
      </w:tabs>
    </w:pPr>
  </w:style>
  <w:style w:type="paragraph" w:styleId="PlainText">
    <w:name w:val="Plain Text"/>
    <w:basedOn w:val="Normal"/>
    <w:link w:val="PlainTextChar"/>
    <w:rsid w:val="002E7538"/>
    <w:rPr>
      <w:sz w:val="20"/>
    </w:rPr>
  </w:style>
  <w:style w:type="character" w:customStyle="1" w:styleId="PlainTextChar">
    <w:name w:val="Plain Text Char"/>
    <w:basedOn w:val="DefaultParagraphFont"/>
    <w:link w:val="PlainText"/>
    <w:rsid w:val="002E7538"/>
    <w:rPr>
      <w:rFonts w:ascii="Courier New" w:eastAsia="Times New Roman" w:hAnsi="Courier New" w:cs="Times New Roman"/>
      <w:sz w:val="20"/>
      <w:szCs w:val="20"/>
      <w:lang w:eastAsia="en-US"/>
    </w:rPr>
  </w:style>
  <w:style w:type="character" w:customStyle="1" w:styleId="MenuOption">
    <w:name w:val="Menu Option"/>
    <w:basedOn w:val="DefaultParagraphFont"/>
    <w:rsid w:val="002E7538"/>
    <w:rPr>
      <w:b/>
      <w:smallCaps/>
    </w:rPr>
  </w:style>
  <w:style w:type="paragraph" w:customStyle="1" w:styleId="TableListNumber">
    <w:name w:val="Table List Number"/>
    <w:basedOn w:val="ListNumber"/>
    <w:rsid w:val="002E7538"/>
    <w:pPr>
      <w:numPr>
        <w:numId w:val="0"/>
      </w:numPr>
    </w:pPr>
  </w:style>
  <w:style w:type="paragraph" w:styleId="TOC4">
    <w:name w:val="toc 4"/>
    <w:basedOn w:val="TOCBase"/>
    <w:next w:val="Normal"/>
    <w:semiHidden/>
    <w:rsid w:val="002E7538"/>
    <w:pPr>
      <w:tabs>
        <w:tab w:val="right" w:leader="dot" w:pos="9071"/>
      </w:tabs>
      <w:ind w:left="1701"/>
    </w:pPr>
  </w:style>
  <w:style w:type="paragraph" w:customStyle="1" w:styleId="ListAlpha">
    <w:name w:val="List Alpha"/>
    <w:basedOn w:val="List"/>
    <w:rsid w:val="002E7538"/>
    <w:pPr>
      <w:numPr>
        <w:numId w:val="9"/>
      </w:numPr>
    </w:pPr>
  </w:style>
  <w:style w:type="paragraph" w:customStyle="1" w:styleId="ListAlpha2">
    <w:name w:val="List Alpha 2"/>
    <w:basedOn w:val="List2"/>
    <w:rsid w:val="002E7538"/>
    <w:pPr>
      <w:numPr>
        <w:numId w:val="8"/>
      </w:numPr>
    </w:pPr>
  </w:style>
  <w:style w:type="paragraph" w:styleId="List2">
    <w:name w:val="List 2"/>
    <w:basedOn w:val="BodyText"/>
    <w:rsid w:val="002E7538"/>
    <w:pPr>
      <w:tabs>
        <w:tab w:val="left" w:pos="680"/>
      </w:tabs>
      <w:spacing w:before="60" w:after="60"/>
      <w:ind w:left="680" w:hanging="340"/>
    </w:pPr>
  </w:style>
  <w:style w:type="paragraph" w:styleId="List3">
    <w:name w:val="List 3"/>
    <w:basedOn w:val="BodyText"/>
    <w:rsid w:val="002E7538"/>
    <w:pPr>
      <w:tabs>
        <w:tab w:val="left" w:pos="1021"/>
      </w:tabs>
      <w:spacing w:before="60" w:after="60"/>
      <w:ind w:left="1020" w:hanging="340"/>
    </w:pPr>
  </w:style>
  <w:style w:type="paragraph" w:styleId="List4">
    <w:name w:val="List 4"/>
    <w:basedOn w:val="BodyText"/>
    <w:rsid w:val="002E7538"/>
    <w:pPr>
      <w:tabs>
        <w:tab w:val="left" w:pos="1361"/>
      </w:tabs>
      <w:spacing w:before="60" w:after="60"/>
      <w:ind w:left="1361" w:hanging="340"/>
    </w:pPr>
  </w:style>
  <w:style w:type="paragraph" w:styleId="List5">
    <w:name w:val="List 5"/>
    <w:basedOn w:val="BodyText"/>
    <w:rsid w:val="002E7538"/>
    <w:pPr>
      <w:tabs>
        <w:tab w:val="left" w:pos="1701"/>
      </w:tabs>
      <w:spacing w:before="60" w:after="60"/>
      <w:ind w:left="1701" w:hanging="340"/>
    </w:pPr>
  </w:style>
  <w:style w:type="paragraph" w:styleId="ListBullet3">
    <w:name w:val="List Bullet 3"/>
    <w:basedOn w:val="List3"/>
    <w:rsid w:val="002E7538"/>
    <w:pPr>
      <w:numPr>
        <w:numId w:val="14"/>
      </w:numPr>
      <w:tabs>
        <w:tab w:val="clear" w:pos="1021"/>
      </w:tabs>
      <w:ind w:left="1037" w:hanging="357"/>
    </w:pPr>
  </w:style>
  <w:style w:type="paragraph" w:styleId="ListBullet4">
    <w:name w:val="List Bullet 4"/>
    <w:basedOn w:val="List4"/>
    <w:rsid w:val="002E7538"/>
    <w:pPr>
      <w:numPr>
        <w:numId w:val="3"/>
      </w:numPr>
      <w:tabs>
        <w:tab w:val="clear" w:pos="1361"/>
      </w:tabs>
    </w:pPr>
  </w:style>
  <w:style w:type="paragraph" w:styleId="ListBullet5">
    <w:name w:val="List Bullet 5"/>
    <w:basedOn w:val="List5"/>
    <w:rsid w:val="002E7538"/>
    <w:pPr>
      <w:numPr>
        <w:numId w:val="4"/>
      </w:numPr>
    </w:pPr>
  </w:style>
  <w:style w:type="paragraph" w:styleId="ListContinue2">
    <w:name w:val="List Continue 2"/>
    <w:basedOn w:val="List2"/>
    <w:rsid w:val="002E7538"/>
    <w:pPr>
      <w:ind w:firstLine="0"/>
    </w:pPr>
  </w:style>
  <w:style w:type="paragraph" w:styleId="ListContinue3">
    <w:name w:val="List Continue 3"/>
    <w:basedOn w:val="List3"/>
    <w:rsid w:val="002E7538"/>
    <w:pPr>
      <w:ind w:left="1021" w:firstLine="0"/>
    </w:pPr>
  </w:style>
  <w:style w:type="paragraph" w:styleId="ListContinue4">
    <w:name w:val="List Continue 4"/>
    <w:basedOn w:val="List4"/>
    <w:rsid w:val="002E7538"/>
    <w:pPr>
      <w:ind w:firstLine="0"/>
    </w:pPr>
  </w:style>
  <w:style w:type="paragraph" w:styleId="ListContinue5">
    <w:name w:val="List Continue 5"/>
    <w:basedOn w:val="List5"/>
    <w:rsid w:val="002E7538"/>
    <w:pPr>
      <w:ind w:firstLine="0"/>
    </w:pPr>
  </w:style>
  <w:style w:type="paragraph" w:styleId="ListNumber3">
    <w:name w:val="List Number 3"/>
    <w:basedOn w:val="List3"/>
    <w:rsid w:val="002E7538"/>
    <w:pPr>
      <w:numPr>
        <w:numId w:val="5"/>
      </w:numPr>
    </w:pPr>
  </w:style>
  <w:style w:type="paragraph" w:styleId="ListNumber4">
    <w:name w:val="List Number 4"/>
    <w:basedOn w:val="List4"/>
    <w:rsid w:val="002E7538"/>
    <w:pPr>
      <w:numPr>
        <w:numId w:val="6"/>
      </w:numPr>
    </w:pPr>
  </w:style>
  <w:style w:type="paragraph" w:styleId="ListNumber5">
    <w:name w:val="List Number 5"/>
    <w:basedOn w:val="List5"/>
    <w:rsid w:val="002E7538"/>
    <w:pPr>
      <w:numPr>
        <w:numId w:val="7"/>
      </w:numPr>
    </w:pPr>
  </w:style>
  <w:style w:type="paragraph" w:styleId="BlockText">
    <w:name w:val="Block Text"/>
    <w:basedOn w:val="Normal"/>
    <w:rsid w:val="002E7538"/>
    <w:pPr>
      <w:spacing w:after="120"/>
      <w:ind w:left="1440" w:right="1440"/>
    </w:pPr>
  </w:style>
  <w:style w:type="character" w:customStyle="1" w:styleId="Subscript">
    <w:name w:val="Subscript"/>
    <w:basedOn w:val="DefaultParagraphFont"/>
    <w:rsid w:val="002E7538"/>
    <w:rPr>
      <w:sz w:val="16"/>
      <w:vertAlign w:val="subscript"/>
    </w:rPr>
  </w:style>
  <w:style w:type="character" w:customStyle="1" w:styleId="Superscript">
    <w:name w:val="Superscript"/>
    <w:basedOn w:val="DefaultParagraphFont"/>
    <w:rsid w:val="002E7538"/>
    <w:rPr>
      <w:sz w:val="16"/>
      <w:vertAlign w:val="superscript"/>
    </w:rPr>
  </w:style>
  <w:style w:type="character" w:customStyle="1" w:styleId="Symbols">
    <w:name w:val="Symbols"/>
    <w:basedOn w:val="DefaultParagraphFont"/>
    <w:rsid w:val="002E7538"/>
    <w:rPr>
      <w:rFonts w:ascii="Symbol" w:hAnsi="Symbol"/>
    </w:rPr>
  </w:style>
  <w:style w:type="character" w:customStyle="1" w:styleId="MenuOptions">
    <w:name w:val="Menu Options"/>
    <w:basedOn w:val="DefaultParagraphFont"/>
    <w:rsid w:val="002E7538"/>
    <w:rPr>
      <w:rFonts w:ascii="Arial Narrow" w:hAnsi="Arial Narrow"/>
      <w:smallCaps/>
    </w:rPr>
  </w:style>
  <w:style w:type="character" w:customStyle="1" w:styleId="Buttons">
    <w:name w:val="Buttons"/>
    <w:basedOn w:val="DefaultParagraphFont"/>
    <w:rsid w:val="002E7538"/>
    <w:rPr>
      <w:b/>
    </w:rPr>
  </w:style>
  <w:style w:type="character" w:customStyle="1" w:styleId="Underlined">
    <w:name w:val="Underlined"/>
    <w:basedOn w:val="DefaultParagraphFont"/>
    <w:rsid w:val="002E7538"/>
    <w:rPr>
      <w:u w:val="single"/>
    </w:rPr>
  </w:style>
  <w:style w:type="paragraph" w:customStyle="1" w:styleId="TableBodyTextRight">
    <w:name w:val="Table Body Text Right"/>
    <w:basedOn w:val="TableBodyText"/>
    <w:rsid w:val="002E7538"/>
    <w:pPr>
      <w:widowControl w:val="0"/>
      <w:autoSpaceDE w:val="0"/>
      <w:autoSpaceDN w:val="0"/>
      <w:adjustRightInd w:val="0"/>
      <w:jc w:val="right"/>
    </w:pPr>
    <w:rPr>
      <w:rFonts w:cs="Arial"/>
      <w:szCs w:val="18"/>
    </w:rPr>
  </w:style>
  <w:style w:type="paragraph" w:customStyle="1" w:styleId="CopyrightText">
    <w:name w:val="Copyright Text"/>
    <w:basedOn w:val="BodyText"/>
    <w:rsid w:val="002E7538"/>
    <w:rPr>
      <w:sz w:val="18"/>
    </w:rPr>
  </w:style>
  <w:style w:type="paragraph" w:customStyle="1" w:styleId="BodySmallRight">
    <w:name w:val="Body Small Right"/>
    <w:basedOn w:val="BodyTextRight"/>
    <w:rsid w:val="002E7538"/>
    <w:rPr>
      <w:sz w:val="18"/>
      <w:szCs w:val="18"/>
    </w:rPr>
  </w:style>
  <w:style w:type="paragraph" w:customStyle="1" w:styleId="MarginEdition">
    <w:name w:val="Margin Edition"/>
    <w:basedOn w:val="MarginNote"/>
    <w:rsid w:val="002E7538"/>
    <w:pPr>
      <w:spacing w:before="0" w:after="0"/>
    </w:pPr>
    <w:rPr>
      <w:rFonts w:ascii="Times New Roman" w:hAnsi="Times New Roman"/>
      <w:color w:val="999999"/>
    </w:rPr>
  </w:style>
  <w:style w:type="paragraph" w:customStyle="1" w:styleId="Spacer">
    <w:name w:val="Spacer"/>
    <w:basedOn w:val="Normal"/>
    <w:rsid w:val="002E7538"/>
    <w:rPr>
      <w:sz w:val="2"/>
      <w:szCs w:val="2"/>
    </w:rPr>
  </w:style>
  <w:style w:type="character" w:customStyle="1" w:styleId="Small">
    <w:name w:val="Small"/>
    <w:basedOn w:val="DefaultParagraphFont"/>
    <w:rsid w:val="002E7538"/>
    <w:rPr>
      <w:sz w:val="16"/>
    </w:rPr>
  </w:style>
  <w:style w:type="paragraph" w:customStyle="1" w:styleId="WideTable">
    <w:name w:val="Wide Table"/>
    <w:basedOn w:val="Normal"/>
    <w:rsid w:val="002E7538"/>
    <w:pPr>
      <w:ind w:left="-1418"/>
    </w:pPr>
    <w:rPr>
      <w:sz w:val="2"/>
      <w:szCs w:val="2"/>
    </w:rPr>
  </w:style>
  <w:style w:type="character" w:styleId="PageNumber">
    <w:name w:val="page number"/>
    <w:basedOn w:val="DefaultParagraphFont"/>
    <w:rsid w:val="002E7538"/>
  </w:style>
  <w:style w:type="paragraph" w:styleId="Quote">
    <w:name w:val="Quote"/>
    <w:basedOn w:val="Heading1"/>
    <w:link w:val="QuoteChar"/>
    <w:qFormat/>
    <w:rsid w:val="002E7538"/>
    <w:rPr>
      <w:b w:val="0"/>
      <w:sz w:val="72"/>
      <w:szCs w:val="72"/>
      <w:lang w:val="en-NZ"/>
    </w:rPr>
  </w:style>
  <w:style w:type="character" w:customStyle="1" w:styleId="QuoteChar">
    <w:name w:val="Quote Char"/>
    <w:basedOn w:val="DefaultParagraphFont"/>
    <w:link w:val="Quote"/>
    <w:rsid w:val="002E75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7538"/>
    <w:pPr>
      <w:pageBreakBefore/>
    </w:pPr>
  </w:style>
  <w:style w:type="paragraph" w:customStyle="1" w:styleId="Border">
    <w:name w:val="Border"/>
    <w:basedOn w:val="Normal"/>
    <w:qFormat/>
    <w:rsid w:val="002E75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7538"/>
    <w:rPr>
      <w:b/>
      <w:bCs/>
      <w:i/>
      <w:iCs/>
      <w:color w:val="auto"/>
    </w:rPr>
  </w:style>
  <w:style w:type="paragraph" w:styleId="IntenseQuote">
    <w:name w:val="Intense Quote"/>
    <w:basedOn w:val="Normal"/>
    <w:next w:val="Normal"/>
    <w:link w:val="IntenseQuoteChar"/>
    <w:uiPriority w:val="30"/>
    <w:qFormat/>
    <w:rsid w:val="002E75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75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7538"/>
    <w:rPr>
      <w:smallCaps/>
      <w:color w:val="auto"/>
      <w:u w:val="single"/>
    </w:rPr>
  </w:style>
  <w:style w:type="character" w:styleId="IntenseReference">
    <w:name w:val="Intense Reference"/>
    <w:basedOn w:val="DefaultParagraphFont"/>
    <w:uiPriority w:val="32"/>
    <w:qFormat/>
    <w:rsid w:val="002E7538"/>
    <w:rPr>
      <w:b/>
      <w:bCs/>
      <w:smallCaps/>
      <w:color w:val="auto"/>
      <w:spacing w:val="5"/>
      <w:u w:val="single"/>
    </w:rPr>
  </w:style>
  <w:style w:type="paragraph" w:customStyle="1" w:styleId="2ColumnHeading">
    <w:name w:val="2Column Heading"/>
    <w:basedOn w:val="BodyText"/>
    <w:qFormat/>
    <w:rsid w:val="002E7538"/>
    <w:pPr>
      <w:spacing w:after="60"/>
      <w:ind w:left="-2268"/>
    </w:pPr>
    <w:rPr>
      <w:b/>
    </w:rPr>
  </w:style>
  <w:style w:type="paragraph" w:customStyle="1" w:styleId="Heading1TOC">
    <w:name w:val="Heading1 TOC"/>
    <w:basedOn w:val="Normal"/>
    <w:qFormat/>
    <w:rsid w:val="002E7538"/>
    <w:pPr>
      <w:spacing w:before="240" w:after="120"/>
    </w:pPr>
    <w:rPr>
      <w:rFonts w:ascii="Times New Roman" w:hAnsi="Times New Roman"/>
      <w:b/>
      <w:sz w:val="32"/>
    </w:rPr>
  </w:style>
  <w:style w:type="paragraph" w:customStyle="1" w:styleId="Heading2TOC">
    <w:name w:val="Heading2 TOC"/>
    <w:basedOn w:val="Normal"/>
    <w:qFormat/>
    <w:rsid w:val="002E7538"/>
    <w:pPr>
      <w:spacing w:before="240" w:after="60"/>
    </w:pPr>
    <w:rPr>
      <w:rFonts w:ascii="Times New Roman" w:hAnsi="Times New Roman"/>
      <w:b/>
      <w:sz w:val="28"/>
    </w:rPr>
  </w:style>
  <w:style w:type="character" w:customStyle="1" w:styleId="Underline">
    <w:name w:val="Underline"/>
    <w:basedOn w:val="DefaultParagraphFont"/>
    <w:qFormat/>
    <w:rsid w:val="002E7538"/>
    <w:rPr>
      <w:u w:val="single"/>
    </w:rPr>
  </w:style>
  <w:style w:type="character" w:customStyle="1" w:styleId="BoldandItalics">
    <w:name w:val="Bold and Italics"/>
    <w:qFormat/>
    <w:rsid w:val="002E7538"/>
    <w:rPr>
      <w:b/>
      <w:i/>
      <w:u w:val="none"/>
    </w:rPr>
  </w:style>
  <w:style w:type="paragraph" w:styleId="BalloonText">
    <w:name w:val="Balloon Text"/>
    <w:basedOn w:val="Normal"/>
    <w:link w:val="BalloonTextChar"/>
    <w:rsid w:val="002E7538"/>
    <w:rPr>
      <w:rFonts w:ascii="Tahoma" w:hAnsi="Tahoma" w:cs="Tahoma"/>
      <w:sz w:val="16"/>
      <w:szCs w:val="16"/>
    </w:rPr>
  </w:style>
  <w:style w:type="character" w:customStyle="1" w:styleId="BalloonTextChar">
    <w:name w:val="Balloon Text Char"/>
    <w:basedOn w:val="DefaultParagraphFont"/>
    <w:link w:val="BalloonText"/>
    <w:rsid w:val="002E75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75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75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7538"/>
    <w:rPr>
      <w:b/>
      <w:color w:val="660033"/>
      <w:spacing w:val="0"/>
    </w:rPr>
  </w:style>
  <w:style w:type="paragraph" w:customStyle="1" w:styleId="Nameditemlist">
    <w:name w:val="Named item list"/>
    <w:basedOn w:val="BodyText"/>
    <w:qFormat/>
    <w:rsid w:val="002E7538"/>
    <w:pPr>
      <w:tabs>
        <w:tab w:val="left" w:pos="2835"/>
      </w:tabs>
      <w:ind w:left="2835" w:hanging="2835"/>
    </w:pPr>
  </w:style>
  <w:style w:type="paragraph" w:customStyle="1" w:styleId="BodyTextnopadding">
    <w:name w:val="Body Text no padding"/>
    <w:basedOn w:val="BodyText"/>
    <w:qFormat/>
    <w:rsid w:val="002E7538"/>
    <w:pPr>
      <w:spacing w:before="0" w:after="0"/>
    </w:pPr>
  </w:style>
  <w:style w:type="paragraph" w:customStyle="1" w:styleId="BodyTextBold">
    <w:name w:val="Body Text Bold"/>
    <w:basedOn w:val="BodyText"/>
    <w:qFormat/>
    <w:rsid w:val="002E7538"/>
    <w:rPr>
      <w:b/>
    </w:rPr>
  </w:style>
  <w:style w:type="character" w:styleId="Hyperlink">
    <w:name w:val="Hyperlink"/>
    <w:basedOn w:val="DefaultParagraphFont"/>
    <w:uiPriority w:val="99"/>
    <w:unhideWhenUsed/>
    <w:rsid w:val="005413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1167</Words>
  <Characters>7190</Characters>
  <Application>Microsoft Office Word</Application>
  <DocSecurity>0</DocSecurity>
  <Lines>231</Lines>
  <Paragraphs>126</Paragraphs>
  <ScaleCrop>false</ScaleCrop>
  <Company>Author-it Software Corporation Ltd.</Company>
  <LinksUpToDate>false</LinksUpToDate>
  <CharactersWithSpaces>8231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MEA387 Test gas turbine engines and engine modules after overhaul or repair</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2025-03-01T13:40:00Z</dcterms:created>
  <dcterms:modified xsi:type="dcterms:W3CDTF">2025-03-01T13:40:00Z</dcterms:modified>
</cp:coreProperties>
</file>