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720" w:rsidP="00F92720">
      <w:pPr>
        <w:pStyle w:val="Title"/>
      </w:pPr>
      <w:r>
        <w:fldChar w:fldCharType="begin"/>
      </w:r>
      <w:r>
        <w:instrText xml:space="preserve"> TITLE   \* MERGEFORMAT </w:instrText>
      </w:r>
      <w:r>
        <w:fldChar w:fldCharType="separate"/>
      </w:r>
      <w:r>
        <w:t>MEA386 Repair and/or overhaul gas turbine engine ancillary section components</w:t>
      </w:r>
      <w:r>
        <w:fldChar w:fldCharType="end"/>
      </w:r>
    </w:p>
    <w:p w:rsidR="00F92720" w:rsidP="00F92720">
      <w:pPr>
        <w:pStyle w:val="Version"/>
        <w:sectPr w:rsidSect="00081B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1BCE" w:rsidP="00081BCE">
      <w:pPr>
        <w:pStyle w:val="SuperHeading"/>
      </w:pPr>
      <w:r w:rsidRPr="00081BCE">
        <w:t>MEA386 Repair</w:t>
      </w:r>
      <w:r w:rsidRPr="00081BCE">
        <w:t xml:space="preserve"> and/or overhaul gas turbine engine ancillary section components</w:t>
      </w:r>
    </w:p>
    <w:p w:rsidR="00000000" w:rsidRPr="00081BCE" w:rsidP="00081BCE">
      <w:pPr>
        <w:pStyle w:val="Heading1"/>
      </w:pPr>
      <w:bookmarkStart w:id="1" w:name="O_996461"/>
      <w:bookmarkEnd w:id="1"/>
      <w:r w:rsidRPr="00081BCE">
        <w:t>Modification History</w:t>
      </w:r>
    </w:p>
    <w:p w:rsidR="00000000" w:rsidRPr="00081BCE" w:rsidP="00F92720">
      <w:pPr>
        <w:pStyle w:val="BodyText"/>
      </w:pPr>
      <w:r w:rsidRPr="00081BCE">
        <w:t>Release 2. Equivalent to MEA386 Repair and/or overhaul gas turbine engine ancillary section components with amended prerequisite codes.</w:t>
      </w:r>
    </w:p>
    <w:p w:rsidR="00000000" w:rsidRPr="00081BCE" w:rsidP="00081BCE">
      <w:pPr>
        <w:pStyle w:val="Heading1"/>
      </w:pPr>
      <w:bookmarkStart w:id="2" w:name="O_996460"/>
      <w:bookmarkEnd w:id="2"/>
      <w:r w:rsidRPr="00081BCE">
        <w:t>Application</w:t>
      </w:r>
    </w:p>
    <w:p w:rsidR="00000000" w:rsidRPr="00081BCE" w:rsidP="00F92720">
      <w:pPr>
        <w:pStyle w:val="BodyText"/>
      </w:pPr>
      <w:r w:rsidRPr="00081BCE">
        <w:t>This unit of competency requires application of hand skills, theory knowledge and maintenance publication procedures to repair and overhaul aircraft gas turbine engine ancillary section components in workshops during the performance of schedule</w:t>
      </w:r>
      <w:r w:rsidRPr="00081BCE">
        <w:t>d or unscheduled maintenance. Maintenance may be performed individually or as part of a team.</w:t>
      </w:r>
    </w:p>
    <w:p w:rsidR="00000000" w:rsidRPr="00081BCE" w:rsidP="00F92720">
      <w:pPr>
        <w:pStyle w:val="BodyText"/>
      </w:pPr>
      <w:r w:rsidRPr="00081BCE">
        <w:t>Applications include ancillary section components from turbo-jet, turbofan, turboshaft, turboprop engines and engine modules, or auxiliary power units.</w:t>
      </w:r>
    </w:p>
    <w:p w:rsidR="00000000" w:rsidRPr="00081BCE" w:rsidP="00F92720">
      <w:pPr>
        <w:pStyle w:val="BodyText"/>
      </w:pPr>
      <w:r w:rsidRPr="00081BCE">
        <w:t>The unit</w:t>
      </w:r>
      <w:r w:rsidRPr="00081BCE">
        <w:t xml:space="preserve"> is part of the Mechanical Certificate IV (Component Workshop Maintenance Stream) training pathway. It is used in workplaces that operate under the airworthiness regulatory systems of the Australian Defence Force (ADF) and the Civil Aviation Safety Authori</w:t>
      </w:r>
      <w:r w:rsidRPr="00081BCE">
        <w:t>ty (CASA).</w:t>
      </w:r>
    </w:p>
    <w:p w:rsidR="00000000" w:rsidRPr="00081BCE" w:rsidP="00081BCE">
      <w:pPr>
        <w:pStyle w:val="Heading1"/>
      </w:pPr>
      <w:bookmarkStart w:id="3" w:name="O_996459"/>
      <w:bookmarkEnd w:id="3"/>
      <w:r w:rsidRPr="00081BCE">
        <w:t>Pre-requisite Unit</w:t>
      </w:r>
    </w:p>
    <w:tbl>
      <w:tblPr>
        <w:tblW w:w="0" w:type="auto"/>
        <w:tblLayout w:type="fixed"/>
        <w:tblCellMar>
          <w:left w:w="62" w:type="dxa"/>
          <w:right w:w="62" w:type="dxa"/>
        </w:tblCellMar>
        <w:tblLook w:val="0000"/>
      </w:tblPr>
      <w:tblGrid>
        <w:gridCol w:w="1766"/>
        <w:gridCol w:w="7020"/>
      </w:tblGrid>
      <w:tr w:rsidTr="00081BCE">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MEA107</w:t>
            </w:r>
          </w:p>
        </w:tc>
        <w:tc>
          <w:tcPr>
            <w:tcW w:w="702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Interpret and use aviation maintenance industry manuals and specifications</w:t>
            </w:r>
          </w:p>
        </w:tc>
      </w:tr>
      <w:tr w:rsidTr="00081BCE">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MEA154</w:t>
            </w:r>
          </w:p>
        </w:tc>
        <w:tc>
          <w:tcPr>
            <w:tcW w:w="702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Apply work health and safety practices in aviation maintenance</w:t>
            </w:r>
          </w:p>
        </w:tc>
      </w:tr>
      <w:tr w:rsidTr="00081BCE">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MEA155</w:t>
            </w:r>
          </w:p>
        </w:tc>
        <w:tc>
          <w:tcPr>
            <w:tcW w:w="702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Plan and organise aviation maintenance work acti</w:t>
            </w:r>
            <w:r w:rsidRPr="00081BCE">
              <w:t>vities</w:t>
            </w:r>
          </w:p>
        </w:tc>
      </w:tr>
      <w:tr w:rsidTr="00081BCE">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MEA156</w:t>
            </w:r>
          </w:p>
        </w:tc>
        <w:tc>
          <w:tcPr>
            <w:tcW w:w="702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Apply quality standards during aviation maintenance activities</w:t>
            </w:r>
          </w:p>
        </w:tc>
      </w:tr>
      <w:tr w:rsidTr="00081BCE">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MEA157</w:t>
            </w:r>
          </w:p>
        </w:tc>
        <w:tc>
          <w:tcPr>
            <w:tcW w:w="702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Complete aviation maintenance industry documentation</w:t>
            </w:r>
          </w:p>
        </w:tc>
      </w:tr>
      <w:tr w:rsidTr="00081BCE">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MEA158</w:t>
            </w:r>
          </w:p>
        </w:tc>
        <w:tc>
          <w:tcPr>
            <w:tcW w:w="7020" w:type="dxa"/>
            <w:tcBorders>
              <w:top w:val="nil"/>
              <w:left w:val="nil"/>
              <w:bottom w:val="nil"/>
              <w:right w:val="nil"/>
            </w:tcBorders>
            <w:tcMar>
              <w:top w:w="0" w:type="dxa"/>
              <w:left w:w="62" w:type="dxa"/>
              <w:bottom w:w="0" w:type="dxa"/>
              <w:right w:w="62" w:type="dxa"/>
            </w:tcMar>
          </w:tcPr>
          <w:p w:rsidR="00000000" w:rsidRPr="00081BCE" w:rsidP="00081BCE">
            <w:pPr>
              <w:pStyle w:val="BodyText"/>
            </w:pPr>
            <w:r w:rsidRPr="00081BCE">
              <w:t>Perform basic hand skills, standard trade practices and fundamentals in aviation maintenance</w:t>
            </w:r>
          </w:p>
        </w:tc>
      </w:tr>
    </w:tbl>
    <w:p w:rsidR="00000000" w:rsidRPr="00081BCE" w:rsidP="00081BCE">
      <w:pPr>
        <w:pStyle w:val="BodyText"/>
      </w:pPr>
    </w:p>
    <w:p w:rsidR="00000000" w:rsidRPr="00081BCE" w:rsidP="00081BCE">
      <w:pPr>
        <w:pStyle w:val="AllowPageBreak"/>
      </w:pPr>
    </w:p>
    <w:p w:rsidR="00000000" w:rsidRPr="00081BCE" w:rsidP="00081BCE">
      <w:pPr>
        <w:pStyle w:val="Heading1"/>
      </w:pPr>
      <w:bookmarkStart w:id="4" w:name="O_996458"/>
      <w:bookmarkEnd w:id="4"/>
      <w:r w:rsidRPr="00081BCE">
        <w:t>Competency Field</w:t>
      </w:r>
    </w:p>
    <w:p w:rsidR="00000000" w:rsidRPr="00081BCE" w:rsidP="00F92720">
      <w:pPr>
        <w:pStyle w:val="BodyText"/>
      </w:pPr>
      <w:r w:rsidRPr="00081BCE">
        <w:t>Aviation maintenance</w:t>
      </w:r>
    </w:p>
    <w:p w:rsidR="00000000" w:rsidRPr="00081BCE" w:rsidP="00081BCE">
      <w:pPr>
        <w:pStyle w:val="Heading1"/>
      </w:pPr>
      <w:bookmarkStart w:id="5" w:name="O_996457"/>
      <w:bookmarkEnd w:id="5"/>
      <w:r w:rsidRPr="00081BCE">
        <w:t>Unit Sector</w:t>
      </w:r>
    </w:p>
    <w:p w:rsidR="00000000" w:rsidRPr="00081BCE" w:rsidP="00081BCE">
      <w:pPr>
        <w:pStyle w:val="Heading1"/>
      </w:pPr>
      <w:bookmarkStart w:id="6" w:name="O_996456"/>
      <w:bookmarkEnd w:id="6"/>
      <w:r w:rsidRPr="00081BCE">
        <w:t>Elements and Performance Criteria</w:t>
      </w:r>
    </w:p>
    <w:tbl>
      <w:tblPr>
        <w:tblW w:w="9540" w:type="dxa"/>
        <w:tblLayout w:type="fixed"/>
        <w:tblCellMar>
          <w:left w:w="62" w:type="dxa"/>
          <w:right w:w="62" w:type="dxa"/>
        </w:tblCellMar>
        <w:tblLook w:val="0000"/>
      </w:tblPr>
      <w:tblGrid>
        <w:gridCol w:w="697"/>
        <w:gridCol w:w="2273"/>
        <w:gridCol w:w="810"/>
        <w:gridCol w:w="5760"/>
      </w:tblGrid>
      <w:tr w:rsidTr="00081BCE">
        <w:tblPrEx>
          <w:tblW w:w="9540"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Elements describe the essential outcomes.</w:t>
            </w:r>
          </w:p>
        </w:tc>
        <w:tc>
          <w:tcPr>
            <w:tcW w:w="6570" w:type="dxa"/>
            <w:gridSpan w:val="2"/>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Performance criteria describe the performance needed to demonstrate achievement of the e</w:t>
            </w:r>
            <w:r w:rsidRPr="00081BCE">
              <w:t xml:space="preserve">lement. </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1.</w:t>
            </w:r>
          </w:p>
        </w:tc>
        <w:tc>
          <w:tcPr>
            <w:tcW w:w="2273"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Determine requirements</w:t>
            </w: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1.1</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Component defect reports (removal tags) or customer order are correctly interpreted and matched by part and serial numbers</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1.2</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Ancillary section components are inspected and/or operated through prescribed test procedures to establish serviceability and confirm defects, if necessary</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1.3</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Modification status is clearly established to assist in determining the overhaul requirements</w:t>
            </w:r>
            <w:r w:rsidRPr="00081BCE">
              <w:t xml:space="preserve"> for the components</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1.4</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Extent of overhaul or repair is identified and documented in accordance with standard enterprise procedures</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2.</w:t>
            </w:r>
          </w:p>
        </w:tc>
        <w:tc>
          <w:tcPr>
            <w:tcW w:w="2273"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Troubleshoot ancillary section components</w:t>
            </w: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2.1</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Available information from maintenance records and test results is used, where necessary, to assist in fault determination</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2.2</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Logical processes are used to ensure efficient and accurate troubleshooting</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2.3</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Specialist advice is obtained, where requir</w:t>
            </w:r>
            <w:r w:rsidRPr="00081BCE">
              <w:t>ed, to assist with, or confirm, the fault and rectification requirement</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2.4</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Ancillary section component/module faults are located and the causes of the faults are clearly identified</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2.5</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Fault rectification requirements are determined to assist in planning the repair</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3.</w:t>
            </w:r>
          </w:p>
        </w:tc>
        <w:tc>
          <w:tcPr>
            <w:tcW w:w="2273"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Dismantle and inspect ancillary section component parts</w:t>
            </w: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3.1</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Ancillary section component parts are dismantled in accordance with maintenance manual while observing all rele</w:t>
            </w:r>
            <w:r w:rsidRPr="00081BCE">
              <w:t>vant work health and safety (WHS) requirements, including the use of material safety data sheets (MSDS) and items of personal protective equipment (PPE)</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3.2</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Component parts are assessed for serviceability in accordance with the relevant maintenance docu</w:t>
            </w:r>
            <w:r w:rsidRPr="00081BCE">
              <w:t>mentation</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3.3</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Parts requiring specialist repair are tagged and repair instructions are specified in accordance with standard enterprise procedures</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3.4</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Parts requiring non-destructi</w:t>
            </w:r>
            <w:r w:rsidRPr="00081BCE">
              <w:t>ve testing (NDT) are prepared for testing in accordance with the relevant maintenance documentation</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3.5</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Parts lists are compiled and processed in accordance with standard enterprise procedures</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4.</w:t>
            </w:r>
          </w:p>
        </w:tc>
        <w:tc>
          <w:tcPr>
            <w:tcW w:w="2273"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Repair and/or modify ancillary section components or par</w:t>
            </w:r>
            <w:r w:rsidRPr="00081BCE">
              <w:t>ts</w:t>
            </w: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4.1</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Component parts are repaired or replaced in accordance with the relevant maintenance documentation</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4.2</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Modification of components is undertaken, where required, by reference to relevant manufacturers’ bulletins or procedures and/or customer requi</w:t>
            </w:r>
            <w:r w:rsidRPr="00081BCE">
              <w:t>rements</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5.</w:t>
            </w:r>
          </w:p>
        </w:tc>
        <w:tc>
          <w:tcPr>
            <w:tcW w:w="2273"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Assemble and adjust ancillary section components</w:t>
            </w: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5.1</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 xml:space="preserve">Ancillary section component parts are assembled within specified tolerances and in accordance with the appropriate maintenance documents while </w:t>
            </w:r>
            <w:r w:rsidRPr="00081BCE">
              <w:t>observing all relevant WHS requirements, including the use of MSDS and items of PPE</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5.2</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Support/safety equipment, where fitted, is removed at the appropriate time</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5.3</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Components are adjusted to ensure that fits and clearances are within prescribed sp</w:t>
            </w:r>
            <w:r w:rsidRPr="00081BCE">
              <w:t>ecifications</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5.4</w:t>
            </w:r>
          </w:p>
        </w:tc>
        <w:tc>
          <w:tcPr>
            <w:tcW w:w="57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Finished components are tagged, sealed and packaged in accordance with standard enterprise procedures</w:t>
            </w:r>
          </w:p>
        </w:tc>
      </w:tr>
      <w:tr w:rsidTr="00081BCE">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5.5</w:t>
            </w:r>
          </w:p>
        </w:tc>
        <w:tc>
          <w:tcPr>
            <w:tcW w:w="5760" w:type="dxa"/>
            <w:tcBorders>
              <w:top w:val="nil"/>
              <w:left w:val="nil"/>
              <w:bottom w:val="nil"/>
              <w:right w:val="nil"/>
            </w:tcBorders>
            <w:tcMar>
              <w:top w:w="0" w:type="dxa"/>
              <w:left w:w="62" w:type="dxa"/>
              <w:bottom w:w="0" w:type="dxa"/>
              <w:right w:w="62" w:type="dxa"/>
            </w:tcMar>
          </w:tcPr>
          <w:p w:rsidR="00000000" w:rsidRPr="00081BCE" w:rsidP="00081BCE">
            <w:pPr>
              <w:pStyle w:val="BodyText"/>
            </w:pPr>
            <w:r w:rsidRPr="00081BCE">
              <w:t>Required maintenance documentation and modification records are completed and processed in accordance with standard enterprise procedures</w:t>
            </w:r>
          </w:p>
        </w:tc>
      </w:tr>
    </w:tbl>
    <w:p w:rsidR="00000000" w:rsidRPr="00081BCE" w:rsidP="00081BCE">
      <w:pPr>
        <w:pStyle w:val="BodyText"/>
      </w:pPr>
    </w:p>
    <w:p w:rsidR="00000000" w:rsidRPr="00081BCE" w:rsidP="00081BCE">
      <w:pPr>
        <w:pStyle w:val="AllowPageBreak"/>
      </w:pPr>
    </w:p>
    <w:p w:rsidR="00000000" w:rsidRPr="00081BCE" w:rsidP="00081BCE">
      <w:pPr>
        <w:pStyle w:val="Heading1"/>
      </w:pPr>
      <w:bookmarkStart w:id="7" w:name="O_996455"/>
      <w:bookmarkEnd w:id="7"/>
      <w:r w:rsidRPr="00081BCE">
        <w:t>Foundation Skills</w:t>
      </w:r>
    </w:p>
    <w:p w:rsidR="00000000" w:rsidRPr="00081BCE" w:rsidP="00F92720">
      <w:pPr>
        <w:pStyle w:val="BodyText"/>
      </w:pPr>
      <w:r w:rsidRPr="00081BCE">
        <w:t>Foundation skills essential to performance are explicit in the performance criter</w:t>
      </w:r>
      <w:r w:rsidRPr="00081BCE">
        <w:t>ia of this unit of competency.</w:t>
      </w:r>
    </w:p>
    <w:p w:rsidR="00000000" w:rsidRPr="00081BCE" w:rsidP="00081BCE">
      <w:pPr>
        <w:pStyle w:val="Heading1"/>
      </w:pPr>
      <w:bookmarkStart w:id="8" w:name="O_996454"/>
      <w:bookmarkEnd w:id="8"/>
      <w:r w:rsidRPr="00081BCE">
        <w:t>Range of Conditions</w:t>
      </w:r>
    </w:p>
    <w:tbl>
      <w:tblPr>
        <w:tblW w:w="0" w:type="auto"/>
        <w:tblLayout w:type="fixed"/>
        <w:tblCellMar>
          <w:left w:w="62" w:type="dxa"/>
          <w:right w:w="62" w:type="dxa"/>
        </w:tblCellMar>
        <w:tblLook w:val="0000"/>
      </w:tblPr>
      <w:tblGrid>
        <w:gridCol w:w="3060"/>
        <w:gridCol w:w="6120"/>
      </w:tblGrid>
      <w:tr w:rsidTr="00081BC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t xml:space="preserve">This field allows for different work environments and conditions that may affect performance. Essential operating conditions that may be present (depending on the work situation, needs of </w:t>
            </w:r>
            <w:r w:rsidRPr="00081BCE">
              <w:t>the candidate, accessibility of the item, and local industry and regional contexts) are included.</w:t>
            </w:r>
          </w:p>
        </w:tc>
      </w:tr>
      <w:tr w:rsidTr="00081B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rPr>
                <w:rStyle w:val="SpecialBold"/>
              </w:rPr>
              <w:t>Ancillary section components include:</w:t>
            </w:r>
          </w:p>
        </w:tc>
        <w:tc>
          <w:tcPr>
            <w:tcW w:w="6120" w:type="dxa"/>
            <w:tcBorders>
              <w:top w:val="nil"/>
              <w:left w:val="nil"/>
              <w:bottom w:val="nil"/>
              <w:right w:val="nil"/>
            </w:tcBorders>
            <w:tcMar>
              <w:top w:w="0" w:type="dxa"/>
              <w:left w:w="62" w:type="dxa"/>
              <w:bottom w:w="0" w:type="dxa"/>
              <w:right w:w="62" w:type="dxa"/>
            </w:tcMar>
          </w:tcPr>
          <w:p w:rsidR="00000000" w:rsidRPr="00081BCE" w:rsidP="00081BCE">
            <w:pPr>
              <w:pStyle w:val="ListBullet"/>
            </w:pPr>
            <w:r w:rsidRPr="00081BCE">
              <w:t>Accessory (or high-speed) gearbox</w:t>
            </w:r>
          </w:p>
          <w:p w:rsidR="00000000" w:rsidRPr="00081BCE" w:rsidP="00081BCE">
            <w:pPr>
              <w:pStyle w:val="ListBullet"/>
            </w:pPr>
            <w:r w:rsidRPr="00081BCE">
              <w:t>Turboprop reduction gearbox (where applicable to the enterprise)</w:t>
            </w:r>
          </w:p>
          <w:p w:rsidR="00000000" w:rsidP="00081BCE">
            <w:pPr>
              <w:pStyle w:val="ListBullet"/>
              <w:rPr>
                <w:lang w:val="en-NZ"/>
              </w:rPr>
            </w:pPr>
            <w:r w:rsidRPr="00081BCE">
              <w:t>Turboshaft drive shaft or reduction gearbox (where applicable to the enterprise)</w:t>
            </w:r>
          </w:p>
        </w:tc>
      </w:tr>
      <w:tr w:rsidTr="00081B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rPr>
                <w:rStyle w:val="SpecialBold"/>
              </w:rPr>
              <w:t>Repair of component parts includes:</w:t>
            </w:r>
          </w:p>
        </w:tc>
        <w:tc>
          <w:tcPr>
            <w:tcW w:w="6120" w:type="dxa"/>
            <w:tcBorders>
              <w:top w:val="nil"/>
              <w:left w:val="nil"/>
              <w:bottom w:val="nil"/>
              <w:right w:val="nil"/>
            </w:tcBorders>
            <w:tcMar>
              <w:top w:w="0" w:type="dxa"/>
              <w:left w:w="62" w:type="dxa"/>
              <w:bottom w:w="0" w:type="dxa"/>
              <w:right w:w="62" w:type="dxa"/>
            </w:tcMar>
          </w:tcPr>
          <w:p w:rsidR="00000000" w:rsidRPr="00081BCE" w:rsidP="00081BCE">
            <w:pPr>
              <w:pStyle w:val="ListBullet"/>
            </w:pPr>
            <w:r w:rsidRPr="00081BCE">
              <w:t>Finishing or re-finishing of metal surfaces through processes, such as polishing and lapping</w:t>
            </w:r>
          </w:p>
          <w:p w:rsidR="00000000" w:rsidRPr="00081BCE" w:rsidP="00081BCE">
            <w:pPr>
              <w:pStyle w:val="ListBullet"/>
            </w:pPr>
            <w:r w:rsidRPr="00081BCE">
              <w:t>Replacement of seals and gaskets</w:t>
            </w:r>
          </w:p>
          <w:p w:rsidR="00000000" w:rsidRPr="00081BCE" w:rsidP="00081BCE">
            <w:pPr>
              <w:pStyle w:val="ListBullet"/>
            </w:pPr>
            <w:r w:rsidRPr="00081BCE">
              <w:t>Replacement</w:t>
            </w:r>
            <w:r w:rsidRPr="00081BCE">
              <w:t xml:space="preserve"> of bearings</w:t>
            </w:r>
          </w:p>
          <w:p w:rsidR="00000000" w:rsidRPr="00081BCE" w:rsidP="00081BCE">
            <w:pPr>
              <w:pStyle w:val="ListBullet"/>
            </w:pPr>
            <w:r w:rsidRPr="00081BCE">
              <w:t>Application of surface treatments</w:t>
            </w:r>
          </w:p>
          <w:p w:rsidR="00000000" w:rsidP="00081BCE">
            <w:pPr>
              <w:pStyle w:val="ListBullet"/>
              <w:rPr>
                <w:lang w:val="en-NZ"/>
              </w:rPr>
            </w:pPr>
            <w:r w:rsidRPr="00081BCE">
              <w:t>Restoration of paint finishes</w:t>
            </w:r>
          </w:p>
        </w:tc>
      </w:tr>
      <w:tr w:rsidTr="00081B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rPr>
                <w:rStyle w:val="SpecialBold"/>
              </w:rPr>
              <w:t xml:space="preserve">Testing and adjustment: </w:t>
            </w:r>
          </w:p>
        </w:tc>
        <w:tc>
          <w:tcPr>
            <w:tcW w:w="6120" w:type="dxa"/>
            <w:tcBorders>
              <w:top w:val="nil"/>
              <w:left w:val="nil"/>
              <w:bottom w:val="nil"/>
              <w:right w:val="nil"/>
            </w:tcBorders>
            <w:tcMar>
              <w:top w:w="0" w:type="dxa"/>
              <w:left w:w="62" w:type="dxa"/>
              <w:bottom w:w="0" w:type="dxa"/>
              <w:right w:w="62" w:type="dxa"/>
            </w:tcMar>
          </w:tcPr>
          <w:p w:rsidR="00000000" w:rsidP="00081BCE">
            <w:pPr>
              <w:pStyle w:val="ListBullet"/>
              <w:rPr>
                <w:lang w:val="en-NZ"/>
              </w:rPr>
            </w:pPr>
            <w:r w:rsidRPr="00081BCE">
              <w:t>Complex testing and adjusting of components, where required, will be carried out under supervision at the appropriate level</w:t>
            </w:r>
          </w:p>
        </w:tc>
      </w:tr>
      <w:tr w:rsidTr="00081B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81BCE">
            <w:pPr>
              <w:pStyle w:val="BodyText"/>
              <w:rPr>
                <w:lang w:val="en-NZ"/>
              </w:rPr>
            </w:pPr>
            <w:r w:rsidRPr="00081BCE">
              <w:rPr>
                <w:rStyle w:val="SpecialBold"/>
              </w:rPr>
              <w:t>Procedures and requirements</w:t>
            </w:r>
            <w:r w:rsidRPr="00081BCE">
              <w:rPr>
                <w:rStyle w:val="SpecialBold"/>
              </w:rPr>
              <w:t xml:space="preserve"> include:</w:t>
            </w:r>
          </w:p>
        </w:tc>
        <w:tc>
          <w:tcPr>
            <w:tcW w:w="6120" w:type="dxa"/>
            <w:tcBorders>
              <w:top w:val="nil"/>
              <w:left w:val="nil"/>
              <w:bottom w:val="nil"/>
              <w:right w:val="nil"/>
            </w:tcBorders>
            <w:tcMar>
              <w:top w:w="0" w:type="dxa"/>
              <w:left w:w="62" w:type="dxa"/>
              <w:bottom w:w="0" w:type="dxa"/>
              <w:right w:w="62" w:type="dxa"/>
            </w:tcMar>
          </w:tcPr>
          <w:p w:rsidR="00000000" w:rsidRPr="00081BCE" w:rsidP="00081BCE">
            <w:pPr>
              <w:pStyle w:val="ListBullet"/>
            </w:pPr>
            <w:r w:rsidRPr="00081BCE">
              <w:t>Industry standard procedures specified by manufacturers, regulatory authorities or the enterprise</w:t>
            </w:r>
          </w:p>
        </w:tc>
      </w:tr>
    </w:tbl>
    <w:p w:rsidR="00000000" w:rsidRPr="00081BCE" w:rsidP="00081BCE">
      <w:pPr>
        <w:pStyle w:val="BodyText"/>
      </w:pPr>
    </w:p>
    <w:p w:rsidR="00000000" w:rsidRPr="00081BCE" w:rsidP="00081BCE">
      <w:pPr>
        <w:pStyle w:val="AllowPageBreak"/>
      </w:pPr>
    </w:p>
    <w:p w:rsidR="00000000" w:rsidRPr="00081BCE" w:rsidP="00081BCE">
      <w:pPr>
        <w:pStyle w:val="Heading1"/>
      </w:pPr>
      <w:bookmarkStart w:id="9" w:name="O_996453"/>
      <w:bookmarkEnd w:id="9"/>
      <w:r w:rsidRPr="00081BCE">
        <w:t>Unit Mapping Information</w:t>
      </w:r>
    </w:p>
    <w:p w:rsidR="00000000" w:rsidRPr="00081BCE" w:rsidP="00F92720">
      <w:pPr>
        <w:pStyle w:val="BodyText"/>
      </w:pPr>
      <w:r w:rsidRPr="00081BCE">
        <w:t>Release 2. Equivalent to MEA386 Repair and/or overhaul gas turbine engine ancillary section components</w:t>
      </w:r>
    </w:p>
    <w:p w:rsidR="00000000" w:rsidRPr="00081BCE" w:rsidP="00081BCE">
      <w:pPr>
        <w:pStyle w:val="Heading1"/>
      </w:pPr>
      <w:bookmarkStart w:id="10" w:name="O_996462"/>
      <w:bookmarkEnd w:id="10"/>
      <w:r w:rsidRPr="00081BCE">
        <w:t>Links</w:t>
      </w:r>
    </w:p>
    <w:p w:rsidR="00000000" w:rsidRPr="00081BCE" w:rsidP="00F92720">
      <w:pPr>
        <w:pStyle w:val="BodyText"/>
      </w:pPr>
      <w:r w:rsidRPr="00081BCE">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5777E9">
        <w:rPr>
          <w:rStyle w:val="Hyperlink"/>
        </w:rPr>
        <w:t>https://vetnet.education.gov.au/Pages/TrainingDocs.aspx?q=ce216c9c-04d5-4b3b-9bcf-4e81d0950371</w:t>
      </w:r>
      <w:r>
        <w:fldChar w:fldCharType="end"/>
      </w:r>
    </w:p>
    <w:p w:rsidR="00000000" w:rsidRPr="00081BCE" w:rsidP="00081BCE"/>
    <w:sectPr w:rsidSect="00081B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B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BCE" w:rsidRPr="00F92720" w:rsidP="00F927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B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20" w:rsidP="00081B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2720" w:rsidP="00081BC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2720" w:rsidP="00081B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B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BCE" w:rsidRPr="00F92720" w:rsidP="00F927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B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20" w:rsidRPr="002D2AF8" w:rsidP="00081BCE">
    <w:pPr>
      <w:pStyle w:val="Header"/>
      <w:framePr w:wrap="around"/>
    </w:pPr>
    <w:r>
      <w:fldChar w:fldCharType="begin"/>
    </w:r>
    <w:r>
      <w:instrText xml:space="preserve"> TITLE   \* MERGEFORMAT </w:instrText>
    </w:r>
    <w:r>
      <w:fldChar w:fldCharType="separate"/>
    </w:r>
    <w:r>
      <w:t>MEA386 Repair and/or overhaul gas turbine engine ancillary section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92720" w:rsidP="00081B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BCD0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4E09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B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BCE"/>
    <w:pPr>
      <w:spacing w:before="360" w:after="60"/>
      <w:outlineLvl w:val="0"/>
    </w:pPr>
    <w:rPr>
      <w:sz w:val="32"/>
    </w:rPr>
  </w:style>
  <w:style w:type="paragraph" w:styleId="Heading2">
    <w:name w:val="heading 2"/>
    <w:basedOn w:val="HeadingBase"/>
    <w:next w:val="BodyText"/>
    <w:link w:val="Heading2Char"/>
    <w:qFormat/>
    <w:rsid w:val="00081BCE"/>
    <w:pPr>
      <w:keepLines/>
      <w:spacing w:before="240" w:after="120"/>
      <w:outlineLvl w:val="1"/>
    </w:pPr>
    <w:rPr>
      <w:sz w:val="28"/>
      <w:szCs w:val="40"/>
    </w:rPr>
  </w:style>
  <w:style w:type="paragraph" w:styleId="Heading3">
    <w:name w:val="heading 3"/>
    <w:basedOn w:val="HeadingBase"/>
    <w:next w:val="BodyText"/>
    <w:link w:val="Heading3Char"/>
    <w:qFormat/>
    <w:rsid w:val="00081BCE"/>
    <w:pPr>
      <w:spacing w:before="180" w:after="120"/>
      <w:outlineLvl w:val="2"/>
    </w:pPr>
    <w:rPr>
      <w:spacing w:val="-10"/>
      <w:kern w:val="32"/>
    </w:rPr>
  </w:style>
  <w:style w:type="paragraph" w:styleId="Heading4">
    <w:name w:val="heading 4"/>
    <w:basedOn w:val="HeadingBase"/>
    <w:next w:val="BodyText"/>
    <w:link w:val="Heading4Char"/>
    <w:qFormat/>
    <w:rsid w:val="00081BCE"/>
    <w:pPr>
      <w:spacing w:before="160" w:after="120"/>
      <w:outlineLvl w:val="3"/>
    </w:pPr>
    <w:rPr>
      <w:sz w:val="22"/>
    </w:rPr>
  </w:style>
  <w:style w:type="paragraph" w:styleId="Heading5">
    <w:name w:val="heading 5"/>
    <w:basedOn w:val="HeadingBase"/>
    <w:next w:val="Normal"/>
    <w:link w:val="Heading5Char"/>
    <w:qFormat/>
    <w:rsid w:val="00081BCE"/>
    <w:pPr>
      <w:spacing w:before="80"/>
      <w:outlineLvl w:val="4"/>
    </w:pPr>
    <w:rPr>
      <w:color w:val="918585"/>
      <w:sz w:val="20"/>
    </w:rPr>
  </w:style>
  <w:style w:type="paragraph" w:styleId="Heading6">
    <w:name w:val="heading 6"/>
    <w:basedOn w:val="HeadingBase"/>
    <w:next w:val="Normal"/>
    <w:link w:val="Heading6Char"/>
    <w:qFormat/>
    <w:rsid w:val="00081BCE"/>
    <w:pPr>
      <w:spacing w:before="60"/>
      <w:outlineLvl w:val="5"/>
    </w:pPr>
    <w:rPr>
      <w:color w:val="918585"/>
      <w:sz w:val="20"/>
    </w:rPr>
  </w:style>
  <w:style w:type="paragraph" w:styleId="Heading7">
    <w:name w:val="heading 7"/>
    <w:basedOn w:val="Normal"/>
    <w:next w:val="Normal"/>
    <w:link w:val="Heading7Char"/>
    <w:qFormat/>
    <w:rsid w:val="00081BCE"/>
    <w:pPr>
      <w:ind w:left="720"/>
      <w:outlineLvl w:val="6"/>
    </w:pPr>
    <w:rPr>
      <w:i/>
    </w:rPr>
  </w:style>
  <w:style w:type="paragraph" w:styleId="Heading8">
    <w:name w:val="heading 8"/>
    <w:basedOn w:val="Normal"/>
    <w:next w:val="Normal"/>
    <w:link w:val="Heading8Char"/>
    <w:qFormat/>
    <w:rsid w:val="00081BCE"/>
    <w:pPr>
      <w:ind w:left="720"/>
      <w:outlineLvl w:val="7"/>
    </w:pPr>
    <w:rPr>
      <w:i/>
    </w:rPr>
  </w:style>
  <w:style w:type="paragraph" w:styleId="Heading9">
    <w:name w:val="heading 9"/>
    <w:basedOn w:val="Normal"/>
    <w:next w:val="Normal"/>
    <w:link w:val="Heading9Char"/>
    <w:qFormat/>
    <w:rsid w:val="00081BCE"/>
    <w:pPr>
      <w:ind w:left="720"/>
      <w:outlineLvl w:val="8"/>
    </w:pPr>
    <w:rPr>
      <w:i/>
    </w:rPr>
  </w:style>
  <w:style w:type="character" w:default="1" w:styleId="DefaultParagraphFont">
    <w:name w:val="Default Paragraph Font"/>
    <w:uiPriority w:val="1"/>
    <w:unhideWhenUsed/>
    <w:rsid w:val="00081B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BCE"/>
  </w:style>
  <w:style w:type="character" w:customStyle="1" w:styleId="Heading1Char">
    <w:name w:val="Heading 1 Char"/>
    <w:basedOn w:val="DefaultParagraphFont"/>
    <w:link w:val="Heading1"/>
    <w:rsid w:val="00081BCE"/>
    <w:rPr>
      <w:rFonts w:ascii="Times New Roman" w:eastAsia="Times New Roman" w:hAnsi="Times New Roman" w:cs="Times New Roman"/>
      <w:b/>
      <w:sz w:val="32"/>
      <w:szCs w:val="20"/>
      <w:lang w:eastAsia="en-US"/>
    </w:rPr>
  </w:style>
  <w:style w:type="paragraph" w:styleId="BodyText">
    <w:name w:val="Body Text"/>
    <w:basedOn w:val="Normal"/>
    <w:link w:val="BodyTextChar"/>
    <w:rsid w:val="00081B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BCE"/>
    <w:rPr>
      <w:rFonts w:ascii="Times New Roman" w:eastAsia="Times New Roman" w:hAnsi="Times New Roman" w:cs="Times New Roman"/>
      <w:sz w:val="24"/>
      <w:lang w:eastAsia="en-US"/>
    </w:rPr>
  </w:style>
  <w:style w:type="paragraph" w:styleId="ListBullet">
    <w:name w:val="List Bullet"/>
    <w:basedOn w:val="List"/>
    <w:rsid w:val="00081BCE"/>
    <w:pPr>
      <w:numPr>
        <w:numId w:val="11"/>
      </w:numPr>
      <w:tabs>
        <w:tab w:val="clear" w:pos="340"/>
      </w:tabs>
      <w:spacing w:before="40" w:after="40"/>
    </w:pPr>
  </w:style>
  <w:style w:type="character" w:customStyle="1" w:styleId="SpecialBold">
    <w:name w:val="Special Bold"/>
    <w:basedOn w:val="DefaultParagraphFont"/>
    <w:rsid w:val="00081BCE"/>
    <w:rPr>
      <w:b/>
      <w:spacing w:val="0"/>
    </w:rPr>
  </w:style>
  <w:style w:type="paragraph" w:customStyle="1" w:styleId="SuperHeading">
    <w:name w:val="SuperHeading"/>
    <w:basedOn w:val="Normal"/>
    <w:rsid w:val="00081BCE"/>
    <w:pPr>
      <w:spacing w:before="240" w:after="120"/>
      <w:outlineLvl w:val="0"/>
    </w:pPr>
    <w:rPr>
      <w:rFonts w:ascii="Times New Roman" w:hAnsi="Times New Roman"/>
      <w:b/>
      <w:sz w:val="32"/>
    </w:rPr>
  </w:style>
  <w:style w:type="paragraph" w:customStyle="1" w:styleId="AllowPageBreak">
    <w:name w:val="AllowPageBreak"/>
    <w:rsid w:val="00081B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1B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B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B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B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B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B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B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BCE"/>
    <w:rPr>
      <w:rFonts w:ascii="Courier New" w:eastAsia="Times New Roman" w:hAnsi="Courier New" w:cs="Times New Roman"/>
      <w:i/>
      <w:szCs w:val="20"/>
      <w:lang w:eastAsia="en-US"/>
    </w:rPr>
  </w:style>
  <w:style w:type="paragraph" w:customStyle="1" w:styleId="HeadingBase">
    <w:name w:val="Heading Base"/>
    <w:rsid w:val="00081B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BCE"/>
    <w:pPr>
      <w:tabs>
        <w:tab w:val="right" w:leader="dot" w:pos="9072"/>
      </w:tabs>
      <w:ind w:left="567"/>
    </w:pPr>
    <w:rPr>
      <w:szCs w:val="22"/>
    </w:rPr>
  </w:style>
  <w:style w:type="paragraph" w:customStyle="1" w:styleId="TOCBase">
    <w:name w:val="TOC Base"/>
    <w:rsid w:val="00081B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BCE"/>
    <w:pPr>
      <w:tabs>
        <w:tab w:val="right" w:leader="dot" w:pos="9072"/>
      </w:tabs>
      <w:spacing w:before="40" w:after="40"/>
      <w:ind w:left="284"/>
    </w:pPr>
    <w:rPr>
      <w:rFonts w:ascii="Times New Roman" w:hAnsi="Times New Roman"/>
    </w:rPr>
  </w:style>
  <w:style w:type="paragraph" w:styleId="TOC1">
    <w:name w:val="toc 1"/>
    <w:basedOn w:val="TOCBase"/>
    <w:next w:val="Normal"/>
    <w:rsid w:val="00081B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B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BCE"/>
    <w:rPr>
      <w:rFonts w:ascii="Times New Roman" w:eastAsia="Times New Roman" w:hAnsi="Times New Roman" w:cs="Times New Roman"/>
      <w:sz w:val="16"/>
      <w:lang w:eastAsia="en-US"/>
    </w:rPr>
  </w:style>
  <w:style w:type="paragraph" w:styleId="Title">
    <w:name w:val="Title"/>
    <w:basedOn w:val="HeadingBase"/>
    <w:link w:val="TitleChar"/>
    <w:qFormat/>
    <w:rsid w:val="00081BCE"/>
    <w:pPr>
      <w:spacing w:before="5040"/>
      <w:jc w:val="center"/>
    </w:pPr>
    <w:rPr>
      <w:sz w:val="48"/>
      <w:szCs w:val="72"/>
      <w:lang w:val="en-US"/>
    </w:rPr>
  </w:style>
  <w:style w:type="character" w:customStyle="1" w:styleId="TitleChar">
    <w:name w:val="Title Char"/>
    <w:basedOn w:val="DefaultParagraphFont"/>
    <w:link w:val="Title"/>
    <w:rsid w:val="00081B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BCE"/>
    <w:pPr>
      <w:tabs>
        <w:tab w:val="left" w:pos="3600"/>
        <w:tab w:val="left" w:pos="3958"/>
      </w:tabs>
    </w:pPr>
  </w:style>
  <w:style w:type="paragraph" w:styleId="List">
    <w:name w:val="List"/>
    <w:basedOn w:val="BodyText"/>
    <w:next w:val="BodyText"/>
    <w:rsid w:val="00081BCE"/>
    <w:pPr>
      <w:tabs>
        <w:tab w:val="left" w:pos="340"/>
      </w:tabs>
      <w:spacing w:before="60" w:after="60"/>
      <w:ind w:left="340" w:hanging="340"/>
    </w:pPr>
  </w:style>
  <w:style w:type="paragraph" w:customStyle="1" w:styleId="Note">
    <w:name w:val="Note"/>
    <w:basedOn w:val="BodyText"/>
    <w:rsid w:val="00081B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BCE"/>
    <w:pPr>
      <w:framePr w:wrap="auto" w:hAnchor="text" w:y="6049"/>
    </w:pPr>
    <w:rPr>
      <w:color w:val="000000"/>
      <w:sz w:val="40"/>
    </w:rPr>
  </w:style>
  <w:style w:type="paragraph" w:customStyle="1" w:styleId="TOCTitle">
    <w:name w:val="TOCTitle"/>
    <w:basedOn w:val="Heading1"/>
    <w:rsid w:val="00081BCE"/>
    <w:pPr>
      <w:spacing w:after="240"/>
      <w:jc w:val="center"/>
      <w:outlineLvl w:val="9"/>
    </w:pPr>
    <w:rPr>
      <w:caps/>
    </w:rPr>
  </w:style>
  <w:style w:type="paragraph" w:customStyle="1" w:styleId="Version">
    <w:name w:val="Version"/>
    <w:rsid w:val="00081B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1BCE"/>
    <w:pPr>
      <w:numPr>
        <w:numId w:val="12"/>
      </w:numPr>
      <w:tabs>
        <w:tab w:val="clear" w:pos="680"/>
      </w:tabs>
    </w:pPr>
  </w:style>
  <w:style w:type="paragraph" w:styleId="Index1">
    <w:name w:val="index 1"/>
    <w:basedOn w:val="Normal"/>
    <w:next w:val="Normal"/>
    <w:semiHidden/>
    <w:rsid w:val="00081BCE"/>
    <w:pPr>
      <w:keepNext w:val="0"/>
      <w:tabs>
        <w:tab w:val="right" w:pos="4176"/>
      </w:tabs>
      <w:ind w:left="198" w:hanging="198"/>
    </w:pPr>
    <w:rPr>
      <w:rFonts w:ascii="Garamond" w:hAnsi="Garamond"/>
    </w:rPr>
  </w:style>
  <w:style w:type="paragraph" w:styleId="IndexHeading">
    <w:name w:val="index heading"/>
    <w:basedOn w:val="Normal"/>
    <w:next w:val="Index1"/>
    <w:semiHidden/>
    <w:rsid w:val="00081BCE"/>
    <w:pPr>
      <w:spacing w:before="120" w:after="120"/>
    </w:pPr>
    <w:rPr>
      <w:rFonts w:ascii="Arial" w:hAnsi="Arial"/>
      <w:b/>
      <w:color w:val="918585"/>
      <w:sz w:val="24"/>
    </w:rPr>
  </w:style>
  <w:style w:type="paragraph" w:styleId="Header">
    <w:name w:val="header"/>
    <w:basedOn w:val="Normal"/>
    <w:link w:val="HeaderChar"/>
    <w:rsid w:val="00081B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BCE"/>
    <w:rPr>
      <w:rFonts w:ascii="Times New Roman" w:eastAsia="Times New Roman" w:hAnsi="Times New Roman" w:cs="Times New Roman"/>
      <w:sz w:val="16"/>
      <w:szCs w:val="20"/>
      <w:lang w:val="en-GB" w:eastAsia="en-US"/>
    </w:rPr>
  </w:style>
  <w:style w:type="paragraph" w:customStyle="1" w:styleId="Chapter">
    <w:name w:val="Chapter"/>
    <w:basedOn w:val="Normal"/>
    <w:rsid w:val="00081BCE"/>
    <w:pPr>
      <w:spacing w:before="240"/>
    </w:pPr>
    <w:rPr>
      <w:rFonts w:ascii="Times New Roman" w:hAnsi="Times New Roman"/>
      <w:smallCaps/>
      <w:spacing w:val="80"/>
      <w:sz w:val="28"/>
    </w:rPr>
  </w:style>
  <w:style w:type="paragraph" w:customStyle="1" w:styleId="InChapter">
    <w:name w:val="InChapter"/>
    <w:basedOn w:val="Heading3"/>
    <w:rsid w:val="00081BCE"/>
    <w:pPr>
      <w:spacing w:after="240"/>
      <w:outlineLvl w:val="9"/>
    </w:pPr>
    <w:rPr>
      <w:noProof/>
    </w:rPr>
  </w:style>
  <w:style w:type="paragraph" w:styleId="Index2">
    <w:name w:val="index 2"/>
    <w:basedOn w:val="Normal"/>
    <w:next w:val="Normal"/>
    <w:semiHidden/>
    <w:rsid w:val="00081BCE"/>
    <w:pPr>
      <w:tabs>
        <w:tab w:val="right" w:pos="4176"/>
      </w:tabs>
      <w:ind w:left="568" w:hanging="284"/>
    </w:pPr>
    <w:rPr>
      <w:rFonts w:ascii="Garamond" w:hAnsi="Garamond"/>
    </w:rPr>
  </w:style>
  <w:style w:type="paragraph" w:customStyle="1" w:styleId="Byline">
    <w:name w:val="Byline"/>
    <w:rsid w:val="00081B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BCE"/>
    <w:pPr>
      <w:tabs>
        <w:tab w:val="clear" w:pos="3600"/>
        <w:tab w:val="clear" w:pos="3958"/>
      </w:tabs>
      <w:jc w:val="right"/>
    </w:pPr>
  </w:style>
  <w:style w:type="character" w:styleId="Emphasis">
    <w:name w:val="Emphasis"/>
    <w:basedOn w:val="DefaultParagraphFont"/>
    <w:qFormat/>
    <w:rsid w:val="00081BCE"/>
    <w:rPr>
      <w:i/>
    </w:rPr>
  </w:style>
  <w:style w:type="paragraph" w:styleId="Caption">
    <w:name w:val="caption"/>
    <w:basedOn w:val="BodyText"/>
    <w:next w:val="Normal"/>
    <w:qFormat/>
    <w:rsid w:val="00081BCE"/>
    <w:pPr>
      <w:framePr w:w="2268" w:hSpace="181" w:vSpace="181" w:wrap="around" w:vAnchor="text" w:hAnchor="page" w:x="1135" w:y="285" w:anchorLock="1"/>
    </w:pPr>
    <w:rPr>
      <w:i/>
    </w:rPr>
  </w:style>
  <w:style w:type="paragraph" w:customStyle="1" w:styleId="MiniTOCTitle">
    <w:name w:val="MiniTOCTitle"/>
    <w:basedOn w:val="Heading4"/>
    <w:rsid w:val="00081BCE"/>
    <w:pPr>
      <w:spacing w:before="240"/>
      <w:outlineLvl w:val="9"/>
    </w:pPr>
    <w:rPr>
      <w:noProof/>
      <w:sz w:val="24"/>
    </w:rPr>
  </w:style>
  <w:style w:type="paragraph" w:customStyle="1" w:styleId="MiniTOCItem">
    <w:name w:val="MiniTOCItem"/>
    <w:basedOn w:val="ListBullet"/>
    <w:rsid w:val="00081BCE"/>
    <w:pPr>
      <w:numPr>
        <w:numId w:val="0"/>
      </w:numPr>
      <w:tabs>
        <w:tab w:val="right" w:leader="dot" w:pos="6521"/>
      </w:tabs>
      <w:spacing w:before="0" w:after="0"/>
    </w:pPr>
  </w:style>
  <w:style w:type="paragraph" w:customStyle="1" w:styleId="TOFTitle">
    <w:name w:val="TOFTitle"/>
    <w:basedOn w:val="TOCTitle"/>
    <w:rsid w:val="00081BCE"/>
  </w:style>
  <w:style w:type="paragraph" w:styleId="TableofFigures">
    <w:name w:val="table of figures"/>
    <w:basedOn w:val="Normal"/>
    <w:next w:val="Normal"/>
    <w:semiHidden/>
    <w:rsid w:val="00081BCE"/>
    <w:pPr>
      <w:tabs>
        <w:tab w:val="right" w:leader="dot" w:pos="9072"/>
      </w:tabs>
      <w:ind w:left="970" w:hanging="403"/>
    </w:pPr>
    <w:rPr>
      <w:rFonts w:ascii="Times New Roman" w:hAnsi="Times New Roman"/>
      <w:b/>
    </w:rPr>
  </w:style>
  <w:style w:type="paragraph" w:styleId="ListNumber">
    <w:name w:val="List Number"/>
    <w:basedOn w:val="List"/>
    <w:rsid w:val="00081BCE"/>
    <w:pPr>
      <w:numPr>
        <w:numId w:val="14"/>
      </w:numPr>
      <w:tabs>
        <w:tab w:val="clear" w:pos="340"/>
      </w:tabs>
    </w:pPr>
  </w:style>
  <w:style w:type="character" w:customStyle="1" w:styleId="WingdingSymbols">
    <w:name w:val="Wingding Symbols"/>
    <w:rsid w:val="00081BCE"/>
    <w:rPr>
      <w:rFonts w:ascii="Wingdings" w:hAnsi="Wingdings"/>
    </w:rPr>
  </w:style>
  <w:style w:type="paragraph" w:customStyle="1" w:styleId="TableHeading">
    <w:name w:val="Table Heading"/>
    <w:basedOn w:val="HeadingBase"/>
    <w:rsid w:val="00081BCE"/>
    <w:pPr>
      <w:keepLines/>
      <w:pBdr>
        <w:bottom w:val="single" w:sz="6" w:space="1" w:color="918585"/>
      </w:pBdr>
      <w:spacing w:before="240"/>
    </w:pPr>
  </w:style>
  <w:style w:type="character" w:customStyle="1" w:styleId="HotSpot">
    <w:name w:val="HotSpot"/>
    <w:rsid w:val="00081BCE"/>
    <w:rPr>
      <w:color w:val="0033CC"/>
      <w:u w:val="none"/>
    </w:rPr>
  </w:style>
  <w:style w:type="paragraph" w:customStyle="1" w:styleId="BodyTextRight">
    <w:name w:val="Body Text Right"/>
    <w:basedOn w:val="BodyText"/>
    <w:rsid w:val="00081BCE"/>
    <w:pPr>
      <w:spacing w:before="0" w:after="0"/>
      <w:jc w:val="right"/>
    </w:pPr>
  </w:style>
  <w:style w:type="paragraph" w:styleId="Index3">
    <w:name w:val="index 3"/>
    <w:basedOn w:val="ListNumber2"/>
    <w:next w:val="Normal"/>
    <w:semiHidden/>
    <w:rsid w:val="00081BCE"/>
    <w:pPr>
      <w:numPr>
        <w:numId w:val="0"/>
      </w:numPr>
      <w:tabs>
        <w:tab w:val="right" w:leader="dot" w:pos="4176"/>
      </w:tabs>
    </w:pPr>
  </w:style>
  <w:style w:type="paragraph" w:styleId="ListNumber2">
    <w:name w:val="List Number 2"/>
    <w:basedOn w:val="List2"/>
    <w:rsid w:val="00081BCE"/>
    <w:pPr>
      <w:numPr>
        <w:numId w:val="9"/>
      </w:numPr>
      <w:tabs>
        <w:tab w:val="clear" w:pos="1060"/>
      </w:tabs>
    </w:pPr>
  </w:style>
  <w:style w:type="paragraph" w:customStyle="1" w:styleId="MarginNote">
    <w:name w:val="Margin Note"/>
    <w:basedOn w:val="BodyText"/>
    <w:rsid w:val="00081B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B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B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BCE"/>
    <w:rPr>
      <w:sz w:val="32"/>
    </w:rPr>
  </w:style>
  <w:style w:type="paragraph" w:customStyle="1" w:styleId="HeadingProcedure">
    <w:name w:val="Heading Procedure"/>
    <w:basedOn w:val="HeadingBase"/>
    <w:next w:val="Normal"/>
    <w:rsid w:val="00081BCE"/>
    <w:pPr>
      <w:tabs>
        <w:tab w:val="left" w:pos="0"/>
      </w:tabs>
      <w:spacing w:before="120" w:after="60"/>
    </w:pPr>
    <w:rPr>
      <w:i/>
      <w:color w:val="918585"/>
      <w:sz w:val="22"/>
    </w:rPr>
  </w:style>
  <w:style w:type="paragraph" w:customStyle="1" w:styleId="TableBodyText">
    <w:name w:val="Table Body Text"/>
    <w:basedOn w:val="BodyText"/>
    <w:rsid w:val="00081BCE"/>
    <w:pPr>
      <w:spacing w:before="60" w:after="60"/>
    </w:pPr>
  </w:style>
  <w:style w:type="paragraph" w:styleId="ListContinue">
    <w:name w:val="List Continue"/>
    <w:basedOn w:val="List"/>
    <w:rsid w:val="00081BCE"/>
    <w:pPr>
      <w:ind w:firstLine="0"/>
    </w:pPr>
  </w:style>
  <w:style w:type="paragraph" w:customStyle="1" w:styleId="ListNote">
    <w:name w:val="List Note"/>
    <w:basedOn w:val="List"/>
    <w:rsid w:val="00081BCE"/>
    <w:pPr>
      <w:pBdr>
        <w:top w:val="single" w:sz="6" w:space="2" w:color="918585"/>
        <w:bottom w:val="single" w:sz="6" w:space="2" w:color="918585"/>
      </w:pBdr>
      <w:tabs>
        <w:tab w:val="left" w:pos="1021"/>
      </w:tabs>
      <w:ind w:firstLine="0"/>
    </w:pPr>
  </w:style>
  <w:style w:type="paragraph" w:customStyle="1" w:styleId="Warning">
    <w:name w:val="Warning"/>
    <w:basedOn w:val="BodyText"/>
    <w:rsid w:val="00081BCE"/>
    <w:pPr>
      <w:shd w:val="clear" w:color="auto" w:fill="D9D9D9"/>
      <w:tabs>
        <w:tab w:val="left" w:pos="992"/>
      </w:tabs>
      <w:ind w:left="119" w:right="119"/>
    </w:pPr>
    <w:rPr>
      <w:sz w:val="20"/>
    </w:rPr>
  </w:style>
  <w:style w:type="paragraph" w:customStyle="1" w:styleId="MarginIcons">
    <w:name w:val="Margin Icons"/>
    <w:basedOn w:val="BodyText"/>
    <w:rsid w:val="00081B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BCE"/>
    <w:rPr>
      <w:rFonts w:ascii="Courier New" w:hAnsi="Courier New"/>
    </w:rPr>
  </w:style>
  <w:style w:type="paragraph" w:customStyle="1" w:styleId="NoteBullet">
    <w:name w:val="Note Bullet"/>
    <w:basedOn w:val="Note"/>
    <w:rsid w:val="00081BCE"/>
    <w:pPr>
      <w:tabs>
        <w:tab w:val="clear" w:pos="680"/>
      </w:tabs>
      <w:spacing w:before="60" w:after="60"/>
    </w:pPr>
  </w:style>
  <w:style w:type="paragraph" w:customStyle="1" w:styleId="SubHeading2">
    <w:name w:val="SubHeading2"/>
    <w:basedOn w:val="HeadingBase"/>
    <w:rsid w:val="00081BCE"/>
    <w:pPr>
      <w:spacing w:before="240" w:after="60"/>
    </w:pPr>
    <w:rPr>
      <w:sz w:val="20"/>
    </w:rPr>
  </w:style>
  <w:style w:type="paragraph" w:customStyle="1" w:styleId="SubHeading1">
    <w:name w:val="SubHeading1"/>
    <w:basedOn w:val="HeadingBase"/>
    <w:rsid w:val="00081BCE"/>
    <w:pPr>
      <w:spacing w:before="240" w:after="60"/>
    </w:pPr>
    <w:rPr>
      <w:color w:val="918585"/>
      <w:sz w:val="22"/>
    </w:rPr>
  </w:style>
  <w:style w:type="paragraph" w:customStyle="1" w:styleId="SideHeading">
    <w:name w:val="Side Heading"/>
    <w:basedOn w:val="HeadingBase"/>
    <w:rsid w:val="00081B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BCE"/>
    <w:pPr>
      <w:numPr>
        <w:numId w:val="10"/>
      </w:numPr>
    </w:pPr>
  </w:style>
  <w:style w:type="paragraph" w:styleId="PlainText">
    <w:name w:val="Plain Text"/>
    <w:basedOn w:val="Normal"/>
    <w:link w:val="PlainTextChar"/>
    <w:rsid w:val="00081BCE"/>
    <w:rPr>
      <w:sz w:val="20"/>
    </w:rPr>
  </w:style>
  <w:style w:type="character" w:customStyle="1" w:styleId="PlainTextChar">
    <w:name w:val="Plain Text Char"/>
    <w:basedOn w:val="DefaultParagraphFont"/>
    <w:link w:val="PlainText"/>
    <w:rsid w:val="00081BCE"/>
    <w:rPr>
      <w:rFonts w:ascii="Courier New" w:eastAsia="Times New Roman" w:hAnsi="Courier New" w:cs="Times New Roman"/>
      <w:sz w:val="20"/>
      <w:szCs w:val="20"/>
      <w:lang w:eastAsia="en-US"/>
    </w:rPr>
  </w:style>
  <w:style w:type="character" w:customStyle="1" w:styleId="MenuOption">
    <w:name w:val="Menu Option"/>
    <w:basedOn w:val="DefaultParagraphFont"/>
    <w:rsid w:val="00081BCE"/>
    <w:rPr>
      <w:b/>
      <w:smallCaps/>
    </w:rPr>
  </w:style>
  <w:style w:type="paragraph" w:customStyle="1" w:styleId="TableListNumber">
    <w:name w:val="Table List Number"/>
    <w:basedOn w:val="ListNumber"/>
    <w:rsid w:val="00081BCE"/>
    <w:pPr>
      <w:numPr>
        <w:numId w:val="0"/>
      </w:numPr>
    </w:pPr>
  </w:style>
  <w:style w:type="paragraph" w:styleId="TOC4">
    <w:name w:val="toc 4"/>
    <w:basedOn w:val="TOCBase"/>
    <w:next w:val="Normal"/>
    <w:semiHidden/>
    <w:rsid w:val="00081BCE"/>
    <w:pPr>
      <w:tabs>
        <w:tab w:val="right" w:leader="dot" w:pos="9071"/>
      </w:tabs>
      <w:ind w:left="1701"/>
    </w:pPr>
  </w:style>
  <w:style w:type="paragraph" w:customStyle="1" w:styleId="ListAlpha">
    <w:name w:val="List Alpha"/>
    <w:basedOn w:val="List"/>
    <w:rsid w:val="00081BCE"/>
    <w:pPr>
      <w:numPr>
        <w:numId w:val="8"/>
      </w:numPr>
    </w:pPr>
  </w:style>
  <w:style w:type="paragraph" w:customStyle="1" w:styleId="ListAlpha2">
    <w:name w:val="List Alpha 2"/>
    <w:basedOn w:val="List2"/>
    <w:rsid w:val="00081BCE"/>
    <w:pPr>
      <w:numPr>
        <w:numId w:val="7"/>
      </w:numPr>
    </w:pPr>
  </w:style>
  <w:style w:type="paragraph" w:styleId="List2">
    <w:name w:val="List 2"/>
    <w:basedOn w:val="BodyText"/>
    <w:rsid w:val="00081BCE"/>
    <w:pPr>
      <w:tabs>
        <w:tab w:val="left" w:pos="680"/>
      </w:tabs>
      <w:spacing w:before="60" w:after="60"/>
      <w:ind w:left="680" w:hanging="340"/>
    </w:pPr>
  </w:style>
  <w:style w:type="paragraph" w:styleId="List3">
    <w:name w:val="List 3"/>
    <w:basedOn w:val="BodyText"/>
    <w:rsid w:val="00081BCE"/>
    <w:pPr>
      <w:tabs>
        <w:tab w:val="left" w:pos="1021"/>
      </w:tabs>
      <w:spacing w:before="60" w:after="60"/>
      <w:ind w:left="1020" w:hanging="340"/>
    </w:pPr>
  </w:style>
  <w:style w:type="paragraph" w:styleId="List4">
    <w:name w:val="List 4"/>
    <w:basedOn w:val="BodyText"/>
    <w:rsid w:val="00081BCE"/>
    <w:pPr>
      <w:tabs>
        <w:tab w:val="left" w:pos="1361"/>
      </w:tabs>
      <w:spacing w:before="60" w:after="60"/>
      <w:ind w:left="1361" w:hanging="340"/>
    </w:pPr>
  </w:style>
  <w:style w:type="paragraph" w:styleId="List5">
    <w:name w:val="List 5"/>
    <w:basedOn w:val="BodyText"/>
    <w:rsid w:val="00081BCE"/>
    <w:pPr>
      <w:tabs>
        <w:tab w:val="left" w:pos="1701"/>
      </w:tabs>
      <w:spacing w:before="60" w:after="60"/>
      <w:ind w:left="1701" w:hanging="340"/>
    </w:pPr>
  </w:style>
  <w:style w:type="paragraph" w:styleId="ListBullet3">
    <w:name w:val="List Bullet 3"/>
    <w:basedOn w:val="List3"/>
    <w:rsid w:val="00081BCE"/>
    <w:pPr>
      <w:numPr>
        <w:numId w:val="13"/>
      </w:numPr>
      <w:tabs>
        <w:tab w:val="clear" w:pos="1021"/>
      </w:tabs>
      <w:ind w:left="1037" w:hanging="357"/>
    </w:pPr>
  </w:style>
  <w:style w:type="paragraph" w:styleId="ListBullet4">
    <w:name w:val="List Bullet 4"/>
    <w:basedOn w:val="List4"/>
    <w:rsid w:val="00081BCE"/>
    <w:pPr>
      <w:numPr>
        <w:numId w:val="2"/>
      </w:numPr>
      <w:tabs>
        <w:tab w:val="clear" w:pos="1361"/>
      </w:tabs>
    </w:pPr>
  </w:style>
  <w:style w:type="paragraph" w:styleId="ListBullet5">
    <w:name w:val="List Bullet 5"/>
    <w:basedOn w:val="List5"/>
    <w:rsid w:val="00081BCE"/>
    <w:pPr>
      <w:numPr>
        <w:numId w:val="3"/>
      </w:numPr>
    </w:pPr>
  </w:style>
  <w:style w:type="paragraph" w:styleId="ListContinue2">
    <w:name w:val="List Continue 2"/>
    <w:basedOn w:val="List2"/>
    <w:rsid w:val="00081BCE"/>
    <w:pPr>
      <w:ind w:firstLine="0"/>
    </w:pPr>
  </w:style>
  <w:style w:type="paragraph" w:styleId="ListContinue3">
    <w:name w:val="List Continue 3"/>
    <w:basedOn w:val="List3"/>
    <w:rsid w:val="00081BCE"/>
    <w:pPr>
      <w:ind w:left="1021" w:firstLine="0"/>
    </w:pPr>
  </w:style>
  <w:style w:type="paragraph" w:styleId="ListContinue4">
    <w:name w:val="List Continue 4"/>
    <w:basedOn w:val="List4"/>
    <w:rsid w:val="00081BCE"/>
    <w:pPr>
      <w:ind w:firstLine="0"/>
    </w:pPr>
  </w:style>
  <w:style w:type="paragraph" w:styleId="ListContinue5">
    <w:name w:val="List Continue 5"/>
    <w:basedOn w:val="List5"/>
    <w:rsid w:val="00081BCE"/>
    <w:pPr>
      <w:ind w:firstLine="0"/>
    </w:pPr>
  </w:style>
  <w:style w:type="paragraph" w:styleId="ListNumber3">
    <w:name w:val="List Number 3"/>
    <w:basedOn w:val="List3"/>
    <w:rsid w:val="00081BCE"/>
    <w:pPr>
      <w:numPr>
        <w:numId w:val="4"/>
      </w:numPr>
    </w:pPr>
  </w:style>
  <w:style w:type="paragraph" w:styleId="ListNumber4">
    <w:name w:val="List Number 4"/>
    <w:basedOn w:val="List4"/>
    <w:rsid w:val="00081BCE"/>
    <w:pPr>
      <w:numPr>
        <w:numId w:val="5"/>
      </w:numPr>
    </w:pPr>
  </w:style>
  <w:style w:type="paragraph" w:styleId="ListNumber5">
    <w:name w:val="List Number 5"/>
    <w:basedOn w:val="List5"/>
    <w:rsid w:val="00081BCE"/>
    <w:pPr>
      <w:numPr>
        <w:numId w:val="6"/>
      </w:numPr>
    </w:pPr>
  </w:style>
  <w:style w:type="paragraph" w:styleId="BlockText">
    <w:name w:val="Block Text"/>
    <w:basedOn w:val="Normal"/>
    <w:rsid w:val="00081BCE"/>
    <w:pPr>
      <w:spacing w:after="120"/>
      <w:ind w:left="1440" w:right="1440"/>
    </w:pPr>
  </w:style>
  <w:style w:type="character" w:customStyle="1" w:styleId="Subscript">
    <w:name w:val="Subscript"/>
    <w:basedOn w:val="DefaultParagraphFont"/>
    <w:rsid w:val="00081BCE"/>
    <w:rPr>
      <w:sz w:val="16"/>
      <w:vertAlign w:val="subscript"/>
    </w:rPr>
  </w:style>
  <w:style w:type="character" w:customStyle="1" w:styleId="Superscript">
    <w:name w:val="Superscript"/>
    <w:basedOn w:val="DefaultParagraphFont"/>
    <w:rsid w:val="00081BCE"/>
    <w:rPr>
      <w:sz w:val="16"/>
      <w:vertAlign w:val="superscript"/>
    </w:rPr>
  </w:style>
  <w:style w:type="character" w:customStyle="1" w:styleId="Symbols">
    <w:name w:val="Symbols"/>
    <w:basedOn w:val="DefaultParagraphFont"/>
    <w:rsid w:val="00081BCE"/>
    <w:rPr>
      <w:rFonts w:ascii="Symbol" w:hAnsi="Symbol"/>
    </w:rPr>
  </w:style>
  <w:style w:type="character" w:customStyle="1" w:styleId="MenuOptions">
    <w:name w:val="Menu Options"/>
    <w:basedOn w:val="DefaultParagraphFont"/>
    <w:rsid w:val="00081BCE"/>
    <w:rPr>
      <w:rFonts w:ascii="Arial Narrow" w:hAnsi="Arial Narrow"/>
      <w:smallCaps/>
    </w:rPr>
  </w:style>
  <w:style w:type="character" w:customStyle="1" w:styleId="Buttons">
    <w:name w:val="Buttons"/>
    <w:basedOn w:val="DefaultParagraphFont"/>
    <w:rsid w:val="00081BCE"/>
    <w:rPr>
      <w:b/>
    </w:rPr>
  </w:style>
  <w:style w:type="character" w:customStyle="1" w:styleId="Underlined">
    <w:name w:val="Underlined"/>
    <w:basedOn w:val="DefaultParagraphFont"/>
    <w:rsid w:val="00081BCE"/>
    <w:rPr>
      <w:u w:val="single"/>
    </w:rPr>
  </w:style>
  <w:style w:type="paragraph" w:customStyle="1" w:styleId="TableBodyTextRight">
    <w:name w:val="Table Body Text Right"/>
    <w:basedOn w:val="TableBodyText"/>
    <w:rsid w:val="00081BCE"/>
    <w:pPr>
      <w:widowControl w:val="0"/>
      <w:autoSpaceDE w:val="0"/>
      <w:autoSpaceDN w:val="0"/>
      <w:adjustRightInd w:val="0"/>
      <w:jc w:val="right"/>
    </w:pPr>
    <w:rPr>
      <w:rFonts w:cs="Arial"/>
      <w:szCs w:val="18"/>
    </w:rPr>
  </w:style>
  <w:style w:type="paragraph" w:customStyle="1" w:styleId="CopyrightText">
    <w:name w:val="Copyright Text"/>
    <w:basedOn w:val="BodyText"/>
    <w:rsid w:val="00081BCE"/>
    <w:rPr>
      <w:sz w:val="18"/>
    </w:rPr>
  </w:style>
  <w:style w:type="paragraph" w:customStyle="1" w:styleId="BodySmallRight">
    <w:name w:val="Body Small Right"/>
    <w:basedOn w:val="BodyTextRight"/>
    <w:rsid w:val="00081BCE"/>
    <w:rPr>
      <w:sz w:val="18"/>
      <w:szCs w:val="18"/>
    </w:rPr>
  </w:style>
  <w:style w:type="paragraph" w:customStyle="1" w:styleId="MarginEdition">
    <w:name w:val="Margin Edition"/>
    <w:basedOn w:val="MarginNote"/>
    <w:rsid w:val="00081BCE"/>
    <w:pPr>
      <w:spacing w:before="0" w:after="0"/>
    </w:pPr>
    <w:rPr>
      <w:rFonts w:ascii="Times New Roman" w:hAnsi="Times New Roman"/>
      <w:color w:val="999999"/>
    </w:rPr>
  </w:style>
  <w:style w:type="paragraph" w:customStyle="1" w:styleId="Spacer">
    <w:name w:val="Spacer"/>
    <w:basedOn w:val="Normal"/>
    <w:rsid w:val="00081BCE"/>
    <w:rPr>
      <w:sz w:val="2"/>
      <w:szCs w:val="2"/>
    </w:rPr>
  </w:style>
  <w:style w:type="character" w:customStyle="1" w:styleId="Small">
    <w:name w:val="Small"/>
    <w:basedOn w:val="DefaultParagraphFont"/>
    <w:rsid w:val="00081BCE"/>
    <w:rPr>
      <w:sz w:val="16"/>
    </w:rPr>
  </w:style>
  <w:style w:type="paragraph" w:customStyle="1" w:styleId="WideTable">
    <w:name w:val="Wide Table"/>
    <w:basedOn w:val="Normal"/>
    <w:rsid w:val="00081BCE"/>
    <w:pPr>
      <w:ind w:left="-1418"/>
    </w:pPr>
    <w:rPr>
      <w:sz w:val="2"/>
      <w:szCs w:val="2"/>
    </w:rPr>
  </w:style>
  <w:style w:type="character" w:styleId="PageNumber">
    <w:name w:val="page number"/>
    <w:basedOn w:val="DefaultParagraphFont"/>
    <w:rsid w:val="00081BCE"/>
  </w:style>
  <w:style w:type="paragraph" w:styleId="Quote">
    <w:name w:val="Quote"/>
    <w:basedOn w:val="Heading1"/>
    <w:link w:val="QuoteChar"/>
    <w:qFormat/>
    <w:rsid w:val="00081BCE"/>
    <w:rPr>
      <w:b w:val="0"/>
      <w:sz w:val="72"/>
      <w:szCs w:val="72"/>
      <w:lang w:val="en-NZ"/>
    </w:rPr>
  </w:style>
  <w:style w:type="character" w:customStyle="1" w:styleId="QuoteChar">
    <w:name w:val="Quote Char"/>
    <w:basedOn w:val="DefaultParagraphFont"/>
    <w:link w:val="Quote"/>
    <w:rsid w:val="00081B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BCE"/>
    <w:pPr>
      <w:pageBreakBefore/>
    </w:pPr>
  </w:style>
  <w:style w:type="paragraph" w:customStyle="1" w:styleId="Border">
    <w:name w:val="Border"/>
    <w:basedOn w:val="Normal"/>
    <w:qFormat/>
    <w:rsid w:val="00081B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BCE"/>
    <w:rPr>
      <w:b/>
      <w:bCs/>
      <w:i/>
      <w:iCs/>
      <w:color w:val="auto"/>
    </w:rPr>
  </w:style>
  <w:style w:type="paragraph" w:styleId="IntenseQuote">
    <w:name w:val="Intense Quote"/>
    <w:basedOn w:val="Normal"/>
    <w:next w:val="Normal"/>
    <w:link w:val="IntenseQuoteChar"/>
    <w:uiPriority w:val="30"/>
    <w:qFormat/>
    <w:rsid w:val="00081B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B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BCE"/>
    <w:rPr>
      <w:smallCaps/>
      <w:color w:val="auto"/>
      <w:u w:val="single"/>
    </w:rPr>
  </w:style>
  <w:style w:type="character" w:styleId="IntenseReference">
    <w:name w:val="Intense Reference"/>
    <w:basedOn w:val="DefaultParagraphFont"/>
    <w:uiPriority w:val="32"/>
    <w:qFormat/>
    <w:rsid w:val="00081BCE"/>
    <w:rPr>
      <w:b/>
      <w:bCs/>
      <w:smallCaps/>
      <w:color w:val="auto"/>
      <w:spacing w:val="5"/>
      <w:u w:val="single"/>
    </w:rPr>
  </w:style>
  <w:style w:type="paragraph" w:customStyle="1" w:styleId="2ColumnHeading">
    <w:name w:val="2Column Heading"/>
    <w:basedOn w:val="BodyText"/>
    <w:qFormat/>
    <w:rsid w:val="00081BCE"/>
    <w:pPr>
      <w:spacing w:after="60"/>
      <w:ind w:left="-2268"/>
    </w:pPr>
    <w:rPr>
      <w:b/>
    </w:rPr>
  </w:style>
  <w:style w:type="paragraph" w:customStyle="1" w:styleId="Heading1TOC">
    <w:name w:val="Heading1 TOC"/>
    <w:basedOn w:val="Normal"/>
    <w:qFormat/>
    <w:rsid w:val="00081BCE"/>
    <w:pPr>
      <w:spacing w:before="240" w:after="120"/>
    </w:pPr>
    <w:rPr>
      <w:rFonts w:ascii="Times New Roman" w:hAnsi="Times New Roman"/>
      <w:b/>
      <w:sz w:val="32"/>
    </w:rPr>
  </w:style>
  <w:style w:type="paragraph" w:customStyle="1" w:styleId="Heading2TOC">
    <w:name w:val="Heading2 TOC"/>
    <w:basedOn w:val="Normal"/>
    <w:qFormat/>
    <w:rsid w:val="00081BCE"/>
    <w:pPr>
      <w:spacing w:before="240" w:after="60"/>
    </w:pPr>
    <w:rPr>
      <w:rFonts w:ascii="Times New Roman" w:hAnsi="Times New Roman"/>
      <w:b/>
      <w:sz w:val="28"/>
    </w:rPr>
  </w:style>
  <w:style w:type="character" w:customStyle="1" w:styleId="Underline">
    <w:name w:val="Underline"/>
    <w:basedOn w:val="DefaultParagraphFont"/>
    <w:qFormat/>
    <w:rsid w:val="00081BCE"/>
    <w:rPr>
      <w:u w:val="single"/>
    </w:rPr>
  </w:style>
  <w:style w:type="character" w:customStyle="1" w:styleId="BoldandItalics">
    <w:name w:val="Bold and Italics"/>
    <w:qFormat/>
    <w:rsid w:val="00081BCE"/>
    <w:rPr>
      <w:b/>
      <w:i/>
      <w:u w:val="none"/>
    </w:rPr>
  </w:style>
  <w:style w:type="paragraph" w:styleId="BalloonText">
    <w:name w:val="Balloon Text"/>
    <w:basedOn w:val="Normal"/>
    <w:link w:val="BalloonTextChar"/>
    <w:rsid w:val="00081BCE"/>
    <w:rPr>
      <w:rFonts w:ascii="Tahoma" w:hAnsi="Tahoma" w:cs="Tahoma"/>
      <w:sz w:val="16"/>
      <w:szCs w:val="16"/>
    </w:rPr>
  </w:style>
  <w:style w:type="character" w:customStyle="1" w:styleId="BalloonTextChar">
    <w:name w:val="Balloon Text Char"/>
    <w:basedOn w:val="DefaultParagraphFont"/>
    <w:link w:val="BalloonText"/>
    <w:rsid w:val="00081B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B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B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BCE"/>
    <w:rPr>
      <w:b/>
      <w:color w:val="660033"/>
      <w:spacing w:val="0"/>
    </w:rPr>
  </w:style>
  <w:style w:type="paragraph" w:customStyle="1" w:styleId="Nameditemlist">
    <w:name w:val="Named item list"/>
    <w:basedOn w:val="BodyText"/>
    <w:qFormat/>
    <w:rsid w:val="00081BCE"/>
    <w:pPr>
      <w:tabs>
        <w:tab w:val="left" w:pos="2835"/>
      </w:tabs>
      <w:ind w:left="2835" w:hanging="2835"/>
    </w:pPr>
  </w:style>
  <w:style w:type="paragraph" w:customStyle="1" w:styleId="BodyTextnopadding">
    <w:name w:val="Body Text no padding"/>
    <w:basedOn w:val="BodyText"/>
    <w:qFormat/>
    <w:rsid w:val="00081BCE"/>
    <w:pPr>
      <w:spacing w:before="0" w:after="0"/>
    </w:pPr>
  </w:style>
  <w:style w:type="paragraph" w:customStyle="1" w:styleId="BodyTextBold">
    <w:name w:val="Body Text Bold"/>
    <w:basedOn w:val="BodyText"/>
    <w:qFormat/>
    <w:rsid w:val="00081BCE"/>
    <w:rPr>
      <w:b/>
    </w:rPr>
  </w:style>
  <w:style w:type="character" w:styleId="Hyperlink">
    <w:name w:val="Hyperlink"/>
    <w:basedOn w:val="DefaultParagraphFont"/>
    <w:uiPriority w:val="99"/>
    <w:unhideWhenUsed/>
    <w:rsid w:val="00F927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5605</Characters>
  <Application>Microsoft Office Word</Application>
  <DocSecurity>0</DocSecurity>
  <Lines>233</Lines>
  <Paragraphs>121</Paragraphs>
  <ScaleCrop>false</ScaleCrop>
  <Company>Author-it Software Corporation Ltd.</Company>
  <LinksUpToDate>false</LinksUpToDate>
  <CharactersWithSpaces>6334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MEA386 Repair and/or overhaul gas turbine engine ancillary section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2019-09-30T08:26:00Z</dcterms:created>
  <dcterms:modified xsi:type="dcterms:W3CDTF">2019-09-30T08:26:00Z</dcterms:modified>
</cp:coreProperties>
</file>