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2E6A" w:rsidP="00A32E6A">
      <w:pPr>
        <w:pStyle w:val="Title"/>
      </w:pPr>
      <w:r>
        <w:fldChar w:fldCharType="begin"/>
      </w:r>
      <w:r>
        <w:instrText xml:space="preserve"> TITLE   \* MERGEFORMAT </w:instrText>
      </w:r>
      <w:r>
        <w:fldChar w:fldCharType="separate"/>
      </w:r>
      <w:r>
        <w:t>MEA367 Repair/modify aircraft composite structure using cold bonding</w:t>
      </w:r>
      <w:r>
        <w:fldChar w:fldCharType="end"/>
      </w:r>
    </w:p>
    <w:p w:rsidR="00A32E6A" w:rsidP="00A32E6A">
      <w:pPr>
        <w:pStyle w:val="Version"/>
        <w:sectPr w:rsidSect="00B914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1496" w:rsidP="00B91496">
      <w:pPr>
        <w:pStyle w:val="SuperHeading"/>
      </w:pPr>
      <w:r w:rsidRPr="00B91496">
        <w:t>MEA367 Repair/modify aircraft composite structure using cold bonding</w:t>
      </w:r>
    </w:p>
    <w:p w:rsidR="00000000" w:rsidRPr="00B91496" w:rsidP="00B91496">
      <w:pPr>
        <w:pStyle w:val="Heading1"/>
      </w:pPr>
      <w:bookmarkStart w:id="1" w:name="O_722448"/>
      <w:bookmarkEnd w:id="1"/>
      <w:r w:rsidRPr="00B91496">
        <w:t>Modification History</w:t>
      </w:r>
    </w:p>
    <w:p w:rsidR="00000000" w:rsidRPr="00B91496" w:rsidP="00A32E6A">
      <w:pPr>
        <w:pStyle w:val="BodyText"/>
      </w:pPr>
      <w:r w:rsidRPr="00B91496">
        <w:t>Release 1 - New unit of competency</w:t>
      </w:r>
    </w:p>
    <w:p w:rsidR="00000000" w:rsidRPr="00B91496" w:rsidP="00B91496">
      <w:pPr>
        <w:pStyle w:val="Heading1"/>
      </w:pPr>
      <w:bookmarkStart w:id="2" w:name="O_722456"/>
      <w:bookmarkEnd w:id="2"/>
      <w:r w:rsidRPr="00B91496">
        <w:t>Application</w:t>
      </w:r>
    </w:p>
    <w:p w:rsidR="00000000" w:rsidRPr="00B91496" w:rsidP="00A32E6A">
      <w:pPr>
        <w:pStyle w:val="BodyText"/>
      </w:pPr>
      <w:r w:rsidRPr="00B91496">
        <w:t>This unit of competency requires application of hand skills and the use of maintenance publications, applicable materials, tools and methods to repair aircraft composite material structure and components using cold cure repair techniques either on-aircraft</w:t>
      </w:r>
      <w:r w:rsidRPr="00B91496">
        <w:t xml:space="preserve"> or in the workshop during scheduled or unscheduled maintenance.</w:t>
      </w:r>
    </w:p>
    <w:p w:rsidR="00000000" w:rsidRPr="00B91496" w:rsidP="00A32E6A">
      <w:pPr>
        <w:pStyle w:val="BodyText"/>
      </w:pPr>
      <w:r w:rsidRPr="00B91496">
        <w:t xml:space="preserve">The unit is part of the Aeroskills Structures Maintenance Certificate IV training pathway, and of the Mechanical Certificate IV (Aircraft Maintenance Stream) training pathways. </w:t>
      </w:r>
    </w:p>
    <w:p w:rsidR="00000000" w:rsidRPr="00B91496" w:rsidP="00A32E6A">
      <w:pPr>
        <w:pStyle w:val="BodyText"/>
      </w:pPr>
      <w:r w:rsidRPr="00B91496">
        <w:t>The unit is</w:t>
      </w:r>
      <w:r w:rsidRPr="00B91496">
        <w:t xml:space="preserve"> used in workplaces that operate under the airworthiness regulatory systems of the Australian Defence Force (ADF) and the Civil Aviation Safety Authority (CASA).</w:t>
      </w:r>
    </w:p>
    <w:p w:rsidR="00000000" w:rsidRPr="00B91496" w:rsidP="00B91496">
      <w:pPr>
        <w:pStyle w:val="Heading1"/>
      </w:pPr>
      <w:bookmarkStart w:id="3" w:name="O_722455"/>
      <w:bookmarkEnd w:id="3"/>
      <w:r w:rsidRPr="00B91496">
        <w:t>Pre-requisite Unit</w:t>
      </w:r>
    </w:p>
    <w:tbl>
      <w:tblPr>
        <w:tblW w:w="0" w:type="auto"/>
        <w:tblLayout w:type="fixed"/>
        <w:tblCellMar>
          <w:left w:w="62" w:type="dxa"/>
          <w:right w:w="62" w:type="dxa"/>
        </w:tblCellMar>
        <w:tblLook w:val="0000"/>
      </w:tblPr>
      <w:tblGrid>
        <w:gridCol w:w="1738"/>
        <w:gridCol w:w="7034"/>
      </w:tblGrid>
      <w:tr w:rsidTr="00B91496">
        <w:tblPrEx>
          <w:tblW w:w="0" w:type="auto"/>
          <w:tblLayout w:type="fixed"/>
          <w:tblCellMar>
            <w:left w:w="62" w:type="dxa"/>
            <w:right w:w="62" w:type="dxa"/>
          </w:tblCellMar>
          <w:tblLook w:val="0000"/>
        </w:tblPrEx>
        <w:tc>
          <w:tcPr>
            <w:tcW w:w="1738" w:type="dxa"/>
            <w:tcBorders>
              <w:top w:val="nil"/>
              <w:left w:val="nil"/>
              <w:bottom w:val="nil"/>
              <w:right w:val="nil"/>
            </w:tcBorders>
            <w:tcMar>
              <w:top w:w="0" w:type="dxa"/>
              <w:left w:w="62" w:type="dxa"/>
              <w:bottom w:w="0" w:type="dxa"/>
              <w:right w:w="62" w:type="dxa"/>
            </w:tcMar>
          </w:tcPr>
          <w:p w:rsidR="00000000" w:rsidP="00B91496">
            <w:pPr>
              <w:pStyle w:val="BodyText"/>
              <w:rPr>
                <w:lang w:val="en-NZ"/>
              </w:rPr>
            </w:pPr>
            <w:r w:rsidRPr="00B91496">
              <w:t>MEA401</w:t>
            </w:r>
          </w:p>
        </w:tc>
        <w:tc>
          <w:tcPr>
            <w:tcW w:w="7034" w:type="dxa"/>
            <w:tcBorders>
              <w:top w:val="nil"/>
              <w:left w:val="nil"/>
              <w:bottom w:val="nil"/>
              <w:right w:val="nil"/>
            </w:tcBorders>
            <w:tcMar>
              <w:top w:w="0" w:type="dxa"/>
              <w:left w:w="62" w:type="dxa"/>
              <w:bottom w:w="0" w:type="dxa"/>
              <w:right w:w="62" w:type="dxa"/>
            </w:tcMar>
          </w:tcPr>
          <w:p w:rsidR="00000000" w:rsidP="00B91496">
            <w:pPr>
              <w:pStyle w:val="BodyText"/>
              <w:rPr>
                <w:lang w:val="en-NZ"/>
              </w:rPr>
            </w:pPr>
            <w:r w:rsidRPr="00B91496">
              <w:t>Inspect aircraft structures</w:t>
            </w:r>
          </w:p>
        </w:tc>
      </w:tr>
      <w:tr w:rsidTr="00B91496">
        <w:tblPrEx>
          <w:tblW w:w="0" w:type="auto"/>
          <w:tblLayout w:type="fixed"/>
          <w:tblCellMar>
            <w:left w:w="62" w:type="dxa"/>
            <w:right w:w="62" w:type="dxa"/>
          </w:tblCellMar>
          <w:tblLook w:val="0000"/>
        </w:tblPrEx>
        <w:tc>
          <w:tcPr>
            <w:tcW w:w="1738" w:type="dxa"/>
            <w:tcBorders>
              <w:top w:val="nil"/>
              <w:left w:val="nil"/>
              <w:bottom w:val="nil"/>
              <w:right w:val="nil"/>
            </w:tcBorders>
            <w:tcMar>
              <w:top w:w="0" w:type="dxa"/>
              <w:left w:w="62" w:type="dxa"/>
              <w:bottom w:w="0" w:type="dxa"/>
              <w:right w:w="62" w:type="dxa"/>
            </w:tcMar>
          </w:tcPr>
          <w:p w:rsidR="00000000" w:rsidP="00B91496">
            <w:pPr>
              <w:pStyle w:val="BodyText"/>
              <w:rPr>
                <w:lang w:val="en-NZ"/>
              </w:rPr>
            </w:pPr>
            <w:r w:rsidRPr="00B91496">
              <w:rPr>
                <w:rStyle w:val="SpecialBold"/>
              </w:rPr>
              <w:t>OR</w:t>
            </w:r>
          </w:p>
        </w:tc>
        <w:tc>
          <w:tcPr>
            <w:tcW w:w="7034" w:type="dxa"/>
            <w:tcBorders>
              <w:top w:val="nil"/>
              <w:left w:val="nil"/>
              <w:bottom w:val="nil"/>
              <w:right w:val="nil"/>
            </w:tcBorders>
            <w:tcMar>
              <w:top w:w="0" w:type="dxa"/>
              <w:left w:w="62" w:type="dxa"/>
              <w:bottom w:w="0" w:type="dxa"/>
              <w:right w:w="62" w:type="dxa"/>
            </w:tcMar>
          </w:tcPr>
          <w:p w:rsidR="00000000" w:rsidP="00B91496">
            <w:pPr>
              <w:pStyle w:val="BodyText"/>
              <w:rPr>
                <w:lang w:val="en-NZ"/>
              </w:rPr>
            </w:pPr>
          </w:p>
        </w:tc>
      </w:tr>
      <w:tr w:rsidTr="00B91496">
        <w:tblPrEx>
          <w:tblW w:w="0" w:type="auto"/>
          <w:tblLayout w:type="fixed"/>
          <w:tblCellMar>
            <w:left w:w="62" w:type="dxa"/>
            <w:right w:w="62" w:type="dxa"/>
          </w:tblCellMar>
          <w:tblLook w:val="0000"/>
        </w:tblPrEx>
        <w:tc>
          <w:tcPr>
            <w:tcW w:w="1738" w:type="dxa"/>
            <w:tcBorders>
              <w:top w:val="nil"/>
              <w:left w:val="nil"/>
              <w:bottom w:val="nil"/>
              <w:right w:val="nil"/>
            </w:tcBorders>
            <w:tcMar>
              <w:top w:w="0" w:type="dxa"/>
              <w:left w:w="62" w:type="dxa"/>
              <w:bottom w:w="0" w:type="dxa"/>
              <w:right w:w="62" w:type="dxa"/>
            </w:tcMar>
          </w:tcPr>
          <w:p w:rsidR="00000000" w:rsidP="00B91496">
            <w:pPr>
              <w:pStyle w:val="BodyText"/>
              <w:rPr>
                <w:lang w:val="en-NZ"/>
              </w:rPr>
            </w:pPr>
            <w:r w:rsidRPr="00B91496">
              <w:t>MEA339</w:t>
            </w:r>
          </w:p>
        </w:tc>
        <w:tc>
          <w:tcPr>
            <w:tcW w:w="7034" w:type="dxa"/>
            <w:tcBorders>
              <w:top w:val="nil"/>
              <w:left w:val="nil"/>
              <w:bottom w:val="nil"/>
              <w:right w:val="nil"/>
            </w:tcBorders>
            <w:tcMar>
              <w:top w:w="0" w:type="dxa"/>
              <w:left w:w="62" w:type="dxa"/>
              <w:bottom w:w="0" w:type="dxa"/>
              <w:right w:w="62" w:type="dxa"/>
            </w:tcMar>
          </w:tcPr>
          <w:p w:rsidR="00000000" w:rsidP="00B91496">
            <w:pPr>
              <w:pStyle w:val="BodyText"/>
              <w:rPr>
                <w:lang w:val="en-NZ"/>
              </w:rPr>
            </w:pPr>
            <w:r w:rsidRPr="00B91496">
              <w:t>Inspect, r</w:t>
            </w:r>
            <w:r w:rsidRPr="00B91496">
              <w:t>epair and maintain aircraft structures</w:t>
            </w:r>
          </w:p>
        </w:tc>
      </w:tr>
      <w:tr w:rsidTr="00B91496">
        <w:tblPrEx>
          <w:tblW w:w="0" w:type="auto"/>
          <w:tblLayout w:type="fixed"/>
          <w:tblCellMar>
            <w:left w:w="62" w:type="dxa"/>
            <w:right w:w="62" w:type="dxa"/>
          </w:tblCellMar>
          <w:tblLook w:val="0000"/>
        </w:tblPrEx>
        <w:tc>
          <w:tcPr>
            <w:tcW w:w="1738" w:type="dxa"/>
            <w:tcBorders>
              <w:top w:val="nil"/>
              <w:left w:val="nil"/>
              <w:bottom w:val="nil"/>
              <w:right w:val="nil"/>
            </w:tcBorders>
            <w:tcMar>
              <w:top w:w="0" w:type="dxa"/>
              <w:left w:w="62" w:type="dxa"/>
              <w:bottom w:w="0" w:type="dxa"/>
              <w:right w:w="62" w:type="dxa"/>
            </w:tcMar>
          </w:tcPr>
          <w:p w:rsidR="00000000" w:rsidP="00B91496">
            <w:pPr>
              <w:pStyle w:val="BodyText"/>
              <w:rPr>
                <w:lang w:val="en-NZ"/>
              </w:rPr>
            </w:pPr>
            <w:r w:rsidRPr="00B91496">
              <w:rPr>
                <w:rStyle w:val="SpecialBold"/>
              </w:rPr>
              <w:t>OR</w:t>
            </w:r>
          </w:p>
        </w:tc>
        <w:tc>
          <w:tcPr>
            <w:tcW w:w="7034" w:type="dxa"/>
            <w:tcBorders>
              <w:top w:val="nil"/>
              <w:left w:val="nil"/>
              <w:bottom w:val="nil"/>
              <w:right w:val="nil"/>
            </w:tcBorders>
            <w:tcMar>
              <w:top w:w="0" w:type="dxa"/>
              <w:left w:w="62" w:type="dxa"/>
              <w:bottom w:w="0" w:type="dxa"/>
              <w:right w:w="62" w:type="dxa"/>
            </w:tcMar>
          </w:tcPr>
          <w:p w:rsidR="00000000" w:rsidP="00B91496">
            <w:pPr>
              <w:pStyle w:val="BodyText"/>
              <w:rPr>
                <w:lang w:val="en-NZ"/>
              </w:rPr>
            </w:pPr>
          </w:p>
        </w:tc>
      </w:tr>
      <w:tr w:rsidTr="00B91496">
        <w:tblPrEx>
          <w:tblW w:w="0" w:type="auto"/>
          <w:tblLayout w:type="fixed"/>
          <w:tblCellMar>
            <w:left w:w="62" w:type="dxa"/>
            <w:right w:w="62" w:type="dxa"/>
          </w:tblCellMar>
          <w:tblLook w:val="0000"/>
        </w:tblPrEx>
        <w:tc>
          <w:tcPr>
            <w:tcW w:w="1738" w:type="dxa"/>
            <w:tcBorders>
              <w:top w:val="nil"/>
              <w:left w:val="nil"/>
              <w:bottom w:val="nil"/>
              <w:right w:val="nil"/>
            </w:tcBorders>
            <w:tcMar>
              <w:top w:w="0" w:type="dxa"/>
              <w:left w:w="62" w:type="dxa"/>
              <w:bottom w:w="0" w:type="dxa"/>
              <w:right w:w="62" w:type="dxa"/>
            </w:tcMar>
          </w:tcPr>
          <w:p w:rsidR="00000000" w:rsidP="00B91496">
            <w:pPr>
              <w:pStyle w:val="BodyText"/>
              <w:rPr>
                <w:lang w:val="en-NZ"/>
              </w:rPr>
            </w:pPr>
            <w:r w:rsidRPr="00B91496">
              <w:t>MEA369</w:t>
            </w:r>
          </w:p>
        </w:tc>
        <w:tc>
          <w:tcPr>
            <w:tcW w:w="7034" w:type="dxa"/>
            <w:tcBorders>
              <w:top w:val="nil"/>
              <w:left w:val="nil"/>
              <w:bottom w:val="nil"/>
              <w:right w:val="nil"/>
            </w:tcBorders>
            <w:tcMar>
              <w:top w:w="0" w:type="dxa"/>
              <w:left w:w="62" w:type="dxa"/>
              <w:bottom w:w="0" w:type="dxa"/>
              <w:right w:w="62" w:type="dxa"/>
            </w:tcMar>
          </w:tcPr>
          <w:p w:rsidR="00000000" w:rsidRPr="00B91496" w:rsidP="00B91496">
            <w:pPr>
              <w:pStyle w:val="BodyText"/>
            </w:pPr>
            <w:r w:rsidRPr="00B91496">
              <w:t>Inspect and maintain structures and related components of non-pressurised small aircraft</w:t>
            </w:r>
          </w:p>
        </w:tc>
      </w:tr>
    </w:tbl>
    <w:p w:rsidR="00000000" w:rsidRPr="00B91496" w:rsidP="00B91496">
      <w:pPr>
        <w:pStyle w:val="BodyText"/>
      </w:pPr>
    </w:p>
    <w:p w:rsidR="00000000" w:rsidRPr="00B91496" w:rsidP="00B91496">
      <w:pPr>
        <w:pStyle w:val="AllowPageBreak"/>
      </w:pPr>
    </w:p>
    <w:p w:rsidR="00000000" w:rsidRPr="00B91496" w:rsidP="00B91496">
      <w:pPr>
        <w:pStyle w:val="Heading1"/>
      </w:pPr>
      <w:bookmarkStart w:id="4" w:name="O_722454"/>
      <w:bookmarkEnd w:id="4"/>
      <w:r w:rsidRPr="00B91496">
        <w:t>Competency Field</w:t>
      </w:r>
    </w:p>
    <w:p w:rsidR="00000000" w:rsidRPr="00B91496" w:rsidP="00A32E6A">
      <w:pPr>
        <w:pStyle w:val="BodyText"/>
      </w:pPr>
      <w:r w:rsidRPr="00B91496">
        <w:t>Aviation maintenance</w:t>
      </w:r>
    </w:p>
    <w:p w:rsidR="00000000" w:rsidRPr="00B91496" w:rsidP="00B91496">
      <w:pPr>
        <w:pStyle w:val="Heading1"/>
      </w:pPr>
      <w:bookmarkStart w:id="5" w:name="O_722453"/>
      <w:bookmarkEnd w:id="5"/>
      <w:r w:rsidRPr="00B91496">
        <w:t>Unit Sector</w:t>
      </w:r>
    </w:p>
    <w:p w:rsidR="00000000" w:rsidRPr="00B91496" w:rsidP="00B91496">
      <w:pPr>
        <w:pStyle w:val="Heading1"/>
      </w:pPr>
      <w:bookmarkStart w:id="6" w:name="O_722452"/>
      <w:bookmarkEnd w:id="6"/>
      <w:r w:rsidRPr="00B91496">
        <w:t>Elements and Performance Criteria</w:t>
      </w:r>
    </w:p>
    <w:tbl>
      <w:tblPr>
        <w:tblW w:w="0" w:type="auto"/>
        <w:tblLayout w:type="fixed"/>
        <w:tblCellMar>
          <w:left w:w="62" w:type="dxa"/>
          <w:right w:w="62" w:type="dxa"/>
        </w:tblCellMar>
        <w:tblLook w:val="0000"/>
      </w:tblPr>
      <w:tblGrid>
        <w:gridCol w:w="544"/>
        <w:gridCol w:w="2426"/>
        <w:gridCol w:w="810"/>
        <w:gridCol w:w="5400"/>
      </w:tblGrid>
      <w:tr w:rsidTr="00B91496">
        <w:tblPrEx>
          <w:tblW w:w="0" w:type="auto"/>
          <w:tblLayout w:type="fixed"/>
          <w:tblCellMar>
            <w:left w:w="62" w:type="dxa"/>
            <w:right w:w="62" w:type="dxa"/>
          </w:tblCellMar>
          <w:tblLook w:val="0000"/>
        </w:tblPrEx>
        <w:tc>
          <w:tcPr>
            <w:tcW w:w="2970" w:type="dxa"/>
            <w:gridSpan w:val="2"/>
            <w:tcBorders>
              <w:top w:val="nil"/>
              <w:left w:val="nil"/>
              <w:bottom w:val="nil"/>
              <w:right w:val="nil"/>
            </w:tcBorders>
            <w:tcMar>
              <w:top w:w="0" w:type="dxa"/>
              <w:left w:w="62" w:type="dxa"/>
              <w:bottom w:w="0" w:type="dxa"/>
              <w:right w:w="62" w:type="dxa"/>
            </w:tcMar>
          </w:tcPr>
          <w:p w:rsidR="00000000" w:rsidP="00B91496">
            <w:pPr>
              <w:pStyle w:val="BodyText"/>
              <w:rPr>
                <w:lang w:val="en-NZ"/>
              </w:rPr>
            </w:pPr>
            <w:r w:rsidRPr="00B91496">
              <w:t>Elements describe the essential outcomes.</w:t>
            </w:r>
          </w:p>
        </w:tc>
        <w:tc>
          <w:tcPr>
            <w:tcW w:w="6210" w:type="dxa"/>
            <w:gridSpan w:val="2"/>
            <w:tcBorders>
              <w:top w:val="nil"/>
              <w:left w:val="nil"/>
              <w:bottom w:val="nil"/>
              <w:right w:val="nil"/>
            </w:tcBorders>
            <w:tcMar>
              <w:top w:w="0" w:type="dxa"/>
              <w:left w:w="62" w:type="dxa"/>
              <w:bottom w:w="0" w:type="dxa"/>
              <w:right w:w="62" w:type="dxa"/>
            </w:tcMar>
          </w:tcPr>
          <w:p w:rsidR="00000000" w:rsidP="00B91496">
            <w:pPr>
              <w:pStyle w:val="BodyText"/>
              <w:rPr>
                <w:lang w:val="en-NZ"/>
              </w:rPr>
            </w:pPr>
            <w:r w:rsidRPr="00B91496">
              <w:t xml:space="preserve">Performance criteria describe the performance needed to demonstrate achievement of the element. </w:t>
            </w:r>
          </w:p>
        </w:tc>
      </w:tr>
      <w:tr w:rsidTr="00B91496">
        <w:tblPrEx>
          <w:tblW w:w="0" w:type="auto"/>
          <w:tblLayout w:type="fixed"/>
          <w:tblCellMar>
            <w:left w:w="62" w:type="dxa"/>
            <w:right w:w="62" w:type="dxa"/>
          </w:tblCellMar>
          <w:tblLook w:val="0000"/>
        </w:tblPrEx>
        <w:tc>
          <w:tcPr>
            <w:tcW w:w="544" w:type="dxa"/>
            <w:tcBorders>
              <w:top w:val="nil"/>
              <w:left w:val="nil"/>
              <w:bottom w:val="nil"/>
              <w:right w:val="nil"/>
            </w:tcBorders>
            <w:tcMar>
              <w:top w:w="0" w:type="dxa"/>
              <w:left w:w="62" w:type="dxa"/>
              <w:bottom w:w="0" w:type="dxa"/>
              <w:right w:w="62" w:type="dxa"/>
            </w:tcMar>
          </w:tcPr>
          <w:p w:rsidR="00000000" w:rsidP="00B91496">
            <w:pPr>
              <w:pStyle w:val="BodyText"/>
              <w:rPr>
                <w:lang w:val="en-NZ"/>
              </w:rPr>
            </w:pPr>
            <w:r w:rsidRPr="00B91496">
              <w:t>1.</w:t>
            </w:r>
          </w:p>
        </w:tc>
        <w:tc>
          <w:tcPr>
            <w:tcW w:w="2426" w:type="dxa"/>
            <w:tcBorders>
              <w:top w:val="nil"/>
              <w:left w:val="nil"/>
              <w:bottom w:val="nil"/>
              <w:right w:val="nil"/>
            </w:tcBorders>
            <w:tcMar>
              <w:top w:w="0" w:type="dxa"/>
              <w:left w:w="62" w:type="dxa"/>
              <w:bottom w:w="0" w:type="dxa"/>
              <w:right w:w="62" w:type="dxa"/>
            </w:tcMar>
          </w:tcPr>
          <w:p w:rsidR="00000000" w:rsidP="00B91496">
            <w:pPr>
              <w:pStyle w:val="BodyText"/>
              <w:rPr>
                <w:lang w:val="en-NZ"/>
              </w:rPr>
            </w:pPr>
            <w:r w:rsidRPr="00B91496">
              <w:t>Plan repair/modification</w:t>
            </w:r>
          </w:p>
        </w:tc>
        <w:tc>
          <w:tcPr>
            <w:tcW w:w="810" w:type="dxa"/>
            <w:tcBorders>
              <w:top w:val="nil"/>
              <w:left w:val="nil"/>
              <w:bottom w:val="nil"/>
              <w:right w:val="nil"/>
            </w:tcBorders>
            <w:tcMar>
              <w:top w:w="0" w:type="dxa"/>
              <w:left w:w="62" w:type="dxa"/>
              <w:bottom w:w="0" w:type="dxa"/>
              <w:right w:w="62" w:type="dxa"/>
            </w:tcMar>
          </w:tcPr>
          <w:p w:rsidR="00000000" w:rsidP="00B91496">
            <w:pPr>
              <w:pStyle w:val="BodyText"/>
              <w:rPr>
                <w:lang w:val="en-NZ"/>
              </w:rPr>
            </w:pPr>
            <w:r w:rsidRPr="00B91496">
              <w:t>1.1</w:t>
            </w:r>
          </w:p>
        </w:tc>
        <w:tc>
          <w:tcPr>
            <w:tcW w:w="5400" w:type="dxa"/>
            <w:tcBorders>
              <w:top w:val="nil"/>
              <w:left w:val="nil"/>
              <w:bottom w:val="nil"/>
              <w:right w:val="nil"/>
            </w:tcBorders>
            <w:tcMar>
              <w:top w:w="0" w:type="dxa"/>
              <w:left w:w="62" w:type="dxa"/>
              <w:bottom w:w="0" w:type="dxa"/>
              <w:right w:w="62" w:type="dxa"/>
            </w:tcMar>
          </w:tcPr>
          <w:p w:rsidR="00000000" w:rsidP="00B91496">
            <w:pPr>
              <w:pStyle w:val="BodyText"/>
              <w:rPr>
                <w:lang w:val="en-NZ"/>
              </w:rPr>
            </w:pPr>
            <w:r w:rsidRPr="00B91496">
              <w:t>Extent of damage is correctly assessed to assist in determining repair procedure</w:t>
            </w:r>
          </w:p>
        </w:tc>
      </w:tr>
      <w:tr w:rsidTr="00B91496">
        <w:tblPrEx>
          <w:tblW w:w="0" w:type="auto"/>
          <w:tblLayout w:type="fixed"/>
          <w:tblCellMar>
            <w:left w:w="62" w:type="dxa"/>
            <w:right w:w="62" w:type="dxa"/>
          </w:tblCellMar>
          <w:tblLook w:val="0000"/>
        </w:tblPrEx>
        <w:tc>
          <w:tcPr>
            <w:tcW w:w="54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B91496">
            <w:pPr>
              <w:pStyle w:val="BodyText"/>
              <w:rPr>
                <w:lang w:val="en-NZ"/>
              </w:rPr>
            </w:pPr>
            <w:r w:rsidRPr="00B91496">
              <w:t>1.2</w:t>
            </w:r>
          </w:p>
        </w:tc>
        <w:tc>
          <w:tcPr>
            <w:tcW w:w="5400" w:type="dxa"/>
            <w:tcBorders>
              <w:top w:val="nil"/>
              <w:left w:val="nil"/>
              <w:bottom w:val="nil"/>
              <w:right w:val="nil"/>
            </w:tcBorders>
            <w:tcMar>
              <w:top w:w="0" w:type="dxa"/>
              <w:left w:w="62" w:type="dxa"/>
              <w:bottom w:w="0" w:type="dxa"/>
              <w:right w:w="62" w:type="dxa"/>
            </w:tcMar>
          </w:tcPr>
          <w:p w:rsidR="00000000" w:rsidP="00B91496">
            <w:pPr>
              <w:pStyle w:val="BodyText"/>
              <w:rPr>
                <w:lang w:val="en-NZ"/>
              </w:rPr>
            </w:pPr>
            <w:r w:rsidRPr="00B91496">
              <w:t>Structure is supported and prepared in accordance with the applicable maintenance manual to ensure personnel safety and freedom from damage</w:t>
            </w:r>
          </w:p>
        </w:tc>
      </w:tr>
      <w:tr w:rsidTr="00B91496">
        <w:tblPrEx>
          <w:tblW w:w="0" w:type="auto"/>
          <w:tblLayout w:type="fixed"/>
          <w:tblCellMar>
            <w:left w:w="62" w:type="dxa"/>
            <w:right w:w="62" w:type="dxa"/>
          </w:tblCellMar>
          <w:tblLook w:val="0000"/>
        </w:tblPrEx>
        <w:tc>
          <w:tcPr>
            <w:tcW w:w="54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B91496">
            <w:pPr>
              <w:pStyle w:val="BodyText"/>
              <w:rPr>
                <w:lang w:val="en-NZ"/>
              </w:rPr>
            </w:pPr>
            <w:r w:rsidRPr="00B91496">
              <w:t>1.3</w:t>
            </w:r>
          </w:p>
        </w:tc>
        <w:tc>
          <w:tcPr>
            <w:tcW w:w="5400" w:type="dxa"/>
            <w:tcBorders>
              <w:top w:val="nil"/>
              <w:left w:val="nil"/>
              <w:bottom w:val="nil"/>
              <w:right w:val="nil"/>
            </w:tcBorders>
            <w:tcMar>
              <w:top w:w="0" w:type="dxa"/>
              <w:left w:w="62" w:type="dxa"/>
              <w:bottom w:w="0" w:type="dxa"/>
              <w:right w:w="62" w:type="dxa"/>
            </w:tcMar>
          </w:tcPr>
          <w:p w:rsidR="00000000" w:rsidP="00B91496">
            <w:pPr>
              <w:pStyle w:val="BodyText"/>
              <w:rPr>
                <w:lang w:val="en-NZ"/>
              </w:rPr>
            </w:pPr>
            <w:r w:rsidRPr="00B91496">
              <w:t>Appropriate modificat</w:t>
            </w:r>
            <w:r w:rsidRPr="00B91496">
              <w:t>ion or repair scheme is identified in accordance with structural repair manual and/or approved data</w:t>
            </w:r>
          </w:p>
        </w:tc>
      </w:tr>
      <w:tr w:rsidTr="00B91496">
        <w:tblPrEx>
          <w:tblW w:w="0" w:type="auto"/>
          <w:tblLayout w:type="fixed"/>
          <w:tblCellMar>
            <w:left w:w="62" w:type="dxa"/>
            <w:right w:w="62" w:type="dxa"/>
          </w:tblCellMar>
          <w:tblLook w:val="0000"/>
        </w:tblPrEx>
        <w:tc>
          <w:tcPr>
            <w:tcW w:w="54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B91496">
            <w:pPr>
              <w:pStyle w:val="BodyText"/>
              <w:rPr>
                <w:lang w:val="en-NZ"/>
              </w:rPr>
            </w:pPr>
            <w:r w:rsidRPr="00B91496">
              <w:t>1.4</w:t>
            </w:r>
          </w:p>
        </w:tc>
        <w:tc>
          <w:tcPr>
            <w:tcW w:w="5400" w:type="dxa"/>
            <w:tcBorders>
              <w:top w:val="nil"/>
              <w:left w:val="nil"/>
              <w:bottom w:val="nil"/>
              <w:right w:val="nil"/>
            </w:tcBorders>
            <w:tcMar>
              <w:top w:w="0" w:type="dxa"/>
              <w:left w:w="62" w:type="dxa"/>
              <w:bottom w:w="0" w:type="dxa"/>
              <w:right w:w="62" w:type="dxa"/>
            </w:tcMar>
          </w:tcPr>
          <w:p w:rsidR="00000000" w:rsidP="00B91496">
            <w:pPr>
              <w:pStyle w:val="BodyText"/>
              <w:rPr>
                <w:lang w:val="en-NZ"/>
              </w:rPr>
            </w:pPr>
            <w:r w:rsidRPr="00B91496">
              <w:t>Specialist advice is obtained in establishing an approved repair scheme where a standard repair scheme cannot be identified or damage c</w:t>
            </w:r>
            <w:r w:rsidRPr="00B91496">
              <w:t>riteria are out of limits</w:t>
            </w:r>
          </w:p>
        </w:tc>
      </w:tr>
      <w:tr w:rsidTr="00B91496">
        <w:tblPrEx>
          <w:tblW w:w="0" w:type="auto"/>
          <w:tblLayout w:type="fixed"/>
          <w:tblCellMar>
            <w:left w:w="62" w:type="dxa"/>
            <w:right w:w="62" w:type="dxa"/>
          </w:tblCellMar>
          <w:tblLook w:val="0000"/>
        </w:tblPrEx>
        <w:tc>
          <w:tcPr>
            <w:tcW w:w="54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B91496">
            <w:pPr>
              <w:pStyle w:val="BodyText"/>
              <w:rPr>
                <w:lang w:val="en-NZ"/>
              </w:rPr>
            </w:pPr>
            <w:r w:rsidRPr="00B91496">
              <w:t>1.5</w:t>
            </w:r>
          </w:p>
        </w:tc>
        <w:tc>
          <w:tcPr>
            <w:tcW w:w="5400" w:type="dxa"/>
            <w:tcBorders>
              <w:top w:val="nil"/>
              <w:left w:val="nil"/>
              <w:bottom w:val="nil"/>
              <w:right w:val="nil"/>
            </w:tcBorders>
            <w:tcMar>
              <w:top w:w="0" w:type="dxa"/>
              <w:left w:w="62" w:type="dxa"/>
              <w:bottom w:w="0" w:type="dxa"/>
              <w:right w:w="62" w:type="dxa"/>
            </w:tcMar>
          </w:tcPr>
          <w:p w:rsidR="00000000" w:rsidP="00B91496">
            <w:pPr>
              <w:pStyle w:val="BodyText"/>
              <w:rPr>
                <w:lang w:val="en-NZ"/>
              </w:rPr>
            </w:pPr>
            <w:r w:rsidRPr="00B91496">
              <w:t>All materials and equipment required are organised</w:t>
            </w:r>
          </w:p>
        </w:tc>
      </w:tr>
      <w:tr w:rsidTr="00B91496">
        <w:tblPrEx>
          <w:tblW w:w="0" w:type="auto"/>
          <w:tblLayout w:type="fixed"/>
          <w:tblCellMar>
            <w:left w:w="62" w:type="dxa"/>
            <w:right w:w="62" w:type="dxa"/>
          </w:tblCellMar>
          <w:tblLook w:val="0000"/>
        </w:tblPrEx>
        <w:tc>
          <w:tcPr>
            <w:tcW w:w="544" w:type="dxa"/>
            <w:tcBorders>
              <w:top w:val="nil"/>
              <w:left w:val="nil"/>
              <w:bottom w:val="nil"/>
              <w:right w:val="nil"/>
            </w:tcBorders>
            <w:tcMar>
              <w:top w:w="0" w:type="dxa"/>
              <w:left w:w="62" w:type="dxa"/>
              <w:bottom w:w="0" w:type="dxa"/>
              <w:right w:w="62" w:type="dxa"/>
            </w:tcMar>
          </w:tcPr>
          <w:p w:rsidR="00000000" w:rsidP="00B91496">
            <w:pPr>
              <w:pStyle w:val="BodyText"/>
              <w:rPr>
                <w:lang w:val="en-NZ"/>
              </w:rPr>
            </w:pPr>
            <w:r w:rsidRPr="00B91496">
              <w:t>2.</w:t>
            </w:r>
          </w:p>
        </w:tc>
        <w:tc>
          <w:tcPr>
            <w:tcW w:w="2426" w:type="dxa"/>
            <w:tcBorders>
              <w:top w:val="nil"/>
              <w:left w:val="nil"/>
              <w:bottom w:val="nil"/>
              <w:right w:val="nil"/>
            </w:tcBorders>
            <w:tcMar>
              <w:top w:w="0" w:type="dxa"/>
              <w:left w:w="62" w:type="dxa"/>
              <w:bottom w:w="0" w:type="dxa"/>
              <w:right w:w="62" w:type="dxa"/>
            </w:tcMar>
          </w:tcPr>
          <w:p w:rsidR="00000000" w:rsidP="00B91496">
            <w:pPr>
              <w:pStyle w:val="BodyText"/>
              <w:rPr>
                <w:lang w:val="en-NZ"/>
              </w:rPr>
            </w:pPr>
            <w:r w:rsidRPr="00B91496">
              <w:t>Repair/modify components using cold cure</w:t>
            </w:r>
          </w:p>
        </w:tc>
        <w:tc>
          <w:tcPr>
            <w:tcW w:w="810" w:type="dxa"/>
            <w:tcBorders>
              <w:top w:val="nil"/>
              <w:left w:val="nil"/>
              <w:bottom w:val="nil"/>
              <w:right w:val="nil"/>
            </w:tcBorders>
            <w:tcMar>
              <w:top w:w="0" w:type="dxa"/>
              <w:left w:w="62" w:type="dxa"/>
              <w:bottom w:w="0" w:type="dxa"/>
              <w:right w:w="62" w:type="dxa"/>
            </w:tcMar>
          </w:tcPr>
          <w:p w:rsidR="00000000" w:rsidP="00B91496">
            <w:pPr>
              <w:pStyle w:val="BodyText"/>
              <w:rPr>
                <w:lang w:val="en-NZ"/>
              </w:rPr>
            </w:pPr>
            <w:r w:rsidRPr="00B91496">
              <w:t>2.1</w:t>
            </w:r>
          </w:p>
        </w:tc>
        <w:tc>
          <w:tcPr>
            <w:tcW w:w="5400" w:type="dxa"/>
            <w:tcBorders>
              <w:top w:val="nil"/>
              <w:left w:val="nil"/>
              <w:bottom w:val="nil"/>
              <w:right w:val="nil"/>
            </w:tcBorders>
            <w:tcMar>
              <w:top w:w="0" w:type="dxa"/>
              <w:left w:w="62" w:type="dxa"/>
              <w:bottom w:w="0" w:type="dxa"/>
              <w:right w:w="62" w:type="dxa"/>
            </w:tcMar>
          </w:tcPr>
          <w:p w:rsidR="00000000" w:rsidP="00B91496">
            <w:pPr>
              <w:pStyle w:val="BodyText"/>
              <w:rPr>
                <w:lang w:val="en-NZ"/>
              </w:rPr>
            </w:pPr>
            <w:r w:rsidRPr="00B91496">
              <w:t>Lay-up of materials is checked to confirm that components meet required specifications and bagging equipment is correctly i</w:t>
            </w:r>
            <w:r w:rsidRPr="00B91496">
              <w:t>nstalled and operated</w:t>
            </w:r>
          </w:p>
        </w:tc>
      </w:tr>
      <w:tr w:rsidTr="00B91496">
        <w:tblPrEx>
          <w:tblW w:w="0" w:type="auto"/>
          <w:tblLayout w:type="fixed"/>
          <w:tblCellMar>
            <w:left w:w="62" w:type="dxa"/>
            <w:right w:w="62" w:type="dxa"/>
          </w:tblCellMar>
          <w:tblLook w:val="0000"/>
        </w:tblPrEx>
        <w:tc>
          <w:tcPr>
            <w:tcW w:w="54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B91496">
            <w:pPr>
              <w:pStyle w:val="BodyText"/>
              <w:rPr>
                <w:lang w:val="en-NZ"/>
              </w:rPr>
            </w:pPr>
            <w:r w:rsidRPr="00B91496">
              <w:t>2.2</w:t>
            </w:r>
          </w:p>
        </w:tc>
        <w:tc>
          <w:tcPr>
            <w:tcW w:w="5400" w:type="dxa"/>
            <w:tcBorders>
              <w:top w:val="nil"/>
              <w:left w:val="nil"/>
              <w:bottom w:val="nil"/>
              <w:right w:val="nil"/>
            </w:tcBorders>
            <w:tcMar>
              <w:top w:w="0" w:type="dxa"/>
              <w:left w:w="62" w:type="dxa"/>
              <w:bottom w:w="0" w:type="dxa"/>
              <w:right w:w="62" w:type="dxa"/>
            </w:tcMar>
          </w:tcPr>
          <w:p w:rsidR="00000000" w:rsidP="00B91496">
            <w:pPr>
              <w:pStyle w:val="BodyText"/>
              <w:rPr>
                <w:lang w:val="en-NZ"/>
              </w:rPr>
            </w:pPr>
            <w:r w:rsidRPr="00B91496">
              <w:t>Curing cycle is regularly monitored to ensure required specifications are met</w:t>
            </w:r>
          </w:p>
        </w:tc>
      </w:tr>
      <w:tr w:rsidTr="00B91496">
        <w:tblPrEx>
          <w:tblW w:w="0" w:type="auto"/>
          <w:tblLayout w:type="fixed"/>
          <w:tblCellMar>
            <w:left w:w="62" w:type="dxa"/>
            <w:right w:w="62" w:type="dxa"/>
          </w:tblCellMar>
          <w:tblLook w:val="0000"/>
        </w:tblPrEx>
        <w:tc>
          <w:tcPr>
            <w:tcW w:w="54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B91496">
            <w:pPr>
              <w:pStyle w:val="BodyText"/>
              <w:rPr>
                <w:lang w:val="en-NZ"/>
              </w:rPr>
            </w:pPr>
            <w:r w:rsidRPr="00B91496">
              <w:t>2.3</w:t>
            </w:r>
          </w:p>
        </w:tc>
        <w:tc>
          <w:tcPr>
            <w:tcW w:w="5400" w:type="dxa"/>
            <w:tcBorders>
              <w:top w:val="nil"/>
              <w:left w:val="nil"/>
              <w:bottom w:val="nil"/>
              <w:right w:val="nil"/>
            </w:tcBorders>
            <w:tcMar>
              <w:top w:w="0" w:type="dxa"/>
              <w:left w:w="62" w:type="dxa"/>
              <w:bottom w:w="0" w:type="dxa"/>
              <w:right w:w="62" w:type="dxa"/>
            </w:tcMar>
          </w:tcPr>
          <w:p w:rsidR="00000000" w:rsidP="00B91496">
            <w:pPr>
              <w:pStyle w:val="BodyText"/>
              <w:rPr>
                <w:lang w:val="en-NZ"/>
              </w:rPr>
            </w:pPr>
            <w:r w:rsidRPr="00B91496">
              <w:t>Components are checked for blemishes or delamination in accordance with quality procedures</w:t>
            </w:r>
          </w:p>
        </w:tc>
      </w:tr>
      <w:tr w:rsidTr="00B91496">
        <w:tblPrEx>
          <w:tblW w:w="0" w:type="auto"/>
          <w:tblLayout w:type="fixed"/>
          <w:tblCellMar>
            <w:left w:w="62" w:type="dxa"/>
            <w:right w:w="62" w:type="dxa"/>
          </w:tblCellMar>
          <w:tblLook w:val="0000"/>
        </w:tblPrEx>
        <w:tc>
          <w:tcPr>
            <w:tcW w:w="54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B91496">
            <w:pPr>
              <w:pStyle w:val="BodyText"/>
              <w:rPr>
                <w:lang w:val="en-NZ"/>
              </w:rPr>
            </w:pPr>
            <w:r w:rsidRPr="00B91496">
              <w:t>2.4</w:t>
            </w:r>
          </w:p>
        </w:tc>
        <w:tc>
          <w:tcPr>
            <w:tcW w:w="5400" w:type="dxa"/>
            <w:tcBorders>
              <w:top w:val="nil"/>
              <w:left w:val="nil"/>
              <w:bottom w:val="nil"/>
              <w:right w:val="nil"/>
            </w:tcBorders>
            <w:tcMar>
              <w:top w:w="0" w:type="dxa"/>
              <w:left w:w="62" w:type="dxa"/>
              <w:bottom w:w="0" w:type="dxa"/>
              <w:right w:w="62" w:type="dxa"/>
            </w:tcMar>
          </w:tcPr>
          <w:p w:rsidR="00000000" w:rsidP="00B91496">
            <w:pPr>
              <w:pStyle w:val="BodyText"/>
              <w:rPr>
                <w:lang w:val="en-NZ"/>
              </w:rPr>
            </w:pPr>
            <w:r w:rsidRPr="00B91496">
              <w:t>Compo</w:t>
            </w:r>
            <w:r w:rsidRPr="00B91496">
              <w:t>nent assemblies requiring further or special treatment are made ready for the appropriate processes</w:t>
            </w:r>
          </w:p>
        </w:tc>
      </w:tr>
      <w:tr w:rsidTr="00B91496">
        <w:tblPrEx>
          <w:tblW w:w="0" w:type="auto"/>
          <w:tblLayout w:type="fixed"/>
          <w:tblCellMar>
            <w:left w:w="62" w:type="dxa"/>
            <w:right w:w="62" w:type="dxa"/>
          </w:tblCellMar>
          <w:tblLook w:val="0000"/>
        </w:tblPrEx>
        <w:tc>
          <w:tcPr>
            <w:tcW w:w="54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B91496">
            <w:pPr>
              <w:pStyle w:val="BodyText"/>
              <w:rPr>
                <w:lang w:val="en-NZ"/>
              </w:rPr>
            </w:pPr>
            <w:r w:rsidRPr="00B91496">
              <w:t>2.5</w:t>
            </w:r>
          </w:p>
        </w:tc>
        <w:tc>
          <w:tcPr>
            <w:tcW w:w="5400" w:type="dxa"/>
            <w:tcBorders>
              <w:top w:val="nil"/>
              <w:left w:val="nil"/>
              <w:bottom w:val="nil"/>
              <w:right w:val="nil"/>
            </w:tcBorders>
            <w:tcMar>
              <w:top w:w="0" w:type="dxa"/>
              <w:left w:w="62" w:type="dxa"/>
              <w:bottom w:w="0" w:type="dxa"/>
              <w:right w:w="62" w:type="dxa"/>
            </w:tcMar>
          </w:tcPr>
          <w:p w:rsidR="00000000" w:rsidP="00B91496">
            <w:pPr>
              <w:pStyle w:val="BodyText"/>
              <w:rPr>
                <w:lang w:val="en-NZ"/>
              </w:rPr>
            </w:pPr>
            <w:r w:rsidRPr="00B91496">
              <w:t>Required maintenance documentation is completed and processed in accordance with standard enterprise procedures</w:t>
            </w:r>
          </w:p>
        </w:tc>
      </w:tr>
      <w:tr w:rsidTr="00B91496">
        <w:tblPrEx>
          <w:tblW w:w="0" w:type="auto"/>
          <w:tblLayout w:type="fixed"/>
          <w:tblCellMar>
            <w:left w:w="62" w:type="dxa"/>
            <w:right w:w="62" w:type="dxa"/>
          </w:tblCellMar>
          <w:tblLook w:val="0000"/>
        </w:tblPrEx>
        <w:tc>
          <w:tcPr>
            <w:tcW w:w="54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B91496">
            <w:pPr>
              <w:pStyle w:val="BodyText"/>
              <w:rPr>
                <w:lang w:val="en-NZ"/>
              </w:rPr>
            </w:pPr>
            <w:r w:rsidRPr="00B91496">
              <w:t>2.6</w:t>
            </w:r>
          </w:p>
        </w:tc>
        <w:tc>
          <w:tcPr>
            <w:tcW w:w="5400" w:type="dxa"/>
            <w:tcBorders>
              <w:top w:val="nil"/>
              <w:left w:val="nil"/>
              <w:bottom w:val="nil"/>
              <w:right w:val="nil"/>
            </w:tcBorders>
            <w:tcMar>
              <w:top w:w="0" w:type="dxa"/>
              <w:left w:w="62" w:type="dxa"/>
              <w:bottom w:w="0" w:type="dxa"/>
              <w:right w:w="62" w:type="dxa"/>
            </w:tcMar>
          </w:tcPr>
          <w:p w:rsidR="00000000" w:rsidRPr="00B91496" w:rsidP="00B91496">
            <w:pPr>
              <w:pStyle w:val="BodyText"/>
            </w:pPr>
            <w:r w:rsidRPr="00B91496">
              <w:t>Completed assemblies are tagge</w:t>
            </w:r>
            <w:r w:rsidRPr="00B91496">
              <w:t>d, sealed or packaged as required</w:t>
            </w:r>
          </w:p>
        </w:tc>
      </w:tr>
    </w:tbl>
    <w:p w:rsidR="00000000" w:rsidRPr="00B91496" w:rsidP="00B91496">
      <w:pPr>
        <w:pStyle w:val="BodyText"/>
      </w:pPr>
    </w:p>
    <w:p w:rsidR="00000000" w:rsidRPr="00B91496" w:rsidP="00B91496">
      <w:pPr>
        <w:pStyle w:val="AllowPageBreak"/>
      </w:pPr>
    </w:p>
    <w:p w:rsidR="00000000" w:rsidRPr="00B91496" w:rsidP="00B91496">
      <w:pPr>
        <w:pStyle w:val="Heading1"/>
      </w:pPr>
      <w:bookmarkStart w:id="7" w:name="O_722451"/>
      <w:bookmarkEnd w:id="7"/>
      <w:r w:rsidRPr="00B91496">
        <w:t>Foundation Skills</w:t>
      </w:r>
    </w:p>
    <w:p w:rsidR="00000000" w:rsidRPr="00B91496" w:rsidP="00A32E6A">
      <w:pPr>
        <w:pStyle w:val="BodyText"/>
      </w:pPr>
      <w:r w:rsidRPr="00B91496">
        <w:t>Foundation skills essential to performance are explicit in the performance criteria of this unit of competency.</w:t>
      </w:r>
    </w:p>
    <w:p w:rsidR="00000000" w:rsidRPr="00B91496" w:rsidP="00B91496">
      <w:pPr>
        <w:pStyle w:val="Heading1"/>
      </w:pPr>
      <w:bookmarkStart w:id="8" w:name="O_722450"/>
      <w:bookmarkEnd w:id="8"/>
      <w:r w:rsidRPr="00B91496">
        <w:t>Range of Conditions</w:t>
      </w:r>
    </w:p>
    <w:tbl>
      <w:tblPr>
        <w:tblW w:w="0" w:type="auto"/>
        <w:tblLayout w:type="fixed"/>
        <w:tblCellMar>
          <w:left w:w="62" w:type="dxa"/>
          <w:right w:w="62" w:type="dxa"/>
        </w:tblCellMar>
        <w:tblLook w:val="0000"/>
      </w:tblPr>
      <w:tblGrid>
        <w:gridCol w:w="2880"/>
        <w:gridCol w:w="6192"/>
      </w:tblGrid>
      <w:tr w:rsidTr="00B9149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91496">
            <w:pPr>
              <w:pStyle w:val="BodyText"/>
              <w:rPr>
                <w:lang w:val="en-NZ"/>
              </w:rPr>
            </w:pPr>
            <w:r w:rsidRPr="00B91496">
              <w:t>This field allows for different work environments and conditions that may affect performance. Essential operating conditions that may be present (depending on the work situation, needs of the candidate, accessibility of the item, and local industry and reg</w:t>
            </w:r>
            <w:r w:rsidRPr="00B91496">
              <w:t>ional contexts) are included.</w:t>
            </w:r>
          </w:p>
        </w:tc>
      </w:tr>
      <w:tr w:rsidTr="00B91496">
        <w:tblPrEx>
          <w:tblW w:w="0" w:type="auto"/>
          <w:tblLayout w:type="fixed"/>
          <w:tblCellMar>
            <w:left w:w="62" w:type="dxa"/>
            <w:right w:w="62" w:type="dxa"/>
          </w:tblCellMar>
          <w:tblLook w:val="0000"/>
        </w:tblPrEx>
        <w:trPr>
          <w:trHeight w:val="470"/>
        </w:trPr>
        <w:tc>
          <w:tcPr>
            <w:tcW w:w="2880" w:type="dxa"/>
            <w:tcBorders>
              <w:top w:val="nil"/>
              <w:left w:val="nil"/>
              <w:bottom w:val="nil"/>
              <w:right w:val="nil"/>
            </w:tcBorders>
            <w:tcMar>
              <w:top w:w="0" w:type="dxa"/>
              <w:left w:w="62" w:type="dxa"/>
              <w:bottom w:w="0" w:type="dxa"/>
              <w:right w:w="62" w:type="dxa"/>
            </w:tcMar>
          </w:tcPr>
          <w:p w:rsidR="00000000" w:rsidP="00B91496">
            <w:pPr>
              <w:pStyle w:val="BodyText"/>
              <w:rPr>
                <w:lang w:val="en-NZ"/>
              </w:rPr>
            </w:pPr>
            <w:r w:rsidRPr="00B91496">
              <w:rPr>
                <w:rStyle w:val="SpecialBold"/>
              </w:rPr>
              <w:t>Applicable materials and methods include:</w:t>
            </w:r>
          </w:p>
        </w:tc>
        <w:tc>
          <w:tcPr>
            <w:tcW w:w="6192" w:type="dxa"/>
            <w:tcBorders>
              <w:top w:val="nil"/>
              <w:left w:val="nil"/>
              <w:bottom w:val="nil"/>
              <w:right w:val="nil"/>
            </w:tcBorders>
            <w:tcMar>
              <w:top w:w="0" w:type="dxa"/>
              <w:left w:w="62" w:type="dxa"/>
              <w:bottom w:w="0" w:type="dxa"/>
              <w:right w:w="62" w:type="dxa"/>
            </w:tcMar>
          </w:tcPr>
          <w:p w:rsidR="00000000" w:rsidRPr="00B91496" w:rsidP="00B91496">
            <w:pPr>
              <w:pStyle w:val="ListBullet"/>
            </w:pPr>
            <w:r w:rsidRPr="00B91496">
              <w:t>Cold cure or wet lay-up (using either fibreglass or carbon graphite)</w:t>
            </w:r>
          </w:p>
          <w:p w:rsidR="00000000" w:rsidP="00B91496">
            <w:pPr>
              <w:pStyle w:val="ListBullet"/>
              <w:rPr>
                <w:lang w:val="en-NZ"/>
              </w:rPr>
            </w:pPr>
            <w:r w:rsidRPr="00B91496">
              <w:t>Core materials (using one of aluminium, nomex or foam)</w:t>
            </w:r>
          </w:p>
        </w:tc>
      </w:tr>
      <w:tr w:rsidTr="00B91496">
        <w:tblPrEx>
          <w:tblW w:w="0" w:type="auto"/>
          <w:tblLayout w:type="fixed"/>
          <w:tblCellMar>
            <w:left w:w="62" w:type="dxa"/>
            <w:right w:w="62" w:type="dxa"/>
          </w:tblCellMar>
          <w:tblLook w:val="0000"/>
        </w:tblPrEx>
        <w:trPr>
          <w:trHeight w:val="586"/>
        </w:trPr>
        <w:tc>
          <w:tcPr>
            <w:tcW w:w="2880" w:type="dxa"/>
            <w:tcBorders>
              <w:top w:val="nil"/>
              <w:left w:val="nil"/>
              <w:bottom w:val="nil"/>
              <w:right w:val="nil"/>
            </w:tcBorders>
            <w:tcMar>
              <w:top w:w="0" w:type="dxa"/>
              <w:left w:w="62" w:type="dxa"/>
              <w:bottom w:w="0" w:type="dxa"/>
              <w:right w:w="62" w:type="dxa"/>
            </w:tcMar>
          </w:tcPr>
          <w:p w:rsidR="00000000" w:rsidP="00B91496">
            <w:pPr>
              <w:pStyle w:val="BodyText"/>
              <w:rPr>
                <w:lang w:val="en-NZ"/>
              </w:rPr>
            </w:pPr>
            <w:r w:rsidRPr="00B91496">
              <w:rPr>
                <w:rStyle w:val="SpecialBold"/>
              </w:rPr>
              <w:t>Procedures and requirements include:</w:t>
            </w:r>
          </w:p>
        </w:tc>
        <w:tc>
          <w:tcPr>
            <w:tcW w:w="6192" w:type="dxa"/>
            <w:tcBorders>
              <w:top w:val="nil"/>
              <w:left w:val="nil"/>
              <w:bottom w:val="nil"/>
              <w:right w:val="nil"/>
            </w:tcBorders>
            <w:tcMar>
              <w:top w:w="0" w:type="dxa"/>
              <w:left w:w="62" w:type="dxa"/>
              <w:bottom w:w="0" w:type="dxa"/>
              <w:right w:w="62" w:type="dxa"/>
            </w:tcMar>
          </w:tcPr>
          <w:p w:rsidR="00000000" w:rsidRPr="00B91496" w:rsidP="00B91496">
            <w:pPr>
              <w:pStyle w:val="ListBullet"/>
            </w:pPr>
            <w:r w:rsidRPr="00B91496">
              <w:t>Ind</w:t>
            </w:r>
            <w:r w:rsidRPr="00B91496">
              <w:t>ustry standard procedures specified by manufacturers, regulatory authorities or the enterprise</w:t>
            </w:r>
          </w:p>
        </w:tc>
      </w:tr>
    </w:tbl>
    <w:p w:rsidR="00000000" w:rsidRPr="00B91496" w:rsidP="00B91496">
      <w:pPr>
        <w:pStyle w:val="BodyText"/>
      </w:pPr>
    </w:p>
    <w:p w:rsidR="00000000" w:rsidRPr="00B91496" w:rsidP="00B91496">
      <w:pPr>
        <w:pStyle w:val="AllowPageBreak"/>
      </w:pPr>
    </w:p>
    <w:p w:rsidR="00000000" w:rsidRPr="00B91496" w:rsidP="00B91496">
      <w:pPr>
        <w:pStyle w:val="Heading1"/>
      </w:pPr>
      <w:bookmarkStart w:id="9" w:name="O_722449"/>
      <w:bookmarkEnd w:id="9"/>
      <w:r w:rsidRPr="00B91496">
        <w:t>Unit Mapping Information</w:t>
      </w:r>
    </w:p>
    <w:p w:rsidR="00000000" w:rsidRPr="00B91496" w:rsidP="00A32E6A">
      <w:pPr>
        <w:pStyle w:val="BodyText"/>
      </w:pPr>
      <w:r w:rsidRPr="00B91496">
        <w:t>Release 1 – equivalent to MEA367A Repair/modify aircraft composite structure using cold bonding</w:t>
      </w:r>
    </w:p>
    <w:p w:rsidR="00000000" w:rsidRPr="00B91496" w:rsidP="00B91496">
      <w:pPr>
        <w:pStyle w:val="Heading1"/>
      </w:pPr>
      <w:bookmarkStart w:id="10" w:name="O_722442"/>
      <w:bookmarkEnd w:id="10"/>
      <w:r w:rsidRPr="00B91496">
        <w:t>Links</w:t>
      </w:r>
    </w:p>
    <w:p w:rsidR="00000000" w:rsidRPr="00B91496" w:rsidP="00A32E6A">
      <w:pPr>
        <w:pStyle w:val="BodyText"/>
      </w:pPr>
      <w:r w:rsidRPr="00B91496">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215B27">
        <w:rPr>
          <w:rStyle w:val="Hyperlink"/>
        </w:rPr>
        <w:t>https://vetnet.gov.au/Pages/TrainingDocs.aspx?q=ce216c9c-04d5-4b3b-9bcf-4e81d0950371</w:t>
      </w:r>
      <w:r>
        <w:fldChar w:fldCharType="end"/>
      </w:r>
    </w:p>
    <w:p w:rsidR="00000000" w:rsidRPr="00B91496" w:rsidP="00A32E6A">
      <w:pPr>
        <w:pStyle w:val="BodyText"/>
        <w:sectPr w:rsidSect="00B91496">
          <w:headerReference w:type="default" r:id="rId10"/>
          <w:footerReference w:type="default" r:id="rId11"/>
          <w:pgSz w:w="11908" w:h="16833"/>
          <w:pgMar w:top="1702" w:right="1418" w:bottom="1702" w:left="1418" w:header="992" w:footer="992" w:gutter="0"/>
          <w:cols w:space="720"/>
          <w:noEndnote/>
          <w:docGrid w:linePitch="299"/>
        </w:sectPr>
      </w:pPr>
    </w:p>
    <w:p w:rsidR="00000000" w:rsidRPr="00B91496" w:rsidP="00B91496">
      <w:pPr>
        <w:pStyle w:val="SuperHeading"/>
      </w:pPr>
      <w:r w:rsidRPr="00B91496">
        <w:t>Assessment Requirements for MEA367 Repair/modify aircraft</w:t>
      </w:r>
      <w:r w:rsidRPr="00B91496">
        <w:t xml:space="preserve"> composite structure using cold bonding</w:t>
      </w:r>
    </w:p>
    <w:p w:rsidR="00000000" w:rsidRPr="00B91496" w:rsidP="00B91496">
      <w:pPr>
        <w:pStyle w:val="Heading1"/>
      </w:pPr>
      <w:bookmarkStart w:id="11" w:name="O_722444"/>
      <w:bookmarkEnd w:id="11"/>
      <w:r w:rsidRPr="00B91496">
        <w:t>Modification History</w:t>
      </w:r>
    </w:p>
    <w:p w:rsidR="00000000" w:rsidRPr="00B91496" w:rsidP="00A32E6A">
      <w:pPr>
        <w:pStyle w:val="BodyText"/>
      </w:pPr>
      <w:r w:rsidRPr="00B91496">
        <w:t>Release 1 - New unit of competency</w:t>
      </w:r>
    </w:p>
    <w:p w:rsidR="00000000" w:rsidRPr="00B91496" w:rsidP="00B91496">
      <w:pPr>
        <w:pStyle w:val="Heading1"/>
      </w:pPr>
      <w:bookmarkStart w:id="12" w:name="O_722447"/>
      <w:bookmarkEnd w:id="12"/>
      <w:r w:rsidRPr="00B91496">
        <w:t>Performance Evidence</w:t>
      </w:r>
    </w:p>
    <w:p w:rsidR="00000000" w:rsidRPr="00B91496" w:rsidP="00A32E6A">
      <w:pPr>
        <w:pStyle w:val="BodyText"/>
      </w:pPr>
      <w:r w:rsidRPr="00B91496">
        <w:t>Evidence required to demonstrate competency in this unit must be relevant to and satisfy all of the requir</w:t>
      </w:r>
      <w:r w:rsidRPr="00B91496">
        <w:t>ements of the elements and performance criteria under the specified conditions of assessment, and must include:</w:t>
      </w:r>
    </w:p>
    <w:p w:rsidR="00000000" w:rsidRPr="00B91496" w:rsidP="00B91496">
      <w:pPr>
        <w:pStyle w:val="ListBullet"/>
      </w:pPr>
      <w:r w:rsidRPr="00B91496">
        <w:t>applying relevant WHS procedures, including the use of MSDS and applicable items of PPE</w:t>
      </w:r>
    </w:p>
    <w:p w:rsidR="00000000" w:rsidRPr="00B91496" w:rsidP="00B91496">
      <w:pPr>
        <w:pStyle w:val="ListBullet"/>
      </w:pPr>
      <w:r w:rsidRPr="00B91496">
        <w:t>using approved maintenance documentation and aircraft p</w:t>
      </w:r>
      <w:r w:rsidRPr="00B91496">
        <w:t xml:space="preserve">ublications relating to aircraft structure </w:t>
      </w:r>
    </w:p>
    <w:p w:rsidR="00000000" w:rsidRPr="00B91496" w:rsidP="00B91496">
      <w:pPr>
        <w:pStyle w:val="ListBullet"/>
      </w:pPr>
      <w:r w:rsidRPr="00B91496">
        <w:t>identifying composite component applications in aircraft structures</w:t>
      </w:r>
    </w:p>
    <w:p w:rsidR="00000000" w:rsidRPr="00B91496" w:rsidP="00B91496">
      <w:pPr>
        <w:pStyle w:val="ListBullet"/>
      </w:pPr>
      <w:r w:rsidRPr="00B91496">
        <w:t>identifying various aircraft composite materials/resins and their basic properties by interpretation of markings and visual means</w:t>
      </w:r>
    </w:p>
    <w:p w:rsidR="00000000" w:rsidRPr="00B91496" w:rsidP="00B91496">
      <w:pPr>
        <w:pStyle w:val="ListBullet"/>
      </w:pPr>
      <w:r w:rsidRPr="00B91496">
        <w:t>handling and s</w:t>
      </w:r>
      <w:r w:rsidRPr="00B91496">
        <w:t>toring of composite materials to industry standards</w:t>
      </w:r>
    </w:p>
    <w:p w:rsidR="00000000" w:rsidRPr="00B91496" w:rsidP="00B91496">
      <w:pPr>
        <w:pStyle w:val="ListBullet"/>
      </w:pPr>
      <w:r w:rsidRPr="00B91496">
        <w:t>assessing composite component damage using visual and tap test methods</w:t>
      </w:r>
    </w:p>
    <w:p w:rsidR="00000000" w:rsidRPr="00B91496" w:rsidP="00B91496">
      <w:pPr>
        <w:pStyle w:val="ListBullet"/>
      </w:pPr>
      <w:r w:rsidRPr="00B91496">
        <w:t>relative advantages and disadvantages of hot and cold cure</w:t>
      </w:r>
    </w:p>
    <w:p w:rsidR="00000000" w:rsidRPr="00B91496" w:rsidP="00B91496">
      <w:pPr>
        <w:pStyle w:val="ListBullet"/>
      </w:pPr>
      <w:r w:rsidRPr="00B91496">
        <w:t>performing composite component repairs using cold cure adhesives:</w:t>
      </w:r>
    </w:p>
    <w:p w:rsidR="00000000" w:rsidRPr="00B91496" w:rsidP="00B91496">
      <w:pPr>
        <w:pStyle w:val="ListBullet2"/>
      </w:pPr>
      <w:r w:rsidRPr="00B91496">
        <w:t>external patch repair</w:t>
      </w:r>
    </w:p>
    <w:p w:rsidR="00000000" w:rsidRPr="00B91496" w:rsidP="00B91496">
      <w:pPr>
        <w:pStyle w:val="ListBullet2"/>
      </w:pPr>
      <w:r w:rsidRPr="00B91496">
        <w:t>scarf repair</w:t>
      </w:r>
    </w:p>
    <w:p w:rsidR="00000000" w:rsidRPr="00B91496" w:rsidP="00B91496">
      <w:pPr>
        <w:pStyle w:val="ListBullet2"/>
      </w:pPr>
      <w:r w:rsidRPr="00B91496">
        <w:t>stepped repair</w:t>
      </w:r>
    </w:p>
    <w:p w:rsidR="00000000" w:rsidRPr="00B91496" w:rsidP="00B91496">
      <w:pPr>
        <w:pStyle w:val="ListBullet2"/>
      </w:pPr>
      <w:r w:rsidRPr="00B91496">
        <w:t>wet lay-up repair</w:t>
      </w:r>
    </w:p>
    <w:p w:rsidR="00000000" w:rsidRPr="00B91496" w:rsidP="00B91496">
      <w:pPr>
        <w:pStyle w:val="ListBullet2"/>
      </w:pPr>
      <w:r w:rsidRPr="00B91496">
        <w:t>composite fastener hole repair</w:t>
      </w:r>
    </w:p>
    <w:p w:rsidR="00000000" w:rsidRPr="00B91496" w:rsidP="00B91496">
      <w:pPr>
        <w:pStyle w:val="ListBullet2"/>
      </w:pPr>
      <w:r w:rsidRPr="00B91496">
        <w:t>metal to metal and metal to composite bonding</w:t>
      </w:r>
    </w:p>
    <w:p w:rsidR="00000000" w:rsidRPr="00B91496" w:rsidP="00B91496">
      <w:pPr>
        <w:pStyle w:val="ListBullet"/>
      </w:pPr>
      <w:r w:rsidRPr="00B91496">
        <w:t>correctly interpreting and/or producing repair scheme/modification drawings/sketches</w:t>
      </w:r>
    </w:p>
    <w:p w:rsidR="00000000" w:rsidRPr="00B91496" w:rsidP="00B91496">
      <w:pPr>
        <w:pStyle w:val="ListBullet"/>
      </w:pPr>
      <w:r w:rsidRPr="00B91496">
        <w:t>using appropriate hand to</w:t>
      </w:r>
      <w:r w:rsidRPr="00B91496">
        <w:t>ols and machines to disassemble and assemble aircraft composite components, parts, sections and skin, including extraction/installation equipment, drilling/cutting equipment, and material fasteners.</w:t>
      </w:r>
    </w:p>
    <w:p w:rsidR="00000000" w:rsidRPr="00B91496" w:rsidP="00A32E6A">
      <w:pPr>
        <w:pStyle w:val="BodyText"/>
      </w:pPr>
      <w:r w:rsidRPr="00B91496">
        <w:t>The underlying skills inherent in this unit should be tra</w:t>
      </w:r>
      <w:r w:rsidRPr="00B91496">
        <w:t>nsferable across the range of different material applications applicable to cold curing. It is essential that specific aspects of the laying up and curing process for aircraft composite materials are checked to ensure quality and safety standards are achie</w:t>
      </w:r>
      <w:r w:rsidRPr="00B91496">
        <w:t>ved in this area. Correct checking and wearing of PPE is critical.</w:t>
      </w:r>
    </w:p>
    <w:p w:rsidR="00A32E6A" w:rsidP="00A32E6A">
      <w:pPr>
        <w:pStyle w:val="BodyText"/>
      </w:pPr>
      <w:r w:rsidRPr="00B91496">
        <w:t>Evidence of knowledge about repair techniques and the use of the standard repair manual in a range of different repair situations will be necessary to supplement evidence of ability to plan</w:t>
      </w:r>
      <w:r w:rsidRPr="00B91496">
        <w:t xml:space="preserve"> and undertake component repair. Ability to apply different materials and curing cycles, including composite to composite and composite to metal components, will be necessary to indicate competency in preparing and curing composite materials.</w:t>
      </w:r>
    </w:p>
    <w:p w:rsidR="00000000" w:rsidRPr="00B91496" w:rsidP="00B91496">
      <w:pPr>
        <w:pStyle w:val="Heading1"/>
      </w:pPr>
      <w:bookmarkStart w:id="13" w:name="O_722446"/>
      <w:bookmarkEnd w:id="13"/>
      <w:r w:rsidRPr="00B91496">
        <w:t>Knowledge Evidence</w:t>
      </w:r>
    </w:p>
    <w:p w:rsidR="00000000" w:rsidRPr="00B91496" w:rsidP="00A32E6A">
      <w:pPr>
        <w:pStyle w:val="BodyText"/>
      </w:pPr>
      <w:r w:rsidRPr="00B91496">
        <w:t>Evidence required to demonstrate competency in this unit must be relevant to and satisfy all of the requirements of the elements and performance criteria and include knowledge of:</w:t>
      </w:r>
    </w:p>
    <w:p w:rsidR="00000000" w:rsidRPr="00B91496" w:rsidP="00B91496">
      <w:pPr>
        <w:pStyle w:val="ListBullet"/>
      </w:pPr>
      <w:r w:rsidRPr="00B91496">
        <w:t xml:space="preserve">aircraft construction principles and the causes </w:t>
      </w:r>
      <w:r w:rsidRPr="00B91496">
        <w:t>of structural damage, including metal fatigue and corrosion</w:t>
      </w:r>
    </w:p>
    <w:p w:rsidR="00000000" w:rsidRPr="00B91496" w:rsidP="00B91496">
      <w:pPr>
        <w:pStyle w:val="ListBullet"/>
      </w:pPr>
      <w:r w:rsidRPr="00B91496">
        <w:t>structural fatigue preventative measures</w:t>
      </w:r>
    </w:p>
    <w:p w:rsidR="00000000" w:rsidRPr="00B91496" w:rsidP="00B91496">
      <w:pPr>
        <w:pStyle w:val="ListBullet"/>
      </w:pPr>
      <w:r w:rsidRPr="00B91496">
        <w:t>composite terminology and materials used in both hot and cold bonding</w:t>
      </w:r>
    </w:p>
    <w:p w:rsidR="00000000" w:rsidRPr="00B91496" w:rsidP="00B91496">
      <w:pPr>
        <w:pStyle w:val="ListBullet"/>
      </w:pPr>
      <w:r w:rsidRPr="00B91496">
        <w:t>composite component construction and repair methods, including structural assembly fa</w:t>
      </w:r>
      <w:r w:rsidRPr="00B91496">
        <w:t>stener types, specifications and identification</w:t>
      </w:r>
    </w:p>
    <w:p w:rsidR="00000000" w:rsidRPr="00B91496" w:rsidP="00B91496">
      <w:pPr>
        <w:pStyle w:val="ListBullet"/>
      </w:pPr>
      <w:r w:rsidRPr="00B91496">
        <w:t>procedures for the design and approval of repair schemes and modifications</w:t>
      </w:r>
    </w:p>
    <w:p w:rsidR="00000000" w:rsidRPr="00B91496" w:rsidP="00B91496">
      <w:pPr>
        <w:pStyle w:val="ListBullet"/>
      </w:pPr>
      <w:r w:rsidRPr="00B91496">
        <w:t>composite material storage requirements</w:t>
      </w:r>
    </w:p>
    <w:p w:rsidR="00000000" w:rsidRPr="00B91496" w:rsidP="00B91496">
      <w:pPr>
        <w:pStyle w:val="ListBullet"/>
      </w:pPr>
      <w:r w:rsidRPr="00B91496">
        <w:t>sealants used in aircraft structure and their application and handling</w:t>
      </w:r>
    </w:p>
    <w:p w:rsidR="00000000" w:rsidRPr="00B91496" w:rsidP="00B91496">
      <w:pPr>
        <w:pStyle w:val="ListBullet"/>
      </w:pPr>
      <w:r w:rsidRPr="00B91496">
        <w:t>paints and finishes fo</w:t>
      </w:r>
      <w:r w:rsidRPr="00B91496">
        <w:t>r composite structure</w:t>
      </w:r>
    </w:p>
    <w:p w:rsidR="00000000" w:rsidRPr="00B91496" w:rsidP="00B91496">
      <w:pPr>
        <w:pStyle w:val="ListBullet"/>
      </w:pPr>
      <w:r w:rsidRPr="00B91496">
        <w:t>WHS precautions associated with repair of aircraft structure</w:t>
      </w:r>
    </w:p>
    <w:p w:rsidR="00000000" w:rsidRPr="00B91496" w:rsidP="00B91496">
      <w:pPr>
        <w:pStyle w:val="ListBullet"/>
      </w:pPr>
      <w:r w:rsidRPr="00B91496">
        <w:t>MSDS</w:t>
      </w:r>
    </w:p>
    <w:p w:rsidR="00000000" w:rsidRPr="00B91496" w:rsidP="00B91496">
      <w:pPr>
        <w:pStyle w:val="ListBullet"/>
      </w:pPr>
      <w:r w:rsidRPr="00B91496">
        <w:t>PPE.</w:t>
      </w:r>
    </w:p>
    <w:p w:rsidR="00000000" w:rsidRPr="00B91496" w:rsidP="00B91496">
      <w:pPr>
        <w:pStyle w:val="AllowPageBreak"/>
      </w:pPr>
    </w:p>
    <w:p w:rsidR="00000000" w:rsidRPr="00B91496" w:rsidP="00B91496">
      <w:pPr>
        <w:pStyle w:val="Heading1"/>
      </w:pPr>
      <w:bookmarkStart w:id="14" w:name="O_722445"/>
      <w:bookmarkEnd w:id="14"/>
      <w:r w:rsidRPr="00B91496">
        <w:t>Assessment Conditions</w:t>
      </w:r>
    </w:p>
    <w:p w:rsidR="00000000" w:rsidRPr="00B91496" w:rsidP="00B91496">
      <w:pPr>
        <w:pStyle w:val="ListBullet"/>
      </w:pPr>
      <w:r w:rsidRPr="00B91496">
        <w:t xml:space="preserve">Competency should be assessed in the workplace or simulated workplace. It is also expected that general </w:t>
      </w:r>
      <w:r w:rsidRPr="00B91496">
        <w:t>purpose tools and test equipment found in most routine situations would be used where appropriate.</w:t>
      </w:r>
    </w:p>
    <w:p w:rsidR="00000000" w:rsidRPr="00B91496" w:rsidP="00B91496">
      <w:pPr>
        <w:pStyle w:val="ListBullet"/>
      </w:pPr>
      <w:r w:rsidRPr="00B91496">
        <w:t>The following conditions of assessment represent the requirements of the Regulators (ADF and CASA) and maintenance stakeholders and must be rigorously observ</w:t>
      </w:r>
      <w:r w:rsidRPr="00B91496">
        <w:t>ed.</w:t>
      </w:r>
    </w:p>
    <w:p w:rsidR="00000000" w:rsidRPr="00B91496" w:rsidP="00B91496">
      <w:pPr>
        <w:pStyle w:val="ListBullet"/>
      </w:pPr>
      <w:r w:rsidRPr="00B91496">
        <w:t>A person cannot be assessed as competent until it can be demonstrated to the satisfaction of the workplace assessor that the relevant elements of the unit of competency and the performance criteria are being achieved under routine supervision using mat</w:t>
      </w:r>
      <w:r w:rsidRPr="00B91496">
        <w:t>erials from each of:</w:t>
      </w:r>
    </w:p>
    <w:p w:rsidR="00000000" w:rsidRPr="00B91496" w:rsidP="00B91496">
      <w:pPr>
        <w:pStyle w:val="ListBullet2"/>
      </w:pPr>
      <w:r w:rsidRPr="00B91496">
        <w:t>cold cure or wet lay-up (using either fibreglass or carbon graphite)</w:t>
      </w:r>
    </w:p>
    <w:p w:rsidR="00000000" w:rsidRPr="00B91496" w:rsidP="00B91496">
      <w:pPr>
        <w:pStyle w:val="ListBullet2"/>
      </w:pPr>
      <w:r w:rsidRPr="00B91496">
        <w:t>core materials (using one of aluminium, nomex or foam)</w:t>
      </w:r>
    </w:p>
    <w:p w:rsidR="00000000" w:rsidRPr="00B91496" w:rsidP="00B91496">
      <w:pPr>
        <w:pStyle w:val="ListBullet"/>
      </w:pPr>
      <w:r w:rsidRPr="00B91496">
        <w:t xml:space="preserve">This shall be established via the records in the Log of Industrial Experience and Achievement or, where </w:t>
      </w:r>
      <w:r w:rsidRPr="00B91496">
        <w:t>appropriate, an equivalent Industry Evidence Guide (for details refer to the Companion Volume Assessment Guidelines).</w:t>
      </w:r>
    </w:p>
    <w:p w:rsidR="00000000" w:rsidRPr="00B91496" w:rsidP="00B91496">
      <w:pPr>
        <w:pStyle w:val="ListBullet"/>
      </w:pPr>
      <w:r w:rsidRPr="00B91496">
        <w:t xml:space="preserve">Assessors must satisfy the requirements of the National Vocational Education and Training Regulator (Australian Skills Quality Authority, </w:t>
      </w:r>
      <w:r w:rsidRPr="00B91496">
        <w:t>or its successors).</w:t>
      </w:r>
    </w:p>
    <w:p w:rsidR="00000000" w:rsidRPr="00B91496" w:rsidP="00B91496">
      <w:pPr>
        <w:pStyle w:val="ListBullet"/>
      </w:pPr>
      <w:r w:rsidRPr="00B91496">
        <w:t>Where the unit is to be used for CASA licensing purposes the Assessor must also meet the criteria specified in the CASR Part 147 Manual of Standards.</w:t>
      </w:r>
    </w:p>
    <w:p w:rsidR="00000000" w:rsidRPr="00B91496" w:rsidP="00B91496">
      <w:pPr>
        <w:pStyle w:val="AllowPageBreak"/>
      </w:pPr>
    </w:p>
    <w:p w:rsidR="00000000" w:rsidRPr="00B91496" w:rsidP="00B91496">
      <w:pPr>
        <w:pStyle w:val="Heading1"/>
      </w:pPr>
      <w:bookmarkStart w:id="15" w:name="O_722443"/>
      <w:bookmarkEnd w:id="15"/>
      <w:r w:rsidRPr="00B91496">
        <w:t>Links</w:t>
      </w:r>
    </w:p>
    <w:p w:rsidR="00000000" w:rsidRPr="00B91496" w:rsidP="00A32E6A">
      <w:pPr>
        <w:pStyle w:val="BodyText"/>
      </w:pPr>
      <w:r w:rsidRPr="00B91496">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215B27">
        <w:rPr>
          <w:rStyle w:val="Hyperlink"/>
        </w:rPr>
        <w:t>https://vetnet.gov.au/Pages/TrainingDocs.aspx?q=ce216c9c-04d5-4b3b-9bcf-4e81d0950371</w:t>
      </w:r>
      <w:r>
        <w:fldChar w:fldCharType="end"/>
      </w:r>
    </w:p>
    <w:p w:rsidR="00000000" w:rsidRPr="00B91496" w:rsidP="00B91496"/>
    <w:sectPr w:rsidSect="00B9149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4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496" w:rsidRPr="00A32E6A" w:rsidP="00A32E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4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E6A" w:rsidP="00B914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32E6A" w:rsidP="00B9149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32E6A" w:rsidP="00B9149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496" w:rsidP="00B91496">
    <w:pPr>
      <w:pStyle w:val="Footer"/>
      <w:framePr w:wrap="around"/>
    </w:pPr>
    <w:r>
      <w:fldChar w:fldCharType="begin"/>
    </w:r>
    <w:r>
      <w:instrText xml:space="preserve"> DOCPROPERTY  Subject  \* MERGEFORMAT </w:instrText>
    </w:r>
    <w:r>
      <w:fldChar w:fldCharType="separate"/>
    </w:r>
    <w:r w:rsidR="00A32E6A">
      <w:t>Approved</w:t>
    </w:r>
    <w:r w:rsidR="00A32E6A">
      <w:fldChar w:fldCharType="end"/>
    </w:r>
    <w:r>
      <w:tab/>
      <w:t xml:space="preserve">Page </w:t>
    </w:r>
    <w:r>
      <w:fldChar w:fldCharType="begin"/>
    </w:r>
    <w:r>
      <w:instrText xml:space="preserve"> PAGE  \* Arabic  \* MERGEFORMAT </w:instrText>
    </w:r>
    <w:r>
      <w:fldChar w:fldCharType="separate"/>
    </w:r>
    <w:r w:rsidR="00A32E6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32E6A">
      <w:rPr>
        <w:noProof/>
      </w:rPr>
      <w:t>4</w:t>
    </w:r>
    <w:r>
      <w:rPr>
        <w:noProof/>
      </w:rPr>
      <w:fldChar w:fldCharType="end"/>
    </w:r>
  </w:p>
  <w:p w:rsidR="00B91496" w:rsidP="00B91496">
    <w:pPr>
      <w:pStyle w:val="Footer"/>
      <w:framePr w:wrap="around"/>
    </w:pPr>
    <w:r>
      <w:t xml:space="preserve">© Commonwealth of Australia, </w:t>
    </w:r>
    <w:r>
      <w:fldChar w:fldCharType="begin"/>
    </w:r>
    <w:r>
      <w:instrText xml:space="preserve"> DATE  \@ "yyyy"  \* MERGEFORMAT </w:instrText>
    </w:r>
    <w:r>
      <w:fldChar w:fldCharType="separate"/>
    </w:r>
    <w:r w:rsidR="00A32E6A">
      <w:rPr>
        <w:noProof/>
      </w:rPr>
      <w:t>2025</w:t>
    </w:r>
    <w:r>
      <w:fldChar w:fldCharType="end"/>
    </w:r>
    <w:r>
      <w:tab/>
    </w:r>
    <w:r>
      <w:fldChar w:fldCharType="begin"/>
    </w:r>
    <w:r>
      <w:instrText xml:space="preserve"> DOCPROPERTY  Author  \* MERGEFORMAT </w:instrText>
    </w:r>
    <w:r>
      <w:fldChar w:fldCharType="separate"/>
    </w:r>
    <w:r w:rsidR="00A32E6A">
      <w:t>Manufacturing Industry Skills Alliance</w:t>
    </w:r>
    <w:r w:rsidR="00A32E6A">
      <w:fldChar w:fldCharType="end"/>
    </w:r>
  </w:p>
  <w:p w:rsidR="00B91496" w:rsidP="00B914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4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E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1496" w:rsidRPr="00A32E6A" w:rsidP="00A32E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4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E6A" w:rsidRPr="002D2AF8" w:rsidP="00B91496">
    <w:pPr>
      <w:pStyle w:val="Header"/>
      <w:framePr w:wrap="around"/>
    </w:pPr>
    <w:r>
      <w:fldChar w:fldCharType="begin"/>
    </w:r>
    <w:r>
      <w:instrText xml:space="preserve"> TITLE   \* MERGEFORMAT </w:instrText>
    </w:r>
    <w:r>
      <w:fldChar w:fldCharType="separate"/>
    </w:r>
    <w:r>
      <w:t>MEA367 Repair/modify aircraft composite structure using cold bonding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32E6A" w:rsidP="00B9149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496" w:rsidRPr="002D2AF8" w:rsidP="00B91496">
    <w:pPr>
      <w:pStyle w:val="Header"/>
      <w:framePr w:wrap="around"/>
    </w:pPr>
    <w:r>
      <w:fldChar w:fldCharType="begin"/>
    </w:r>
    <w:r>
      <w:instrText xml:space="preserve"> TITLE   \* MERGEFORMAT </w:instrText>
    </w:r>
    <w:r>
      <w:fldChar w:fldCharType="separate"/>
    </w:r>
    <w:r w:rsidR="00A32E6A">
      <w:t>MEA367 Repair/modify aircraft composite structure using cold bonding</w:t>
    </w:r>
    <w:r w:rsidR="00A32E6A">
      <w:fldChar w:fldCharType="end"/>
    </w:r>
    <w:r>
      <w:tab/>
      <w:t xml:space="preserve">Date this document was generated: </w:t>
    </w:r>
    <w:r>
      <w:fldChar w:fldCharType="begin"/>
    </w:r>
    <w:r>
      <w:instrText xml:space="preserve"> CREATEDATE  \@ "d MMMM yyyy"  \* MERGEFORMAT </w:instrText>
    </w:r>
    <w:r>
      <w:fldChar w:fldCharType="separate"/>
    </w:r>
    <w:r w:rsidR="00A32E6A">
      <w:rPr>
        <w:noProof/>
      </w:rPr>
      <w:t>2 March 2025</w:t>
    </w:r>
    <w:r>
      <w:fldChar w:fldCharType="end"/>
    </w:r>
  </w:p>
  <w:p w:rsidR="00B91496" w:rsidP="00B914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E0F0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CAA6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0A27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14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1496"/>
    <w:pPr>
      <w:spacing w:before="360" w:after="60"/>
      <w:outlineLvl w:val="0"/>
    </w:pPr>
    <w:rPr>
      <w:sz w:val="32"/>
    </w:rPr>
  </w:style>
  <w:style w:type="paragraph" w:styleId="Heading2">
    <w:name w:val="heading 2"/>
    <w:basedOn w:val="HeadingBase"/>
    <w:next w:val="BodyText"/>
    <w:link w:val="Heading2Char"/>
    <w:qFormat/>
    <w:rsid w:val="00B91496"/>
    <w:pPr>
      <w:keepLines/>
      <w:spacing w:before="240" w:after="120"/>
      <w:outlineLvl w:val="1"/>
    </w:pPr>
    <w:rPr>
      <w:sz w:val="28"/>
      <w:szCs w:val="40"/>
    </w:rPr>
  </w:style>
  <w:style w:type="paragraph" w:styleId="Heading3">
    <w:name w:val="heading 3"/>
    <w:basedOn w:val="HeadingBase"/>
    <w:next w:val="BodyText"/>
    <w:link w:val="Heading3Char"/>
    <w:qFormat/>
    <w:rsid w:val="00B91496"/>
    <w:pPr>
      <w:spacing w:before="180" w:after="120"/>
      <w:outlineLvl w:val="2"/>
    </w:pPr>
    <w:rPr>
      <w:spacing w:val="-10"/>
      <w:kern w:val="32"/>
    </w:rPr>
  </w:style>
  <w:style w:type="paragraph" w:styleId="Heading4">
    <w:name w:val="heading 4"/>
    <w:basedOn w:val="HeadingBase"/>
    <w:next w:val="BodyText"/>
    <w:link w:val="Heading4Char"/>
    <w:qFormat/>
    <w:rsid w:val="00B91496"/>
    <w:pPr>
      <w:spacing w:before="160" w:after="120"/>
      <w:outlineLvl w:val="3"/>
    </w:pPr>
    <w:rPr>
      <w:sz w:val="22"/>
    </w:rPr>
  </w:style>
  <w:style w:type="paragraph" w:styleId="Heading5">
    <w:name w:val="heading 5"/>
    <w:basedOn w:val="HeadingBase"/>
    <w:next w:val="Normal"/>
    <w:link w:val="Heading5Char"/>
    <w:qFormat/>
    <w:rsid w:val="00B91496"/>
    <w:pPr>
      <w:spacing w:before="80"/>
      <w:outlineLvl w:val="4"/>
    </w:pPr>
    <w:rPr>
      <w:color w:val="918585"/>
      <w:sz w:val="20"/>
    </w:rPr>
  </w:style>
  <w:style w:type="paragraph" w:styleId="Heading6">
    <w:name w:val="heading 6"/>
    <w:basedOn w:val="HeadingBase"/>
    <w:next w:val="Normal"/>
    <w:link w:val="Heading6Char"/>
    <w:qFormat/>
    <w:rsid w:val="00B91496"/>
    <w:pPr>
      <w:spacing w:before="60"/>
      <w:outlineLvl w:val="5"/>
    </w:pPr>
    <w:rPr>
      <w:color w:val="918585"/>
      <w:sz w:val="20"/>
    </w:rPr>
  </w:style>
  <w:style w:type="paragraph" w:styleId="Heading7">
    <w:name w:val="heading 7"/>
    <w:basedOn w:val="Normal"/>
    <w:next w:val="Normal"/>
    <w:link w:val="Heading7Char"/>
    <w:qFormat/>
    <w:rsid w:val="00B91496"/>
    <w:pPr>
      <w:ind w:left="720"/>
      <w:outlineLvl w:val="6"/>
    </w:pPr>
    <w:rPr>
      <w:i/>
    </w:rPr>
  </w:style>
  <w:style w:type="paragraph" w:styleId="Heading8">
    <w:name w:val="heading 8"/>
    <w:basedOn w:val="Normal"/>
    <w:next w:val="Normal"/>
    <w:link w:val="Heading8Char"/>
    <w:qFormat/>
    <w:rsid w:val="00B91496"/>
    <w:pPr>
      <w:ind w:left="720"/>
      <w:outlineLvl w:val="7"/>
    </w:pPr>
    <w:rPr>
      <w:i/>
    </w:rPr>
  </w:style>
  <w:style w:type="paragraph" w:styleId="Heading9">
    <w:name w:val="heading 9"/>
    <w:basedOn w:val="Normal"/>
    <w:next w:val="Normal"/>
    <w:link w:val="Heading9Char"/>
    <w:qFormat/>
    <w:rsid w:val="00B91496"/>
    <w:pPr>
      <w:ind w:left="720"/>
      <w:outlineLvl w:val="8"/>
    </w:pPr>
    <w:rPr>
      <w:i/>
    </w:rPr>
  </w:style>
  <w:style w:type="character" w:default="1" w:styleId="DefaultParagraphFont">
    <w:name w:val="Default Paragraph Font"/>
    <w:uiPriority w:val="1"/>
    <w:unhideWhenUsed/>
    <w:rsid w:val="00B914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1496"/>
  </w:style>
  <w:style w:type="character" w:customStyle="1" w:styleId="Heading1Char">
    <w:name w:val="Heading 1 Char"/>
    <w:basedOn w:val="DefaultParagraphFont"/>
    <w:link w:val="Heading1"/>
    <w:rsid w:val="00B91496"/>
    <w:rPr>
      <w:rFonts w:ascii="Times New Roman" w:eastAsia="Times New Roman" w:hAnsi="Times New Roman" w:cs="Times New Roman"/>
      <w:b/>
      <w:sz w:val="32"/>
      <w:szCs w:val="20"/>
      <w:lang w:eastAsia="en-US"/>
    </w:rPr>
  </w:style>
  <w:style w:type="paragraph" w:styleId="BodyText">
    <w:name w:val="Body Text"/>
    <w:basedOn w:val="Normal"/>
    <w:link w:val="BodyTextChar"/>
    <w:rsid w:val="00B914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1496"/>
    <w:rPr>
      <w:rFonts w:ascii="Times New Roman" w:eastAsia="Times New Roman" w:hAnsi="Times New Roman" w:cs="Times New Roman"/>
      <w:sz w:val="24"/>
      <w:lang w:eastAsia="en-US"/>
    </w:rPr>
  </w:style>
  <w:style w:type="paragraph" w:styleId="ListBullet">
    <w:name w:val="List Bullet"/>
    <w:basedOn w:val="List"/>
    <w:rsid w:val="00B91496"/>
    <w:pPr>
      <w:numPr>
        <w:numId w:val="12"/>
      </w:numPr>
      <w:tabs>
        <w:tab w:val="clear" w:pos="340"/>
      </w:tabs>
      <w:spacing w:before="40" w:after="40"/>
    </w:pPr>
  </w:style>
  <w:style w:type="character" w:customStyle="1" w:styleId="SpecialBold">
    <w:name w:val="Special Bold"/>
    <w:basedOn w:val="DefaultParagraphFont"/>
    <w:rsid w:val="00B91496"/>
    <w:rPr>
      <w:b/>
      <w:spacing w:val="0"/>
    </w:rPr>
  </w:style>
  <w:style w:type="paragraph" w:styleId="ListBullet2">
    <w:name w:val="List Bullet 2"/>
    <w:basedOn w:val="List2"/>
    <w:rsid w:val="00B91496"/>
    <w:pPr>
      <w:numPr>
        <w:numId w:val="13"/>
      </w:numPr>
      <w:tabs>
        <w:tab w:val="clear" w:pos="680"/>
      </w:tabs>
    </w:pPr>
  </w:style>
  <w:style w:type="paragraph" w:customStyle="1" w:styleId="SuperHeading">
    <w:name w:val="SuperHeading"/>
    <w:basedOn w:val="Normal"/>
    <w:rsid w:val="00B91496"/>
    <w:pPr>
      <w:spacing w:before="240" w:after="120"/>
      <w:outlineLvl w:val="0"/>
    </w:pPr>
    <w:rPr>
      <w:rFonts w:ascii="Times New Roman" w:hAnsi="Times New Roman"/>
      <w:b/>
      <w:sz w:val="32"/>
    </w:rPr>
  </w:style>
  <w:style w:type="paragraph" w:customStyle="1" w:styleId="AllowPageBreak">
    <w:name w:val="AllowPageBreak"/>
    <w:rsid w:val="00B914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14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14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14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14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14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14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14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1496"/>
    <w:rPr>
      <w:rFonts w:ascii="Courier New" w:eastAsia="Times New Roman" w:hAnsi="Courier New" w:cs="Times New Roman"/>
      <w:i/>
      <w:szCs w:val="20"/>
      <w:lang w:eastAsia="en-US"/>
    </w:rPr>
  </w:style>
  <w:style w:type="paragraph" w:customStyle="1" w:styleId="HeadingBase">
    <w:name w:val="Heading Base"/>
    <w:rsid w:val="00B914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1496"/>
    <w:pPr>
      <w:tabs>
        <w:tab w:val="right" w:leader="dot" w:pos="9072"/>
      </w:tabs>
      <w:ind w:left="567"/>
    </w:pPr>
    <w:rPr>
      <w:szCs w:val="22"/>
    </w:rPr>
  </w:style>
  <w:style w:type="paragraph" w:customStyle="1" w:styleId="TOCBase">
    <w:name w:val="TOC Base"/>
    <w:rsid w:val="00B914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1496"/>
    <w:pPr>
      <w:tabs>
        <w:tab w:val="right" w:leader="dot" w:pos="9072"/>
      </w:tabs>
      <w:spacing w:before="40" w:after="40"/>
      <w:ind w:left="284"/>
    </w:pPr>
    <w:rPr>
      <w:rFonts w:ascii="Times New Roman" w:hAnsi="Times New Roman"/>
    </w:rPr>
  </w:style>
  <w:style w:type="paragraph" w:styleId="TOC1">
    <w:name w:val="toc 1"/>
    <w:basedOn w:val="TOCBase"/>
    <w:next w:val="Normal"/>
    <w:rsid w:val="00B914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14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1496"/>
    <w:rPr>
      <w:rFonts w:ascii="Times New Roman" w:eastAsia="Times New Roman" w:hAnsi="Times New Roman" w:cs="Times New Roman"/>
      <w:sz w:val="16"/>
      <w:lang w:eastAsia="en-US"/>
    </w:rPr>
  </w:style>
  <w:style w:type="paragraph" w:styleId="Title">
    <w:name w:val="Title"/>
    <w:basedOn w:val="HeadingBase"/>
    <w:link w:val="TitleChar"/>
    <w:qFormat/>
    <w:rsid w:val="00B91496"/>
    <w:pPr>
      <w:spacing w:before="5040"/>
      <w:jc w:val="center"/>
    </w:pPr>
    <w:rPr>
      <w:sz w:val="48"/>
      <w:szCs w:val="72"/>
      <w:lang w:val="en-US"/>
    </w:rPr>
  </w:style>
  <w:style w:type="character" w:customStyle="1" w:styleId="TitleChar">
    <w:name w:val="Title Char"/>
    <w:basedOn w:val="DefaultParagraphFont"/>
    <w:link w:val="Title"/>
    <w:rsid w:val="00B914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1496"/>
    <w:pPr>
      <w:tabs>
        <w:tab w:val="left" w:pos="3600"/>
        <w:tab w:val="left" w:pos="3958"/>
      </w:tabs>
    </w:pPr>
  </w:style>
  <w:style w:type="paragraph" w:styleId="List">
    <w:name w:val="List"/>
    <w:basedOn w:val="BodyText"/>
    <w:next w:val="BodyText"/>
    <w:rsid w:val="00B91496"/>
    <w:pPr>
      <w:tabs>
        <w:tab w:val="left" w:pos="340"/>
      </w:tabs>
      <w:spacing w:before="60" w:after="60"/>
      <w:ind w:left="340" w:hanging="340"/>
    </w:pPr>
  </w:style>
  <w:style w:type="paragraph" w:customStyle="1" w:styleId="Note">
    <w:name w:val="Note"/>
    <w:basedOn w:val="BodyText"/>
    <w:rsid w:val="00B914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1496"/>
    <w:pPr>
      <w:framePr w:wrap="auto" w:hAnchor="text" w:y="6049"/>
    </w:pPr>
    <w:rPr>
      <w:color w:val="000000"/>
      <w:sz w:val="40"/>
    </w:rPr>
  </w:style>
  <w:style w:type="paragraph" w:customStyle="1" w:styleId="TOCTitle">
    <w:name w:val="TOCTitle"/>
    <w:basedOn w:val="Heading1"/>
    <w:rsid w:val="00B91496"/>
    <w:pPr>
      <w:spacing w:after="240"/>
      <w:jc w:val="center"/>
      <w:outlineLvl w:val="9"/>
    </w:pPr>
    <w:rPr>
      <w:caps/>
    </w:rPr>
  </w:style>
  <w:style w:type="paragraph" w:customStyle="1" w:styleId="Version">
    <w:name w:val="Version"/>
    <w:rsid w:val="00B914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1496"/>
    <w:pPr>
      <w:keepNext w:val="0"/>
      <w:tabs>
        <w:tab w:val="right" w:pos="4176"/>
      </w:tabs>
      <w:ind w:left="198" w:hanging="198"/>
    </w:pPr>
    <w:rPr>
      <w:rFonts w:ascii="Garamond" w:hAnsi="Garamond"/>
    </w:rPr>
  </w:style>
  <w:style w:type="paragraph" w:styleId="IndexHeading">
    <w:name w:val="index heading"/>
    <w:basedOn w:val="Normal"/>
    <w:next w:val="Index1"/>
    <w:semiHidden/>
    <w:rsid w:val="00B91496"/>
    <w:pPr>
      <w:spacing w:before="120" w:after="120"/>
    </w:pPr>
    <w:rPr>
      <w:rFonts w:ascii="Arial" w:hAnsi="Arial"/>
      <w:b/>
      <w:color w:val="918585"/>
      <w:sz w:val="24"/>
    </w:rPr>
  </w:style>
  <w:style w:type="paragraph" w:styleId="Header">
    <w:name w:val="header"/>
    <w:basedOn w:val="Normal"/>
    <w:link w:val="HeaderChar"/>
    <w:rsid w:val="00B914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1496"/>
    <w:rPr>
      <w:rFonts w:ascii="Times New Roman" w:eastAsia="Times New Roman" w:hAnsi="Times New Roman" w:cs="Times New Roman"/>
      <w:sz w:val="16"/>
      <w:szCs w:val="20"/>
      <w:lang w:val="en-GB" w:eastAsia="en-US"/>
    </w:rPr>
  </w:style>
  <w:style w:type="paragraph" w:customStyle="1" w:styleId="Chapter">
    <w:name w:val="Chapter"/>
    <w:basedOn w:val="Normal"/>
    <w:rsid w:val="00B91496"/>
    <w:pPr>
      <w:spacing w:before="240"/>
    </w:pPr>
    <w:rPr>
      <w:rFonts w:ascii="Times New Roman" w:hAnsi="Times New Roman"/>
      <w:smallCaps/>
      <w:spacing w:val="80"/>
      <w:sz w:val="28"/>
    </w:rPr>
  </w:style>
  <w:style w:type="paragraph" w:customStyle="1" w:styleId="InChapter">
    <w:name w:val="InChapter"/>
    <w:basedOn w:val="Heading3"/>
    <w:rsid w:val="00B91496"/>
    <w:pPr>
      <w:spacing w:after="240"/>
      <w:outlineLvl w:val="9"/>
    </w:pPr>
    <w:rPr>
      <w:noProof/>
    </w:rPr>
  </w:style>
  <w:style w:type="paragraph" w:styleId="Index2">
    <w:name w:val="index 2"/>
    <w:basedOn w:val="Normal"/>
    <w:next w:val="Normal"/>
    <w:semiHidden/>
    <w:rsid w:val="00B91496"/>
    <w:pPr>
      <w:tabs>
        <w:tab w:val="right" w:pos="4176"/>
      </w:tabs>
      <w:ind w:left="568" w:hanging="284"/>
    </w:pPr>
    <w:rPr>
      <w:rFonts w:ascii="Garamond" w:hAnsi="Garamond"/>
    </w:rPr>
  </w:style>
  <w:style w:type="paragraph" w:customStyle="1" w:styleId="Byline">
    <w:name w:val="Byline"/>
    <w:rsid w:val="00B914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1496"/>
    <w:pPr>
      <w:tabs>
        <w:tab w:val="clear" w:pos="3600"/>
        <w:tab w:val="clear" w:pos="3958"/>
      </w:tabs>
      <w:jc w:val="right"/>
    </w:pPr>
  </w:style>
  <w:style w:type="character" w:styleId="Emphasis">
    <w:name w:val="Emphasis"/>
    <w:basedOn w:val="DefaultParagraphFont"/>
    <w:qFormat/>
    <w:rsid w:val="00B91496"/>
    <w:rPr>
      <w:i/>
    </w:rPr>
  </w:style>
  <w:style w:type="paragraph" w:styleId="Caption">
    <w:name w:val="caption"/>
    <w:basedOn w:val="BodyText"/>
    <w:next w:val="Normal"/>
    <w:qFormat/>
    <w:rsid w:val="00B91496"/>
    <w:pPr>
      <w:framePr w:w="2268" w:hSpace="181" w:vSpace="181" w:wrap="around" w:vAnchor="text" w:hAnchor="page" w:x="1135" w:y="285" w:anchorLock="1"/>
    </w:pPr>
    <w:rPr>
      <w:i/>
    </w:rPr>
  </w:style>
  <w:style w:type="paragraph" w:customStyle="1" w:styleId="MiniTOCTitle">
    <w:name w:val="MiniTOCTitle"/>
    <w:basedOn w:val="Heading4"/>
    <w:rsid w:val="00B91496"/>
    <w:pPr>
      <w:spacing w:before="240"/>
      <w:outlineLvl w:val="9"/>
    </w:pPr>
    <w:rPr>
      <w:noProof/>
      <w:sz w:val="24"/>
    </w:rPr>
  </w:style>
  <w:style w:type="paragraph" w:customStyle="1" w:styleId="MiniTOCItem">
    <w:name w:val="MiniTOCItem"/>
    <w:basedOn w:val="ListBullet"/>
    <w:rsid w:val="00B91496"/>
    <w:pPr>
      <w:numPr>
        <w:numId w:val="0"/>
      </w:numPr>
      <w:tabs>
        <w:tab w:val="right" w:leader="dot" w:pos="6521"/>
      </w:tabs>
      <w:spacing w:before="0" w:after="0"/>
    </w:pPr>
  </w:style>
  <w:style w:type="paragraph" w:customStyle="1" w:styleId="TOFTitle">
    <w:name w:val="TOFTitle"/>
    <w:basedOn w:val="TOCTitle"/>
    <w:rsid w:val="00B91496"/>
  </w:style>
  <w:style w:type="paragraph" w:styleId="TableofFigures">
    <w:name w:val="table of figures"/>
    <w:basedOn w:val="Normal"/>
    <w:next w:val="Normal"/>
    <w:semiHidden/>
    <w:rsid w:val="00B91496"/>
    <w:pPr>
      <w:tabs>
        <w:tab w:val="right" w:leader="dot" w:pos="9072"/>
      </w:tabs>
      <w:ind w:left="970" w:hanging="403"/>
    </w:pPr>
    <w:rPr>
      <w:rFonts w:ascii="Times New Roman" w:hAnsi="Times New Roman"/>
      <w:b/>
    </w:rPr>
  </w:style>
  <w:style w:type="paragraph" w:styleId="ListNumber">
    <w:name w:val="List Number"/>
    <w:basedOn w:val="List"/>
    <w:rsid w:val="00B91496"/>
    <w:pPr>
      <w:numPr>
        <w:numId w:val="15"/>
      </w:numPr>
      <w:tabs>
        <w:tab w:val="clear" w:pos="340"/>
      </w:tabs>
    </w:pPr>
  </w:style>
  <w:style w:type="character" w:customStyle="1" w:styleId="WingdingSymbols">
    <w:name w:val="Wingding Symbols"/>
    <w:rsid w:val="00B91496"/>
    <w:rPr>
      <w:rFonts w:ascii="Wingdings" w:hAnsi="Wingdings"/>
    </w:rPr>
  </w:style>
  <w:style w:type="paragraph" w:customStyle="1" w:styleId="TableHeading">
    <w:name w:val="Table Heading"/>
    <w:basedOn w:val="HeadingBase"/>
    <w:rsid w:val="00B91496"/>
    <w:pPr>
      <w:keepLines/>
      <w:pBdr>
        <w:bottom w:val="single" w:sz="6" w:space="1" w:color="918585"/>
      </w:pBdr>
      <w:spacing w:before="240"/>
    </w:pPr>
  </w:style>
  <w:style w:type="character" w:customStyle="1" w:styleId="HotSpot">
    <w:name w:val="HotSpot"/>
    <w:rsid w:val="00B91496"/>
    <w:rPr>
      <w:color w:val="0033CC"/>
      <w:u w:val="none"/>
    </w:rPr>
  </w:style>
  <w:style w:type="paragraph" w:customStyle="1" w:styleId="BodyTextRight">
    <w:name w:val="Body Text Right"/>
    <w:basedOn w:val="BodyText"/>
    <w:rsid w:val="00B91496"/>
    <w:pPr>
      <w:spacing w:before="0" w:after="0"/>
      <w:jc w:val="right"/>
    </w:pPr>
  </w:style>
  <w:style w:type="paragraph" w:styleId="Index3">
    <w:name w:val="index 3"/>
    <w:basedOn w:val="ListNumber2"/>
    <w:next w:val="Normal"/>
    <w:semiHidden/>
    <w:rsid w:val="00B91496"/>
    <w:pPr>
      <w:numPr>
        <w:numId w:val="0"/>
      </w:numPr>
      <w:tabs>
        <w:tab w:val="right" w:leader="dot" w:pos="4176"/>
      </w:tabs>
    </w:pPr>
  </w:style>
  <w:style w:type="paragraph" w:styleId="ListNumber2">
    <w:name w:val="List Number 2"/>
    <w:basedOn w:val="List2"/>
    <w:rsid w:val="00B91496"/>
    <w:pPr>
      <w:numPr>
        <w:numId w:val="10"/>
      </w:numPr>
      <w:tabs>
        <w:tab w:val="clear" w:pos="1060"/>
      </w:tabs>
    </w:pPr>
  </w:style>
  <w:style w:type="paragraph" w:customStyle="1" w:styleId="MarginNote">
    <w:name w:val="Margin Note"/>
    <w:basedOn w:val="BodyText"/>
    <w:rsid w:val="00B914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14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14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1496"/>
    <w:rPr>
      <w:sz w:val="32"/>
    </w:rPr>
  </w:style>
  <w:style w:type="paragraph" w:customStyle="1" w:styleId="HeadingProcedure">
    <w:name w:val="Heading Procedure"/>
    <w:basedOn w:val="HeadingBase"/>
    <w:next w:val="Normal"/>
    <w:rsid w:val="00B91496"/>
    <w:pPr>
      <w:tabs>
        <w:tab w:val="left" w:pos="0"/>
      </w:tabs>
      <w:spacing w:before="120" w:after="60"/>
    </w:pPr>
    <w:rPr>
      <w:i/>
      <w:color w:val="918585"/>
      <w:sz w:val="22"/>
    </w:rPr>
  </w:style>
  <w:style w:type="paragraph" w:customStyle="1" w:styleId="TableBodyText">
    <w:name w:val="Table Body Text"/>
    <w:basedOn w:val="BodyText"/>
    <w:rsid w:val="00B91496"/>
    <w:pPr>
      <w:spacing w:before="60" w:after="60"/>
    </w:pPr>
  </w:style>
  <w:style w:type="paragraph" w:styleId="ListContinue">
    <w:name w:val="List Continue"/>
    <w:basedOn w:val="List"/>
    <w:rsid w:val="00B91496"/>
    <w:pPr>
      <w:ind w:firstLine="0"/>
    </w:pPr>
  </w:style>
  <w:style w:type="paragraph" w:customStyle="1" w:styleId="ListNote">
    <w:name w:val="List Note"/>
    <w:basedOn w:val="List"/>
    <w:rsid w:val="00B91496"/>
    <w:pPr>
      <w:pBdr>
        <w:top w:val="single" w:sz="6" w:space="2" w:color="918585"/>
        <w:bottom w:val="single" w:sz="6" w:space="2" w:color="918585"/>
      </w:pBdr>
      <w:tabs>
        <w:tab w:val="left" w:pos="1021"/>
      </w:tabs>
      <w:ind w:firstLine="0"/>
    </w:pPr>
  </w:style>
  <w:style w:type="paragraph" w:customStyle="1" w:styleId="Warning">
    <w:name w:val="Warning"/>
    <w:basedOn w:val="BodyText"/>
    <w:rsid w:val="00B91496"/>
    <w:pPr>
      <w:shd w:val="clear" w:color="auto" w:fill="D9D9D9"/>
      <w:tabs>
        <w:tab w:val="left" w:pos="992"/>
      </w:tabs>
      <w:ind w:left="119" w:right="119"/>
    </w:pPr>
    <w:rPr>
      <w:sz w:val="20"/>
    </w:rPr>
  </w:style>
  <w:style w:type="paragraph" w:customStyle="1" w:styleId="MarginIcons">
    <w:name w:val="Margin Icons"/>
    <w:basedOn w:val="BodyText"/>
    <w:rsid w:val="00B914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1496"/>
    <w:rPr>
      <w:rFonts w:ascii="Courier New" w:hAnsi="Courier New"/>
    </w:rPr>
  </w:style>
  <w:style w:type="paragraph" w:customStyle="1" w:styleId="NoteBullet">
    <w:name w:val="Note Bullet"/>
    <w:basedOn w:val="Note"/>
    <w:rsid w:val="00B91496"/>
    <w:pPr>
      <w:tabs>
        <w:tab w:val="clear" w:pos="680"/>
      </w:tabs>
      <w:spacing w:before="60" w:after="60"/>
    </w:pPr>
  </w:style>
  <w:style w:type="paragraph" w:customStyle="1" w:styleId="SubHeading2">
    <w:name w:val="SubHeading2"/>
    <w:basedOn w:val="HeadingBase"/>
    <w:rsid w:val="00B91496"/>
    <w:pPr>
      <w:spacing w:before="240" w:after="60"/>
    </w:pPr>
    <w:rPr>
      <w:sz w:val="20"/>
    </w:rPr>
  </w:style>
  <w:style w:type="paragraph" w:customStyle="1" w:styleId="SubHeading1">
    <w:name w:val="SubHeading1"/>
    <w:basedOn w:val="HeadingBase"/>
    <w:rsid w:val="00B91496"/>
    <w:pPr>
      <w:spacing w:before="240" w:after="60"/>
    </w:pPr>
    <w:rPr>
      <w:color w:val="918585"/>
      <w:sz w:val="22"/>
    </w:rPr>
  </w:style>
  <w:style w:type="paragraph" w:customStyle="1" w:styleId="SideHeading">
    <w:name w:val="Side Heading"/>
    <w:basedOn w:val="HeadingBase"/>
    <w:rsid w:val="00B914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1496"/>
    <w:pPr>
      <w:tabs>
        <w:tab w:val="num" w:pos="360"/>
      </w:tabs>
    </w:pPr>
  </w:style>
  <w:style w:type="paragraph" w:styleId="PlainText">
    <w:name w:val="Plain Text"/>
    <w:basedOn w:val="Normal"/>
    <w:link w:val="PlainTextChar"/>
    <w:rsid w:val="00B91496"/>
    <w:rPr>
      <w:sz w:val="20"/>
    </w:rPr>
  </w:style>
  <w:style w:type="character" w:customStyle="1" w:styleId="PlainTextChar">
    <w:name w:val="Plain Text Char"/>
    <w:basedOn w:val="DefaultParagraphFont"/>
    <w:link w:val="PlainText"/>
    <w:rsid w:val="00B91496"/>
    <w:rPr>
      <w:rFonts w:ascii="Courier New" w:eastAsia="Times New Roman" w:hAnsi="Courier New" w:cs="Times New Roman"/>
      <w:sz w:val="20"/>
      <w:szCs w:val="20"/>
      <w:lang w:eastAsia="en-US"/>
    </w:rPr>
  </w:style>
  <w:style w:type="character" w:customStyle="1" w:styleId="MenuOption">
    <w:name w:val="Menu Option"/>
    <w:basedOn w:val="DefaultParagraphFont"/>
    <w:rsid w:val="00B91496"/>
    <w:rPr>
      <w:b/>
      <w:smallCaps/>
    </w:rPr>
  </w:style>
  <w:style w:type="paragraph" w:customStyle="1" w:styleId="TableListNumber">
    <w:name w:val="Table List Number"/>
    <w:basedOn w:val="ListNumber"/>
    <w:rsid w:val="00B91496"/>
    <w:pPr>
      <w:numPr>
        <w:numId w:val="0"/>
      </w:numPr>
    </w:pPr>
  </w:style>
  <w:style w:type="paragraph" w:styleId="TOC4">
    <w:name w:val="toc 4"/>
    <w:basedOn w:val="TOCBase"/>
    <w:next w:val="Normal"/>
    <w:semiHidden/>
    <w:rsid w:val="00B91496"/>
    <w:pPr>
      <w:tabs>
        <w:tab w:val="right" w:leader="dot" w:pos="9071"/>
      </w:tabs>
      <w:ind w:left="1701"/>
    </w:pPr>
  </w:style>
  <w:style w:type="paragraph" w:customStyle="1" w:styleId="ListAlpha">
    <w:name w:val="List Alpha"/>
    <w:basedOn w:val="List"/>
    <w:rsid w:val="00B91496"/>
    <w:pPr>
      <w:numPr>
        <w:numId w:val="9"/>
      </w:numPr>
    </w:pPr>
  </w:style>
  <w:style w:type="paragraph" w:customStyle="1" w:styleId="ListAlpha2">
    <w:name w:val="List Alpha 2"/>
    <w:basedOn w:val="List2"/>
    <w:rsid w:val="00B91496"/>
    <w:pPr>
      <w:numPr>
        <w:numId w:val="8"/>
      </w:numPr>
    </w:pPr>
  </w:style>
  <w:style w:type="paragraph" w:styleId="List2">
    <w:name w:val="List 2"/>
    <w:basedOn w:val="BodyText"/>
    <w:rsid w:val="00B91496"/>
    <w:pPr>
      <w:tabs>
        <w:tab w:val="left" w:pos="680"/>
      </w:tabs>
      <w:spacing w:before="60" w:after="60"/>
      <w:ind w:left="680" w:hanging="340"/>
    </w:pPr>
  </w:style>
  <w:style w:type="paragraph" w:styleId="List3">
    <w:name w:val="List 3"/>
    <w:basedOn w:val="BodyText"/>
    <w:rsid w:val="00B91496"/>
    <w:pPr>
      <w:tabs>
        <w:tab w:val="left" w:pos="1021"/>
      </w:tabs>
      <w:spacing w:before="60" w:after="60"/>
      <w:ind w:left="1020" w:hanging="340"/>
    </w:pPr>
  </w:style>
  <w:style w:type="paragraph" w:styleId="List4">
    <w:name w:val="List 4"/>
    <w:basedOn w:val="BodyText"/>
    <w:rsid w:val="00B91496"/>
    <w:pPr>
      <w:tabs>
        <w:tab w:val="left" w:pos="1361"/>
      </w:tabs>
      <w:spacing w:before="60" w:after="60"/>
      <w:ind w:left="1361" w:hanging="340"/>
    </w:pPr>
  </w:style>
  <w:style w:type="paragraph" w:styleId="List5">
    <w:name w:val="List 5"/>
    <w:basedOn w:val="BodyText"/>
    <w:rsid w:val="00B91496"/>
    <w:pPr>
      <w:tabs>
        <w:tab w:val="left" w:pos="1701"/>
      </w:tabs>
      <w:spacing w:before="60" w:after="60"/>
      <w:ind w:left="1701" w:hanging="340"/>
    </w:pPr>
  </w:style>
  <w:style w:type="paragraph" w:styleId="ListBullet3">
    <w:name w:val="List Bullet 3"/>
    <w:basedOn w:val="List3"/>
    <w:rsid w:val="00B91496"/>
    <w:pPr>
      <w:numPr>
        <w:numId w:val="14"/>
      </w:numPr>
      <w:tabs>
        <w:tab w:val="clear" w:pos="1021"/>
      </w:tabs>
      <w:ind w:left="1037" w:hanging="357"/>
    </w:pPr>
  </w:style>
  <w:style w:type="paragraph" w:styleId="ListBullet4">
    <w:name w:val="List Bullet 4"/>
    <w:basedOn w:val="List4"/>
    <w:rsid w:val="00B91496"/>
    <w:pPr>
      <w:numPr>
        <w:numId w:val="3"/>
      </w:numPr>
      <w:tabs>
        <w:tab w:val="clear" w:pos="1361"/>
      </w:tabs>
    </w:pPr>
  </w:style>
  <w:style w:type="paragraph" w:styleId="ListBullet5">
    <w:name w:val="List Bullet 5"/>
    <w:basedOn w:val="List5"/>
    <w:rsid w:val="00B91496"/>
    <w:pPr>
      <w:numPr>
        <w:numId w:val="4"/>
      </w:numPr>
    </w:pPr>
  </w:style>
  <w:style w:type="paragraph" w:styleId="ListContinue2">
    <w:name w:val="List Continue 2"/>
    <w:basedOn w:val="List2"/>
    <w:rsid w:val="00B91496"/>
    <w:pPr>
      <w:ind w:firstLine="0"/>
    </w:pPr>
  </w:style>
  <w:style w:type="paragraph" w:styleId="ListContinue3">
    <w:name w:val="List Continue 3"/>
    <w:basedOn w:val="List3"/>
    <w:rsid w:val="00B91496"/>
    <w:pPr>
      <w:ind w:left="1021" w:firstLine="0"/>
    </w:pPr>
  </w:style>
  <w:style w:type="paragraph" w:styleId="ListContinue4">
    <w:name w:val="List Continue 4"/>
    <w:basedOn w:val="List4"/>
    <w:rsid w:val="00B91496"/>
    <w:pPr>
      <w:ind w:firstLine="0"/>
    </w:pPr>
  </w:style>
  <w:style w:type="paragraph" w:styleId="ListContinue5">
    <w:name w:val="List Continue 5"/>
    <w:basedOn w:val="List5"/>
    <w:rsid w:val="00B91496"/>
    <w:pPr>
      <w:ind w:firstLine="0"/>
    </w:pPr>
  </w:style>
  <w:style w:type="paragraph" w:styleId="ListNumber3">
    <w:name w:val="List Number 3"/>
    <w:basedOn w:val="List3"/>
    <w:rsid w:val="00B91496"/>
    <w:pPr>
      <w:numPr>
        <w:numId w:val="5"/>
      </w:numPr>
    </w:pPr>
  </w:style>
  <w:style w:type="paragraph" w:styleId="ListNumber4">
    <w:name w:val="List Number 4"/>
    <w:basedOn w:val="List4"/>
    <w:rsid w:val="00B91496"/>
    <w:pPr>
      <w:numPr>
        <w:numId w:val="6"/>
      </w:numPr>
    </w:pPr>
  </w:style>
  <w:style w:type="paragraph" w:styleId="ListNumber5">
    <w:name w:val="List Number 5"/>
    <w:basedOn w:val="List5"/>
    <w:rsid w:val="00B91496"/>
    <w:pPr>
      <w:numPr>
        <w:numId w:val="7"/>
      </w:numPr>
    </w:pPr>
  </w:style>
  <w:style w:type="paragraph" w:styleId="BlockText">
    <w:name w:val="Block Text"/>
    <w:basedOn w:val="Normal"/>
    <w:rsid w:val="00B91496"/>
    <w:pPr>
      <w:spacing w:after="120"/>
      <w:ind w:left="1440" w:right="1440"/>
    </w:pPr>
  </w:style>
  <w:style w:type="character" w:customStyle="1" w:styleId="Subscript">
    <w:name w:val="Subscript"/>
    <w:basedOn w:val="DefaultParagraphFont"/>
    <w:rsid w:val="00B91496"/>
    <w:rPr>
      <w:sz w:val="16"/>
      <w:vertAlign w:val="subscript"/>
    </w:rPr>
  </w:style>
  <w:style w:type="character" w:customStyle="1" w:styleId="Superscript">
    <w:name w:val="Superscript"/>
    <w:basedOn w:val="DefaultParagraphFont"/>
    <w:rsid w:val="00B91496"/>
    <w:rPr>
      <w:sz w:val="16"/>
      <w:vertAlign w:val="superscript"/>
    </w:rPr>
  </w:style>
  <w:style w:type="character" w:customStyle="1" w:styleId="Symbols">
    <w:name w:val="Symbols"/>
    <w:basedOn w:val="DefaultParagraphFont"/>
    <w:rsid w:val="00B91496"/>
    <w:rPr>
      <w:rFonts w:ascii="Symbol" w:hAnsi="Symbol"/>
    </w:rPr>
  </w:style>
  <w:style w:type="character" w:customStyle="1" w:styleId="MenuOptions">
    <w:name w:val="Menu Options"/>
    <w:basedOn w:val="DefaultParagraphFont"/>
    <w:rsid w:val="00B91496"/>
    <w:rPr>
      <w:rFonts w:ascii="Arial Narrow" w:hAnsi="Arial Narrow"/>
      <w:smallCaps/>
    </w:rPr>
  </w:style>
  <w:style w:type="character" w:customStyle="1" w:styleId="Buttons">
    <w:name w:val="Buttons"/>
    <w:basedOn w:val="DefaultParagraphFont"/>
    <w:rsid w:val="00B91496"/>
    <w:rPr>
      <w:b/>
    </w:rPr>
  </w:style>
  <w:style w:type="character" w:customStyle="1" w:styleId="Underlined">
    <w:name w:val="Underlined"/>
    <w:basedOn w:val="DefaultParagraphFont"/>
    <w:rsid w:val="00B91496"/>
    <w:rPr>
      <w:u w:val="single"/>
    </w:rPr>
  </w:style>
  <w:style w:type="paragraph" w:customStyle="1" w:styleId="TableBodyTextRight">
    <w:name w:val="Table Body Text Right"/>
    <w:basedOn w:val="TableBodyText"/>
    <w:rsid w:val="00B91496"/>
    <w:pPr>
      <w:widowControl w:val="0"/>
      <w:autoSpaceDE w:val="0"/>
      <w:autoSpaceDN w:val="0"/>
      <w:adjustRightInd w:val="0"/>
      <w:jc w:val="right"/>
    </w:pPr>
    <w:rPr>
      <w:rFonts w:cs="Arial"/>
      <w:szCs w:val="18"/>
    </w:rPr>
  </w:style>
  <w:style w:type="paragraph" w:customStyle="1" w:styleId="CopyrightText">
    <w:name w:val="Copyright Text"/>
    <w:basedOn w:val="BodyText"/>
    <w:rsid w:val="00B91496"/>
    <w:rPr>
      <w:sz w:val="18"/>
    </w:rPr>
  </w:style>
  <w:style w:type="paragraph" w:customStyle="1" w:styleId="BodySmallRight">
    <w:name w:val="Body Small Right"/>
    <w:basedOn w:val="BodyTextRight"/>
    <w:rsid w:val="00B91496"/>
    <w:rPr>
      <w:sz w:val="18"/>
      <w:szCs w:val="18"/>
    </w:rPr>
  </w:style>
  <w:style w:type="paragraph" w:customStyle="1" w:styleId="MarginEdition">
    <w:name w:val="Margin Edition"/>
    <w:basedOn w:val="MarginNote"/>
    <w:rsid w:val="00B91496"/>
    <w:pPr>
      <w:spacing w:before="0" w:after="0"/>
    </w:pPr>
    <w:rPr>
      <w:rFonts w:ascii="Times New Roman" w:hAnsi="Times New Roman"/>
      <w:color w:val="999999"/>
    </w:rPr>
  </w:style>
  <w:style w:type="paragraph" w:customStyle="1" w:styleId="Spacer">
    <w:name w:val="Spacer"/>
    <w:basedOn w:val="Normal"/>
    <w:rsid w:val="00B91496"/>
    <w:rPr>
      <w:sz w:val="2"/>
      <w:szCs w:val="2"/>
    </w:rPr>
  </w:style>
  <w:style w:type="character" w:customStyle="1" w:styleId="Small">
    <w:name w:val="Small"/>
    <w:basedOn w:val="DefaultParagraphFont"/>
    <w:rsid w:val="00B91496"/>
    <w:rPr>
      <w:sz w:val="16"/>
    </w:rPr>
  </w:style>
  <w:style w:type="paragraph" w:customStyle="1" w:styleId="WideTable">
    <w:name w:val="Wide Table"/>
    <w:basedOn w:val="Normal"/>
    <w:rsid w:val="00B91496"/>
    <w:pPr>
      <w:ind w:left="-1418"/>
    </w:pPr>
    <w:rPr>
      <w:sz w:val="2"/>
      <w:szCs w:val="2"/>
    </w:rPr>
  </w:style>
  <w:style w:type="character" w:styleId="PageNumber">
    <w:name w:val="page number"/>
    <w:basedOn w:val="DefaultParagraphFont"/>
    <w:rsid w:val="00B91496"/>
  </w:style>
  <w:style w:type="paragraph" w:styleId="Quote">
    <w:name w:val="Quote"/>
    <w:basedOn w:val="Heading1"/>
    <w:link w:val="QuoteChar"/>
    <w:qFormat/>
    <w:rsid w:val="00B91496"/>
    <w:rPr>
      <w:b w:val="0"/>
      <w:sz w:val="72"/>
      <w:szCs w:val="72"/>
      <w:lang w:val="en-NZ"/>
    </w:rPr>
  </w:style>
  <w:style w:type="character" w:customStyle="1" w:styleId="QuoteChar">
    <w:name w:val="Quote Char"/>
    <w:basedOn w:val="DefaultParagraphFont"/>
    <w:link w:val="Quote"/>
    <w:rsid w:val="00B914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1496"/>
    <w:pPr>
      <w:pageBreakBefore/>
    </w:pPr>
  </w:style>
  <w:style w:type="paragraph" w:customStyle="1" w:styleId="Border">
    <w:name w:val="Border"/>
    <w:basedOn w:val="Normal"/>
    <w:qFormat/>
    <w:rsid w:val="00B914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1496"/>
    <w:rPr>
      <w:b/>
      <w:bCs/>
      <w:i/>
      <w:iCs/>
      <w:color w:val="auto"/>
    </w:rPr>
  </w:style>
  <w:style w:type="paragraph" w:styleId="IntenseQuote">
    <w:name w:val="Intense Quote"/>
    <w:basedOn w:val="Normal"/>
    <w:next w:val="Normal"/>
    <w:link w:val="IntenseQuoteChar"/>
    <w:uiPriority w:val="30"/>
    <w:qFormat/>
    <w:rsid w:val="00B914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14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1496"/>
    <w:rPr>
      <w:smallCaps/>
      <w:color w:val="auto"/>
      <w:u w:val="single"/>
    </w:rPr>
  </w:style>
  <w:style w:type="character" w:styleId="IntenseReference">
    <w:name w:val="Intense Reference"/>
    <w:basedOn w:val="DefaultParagraphFont"/>
    <w:uiPriority w:val="32"/>
    <w:qFormat/>
    <w:rsid w:val="00B91496"/>
    <w:rPr>
      <w:b/>
      <w:bCs/>
      <w:smallCaps/>
      <w:color w:val="auto"/>
      <w:spacing w:val="5"/>
      <w:u w:val="single"/>
    </w:rPr>
  </w:style>
  <w:style w:type="paragraph" w:customStyle="1" w:styleId="2ColumnHeading">
    <w:name w:val="2Column Heading"/>
    <w:basedOn w:val="BodyText"/>
    <w:qFormat/>
    <w:rsid w:val="00B91496"/>
    <w:pPr>
      <w:spacing w:after="60"/>
      <w:ind w:left="-2268"/>
    </w:pPr>
    <w:rPr>
      <w:b/>
    </w:rPr>
  </w:style>
  <w:style w:type="paragraph" w:customStyle="1" w:styleId="Heading1TOC">
    <w:name w:val="Heading1 TOC"/>
    <w:basedOn w:val="Normal"/>
    <w:qFormat/>
    <w:rsid w:val="00B91496"/>
    <w:pPr>
      <w:spacing w:before="240" w:after="120"/>
    </w:pPr>
    <w:rPr>
      <w:rFonts w:ascii="Times New Roman" w:hAnsi="Times New Roman"/>
      <w:b/>
      <w:sz w:val="32"/>
    </w:rPr>
  </w:style>
  <w:style w:type="paragraph" w:customStyle="1" w:styleId="Heading2TOC">
    <w:name w:val="Heading2 TOC"/>
    <w:basedOn w:val="Normal"/>
    <w:qFormat/>
    <w:rsid w:val="00B91496"/>
    <w:pPr>
      <w:spacing w:before="240" w:after="60"/>
    </w:pPr>
    <w:rPr>
      <w:rFonts w:ascii="Times New Roman" w:hAnsi="Times New Roman"/>
      <w:b/>
      <w:sz w:val="28"/>
    </w:rPr>
  </w:style>
  <w:style w:type="character" w:customStyle="1" w:styleId="Underline">
    <w:name w:val="Underline"/>
    <w:basedOn w:val="DefaultParagraphFont"/>
    <w:qFormat/>
    <w:rsid w:val="00B91496"/>
    <w:rPr>
      <w:u w:val="single"/>
    </w:rPr>
  </w:style>
  <w:style w:type="character" w:customStyle="1" w:styleId="BoldandItalics">
    <w:name w:val="Bold and Italics"/>
    <w:qFormat/>
    <w:rsid w:val="00B91496"/>
    <w:rPr>
      <w:b/>
      <w:i/>
      <w:u w:val="none"/>
    </w:rPr>
  </w:style>
  <w:style w:type="paragraph" w:styleId="BalloonText">
    <w:name w:val="Balloon Text"/>
    <w:basedOn w:val="Normal"/>
    <w:link w:val="BalloonTextChar"/>
    <w:rsid w:val="00B91496"/>
    <w:rPr>
      <w:rFonts w:ascii="Tahoma" w:hAnsi="Tahoma" w:cs="Tahoma"/>
      <w:sz w:val="16"/>
      <w:szCs w:val="16"/>
    </w:rPr>
  </w:style>
  <w:style w:type="character" w:customStyle="1" w:styleId="BalloonTextChar">
    <w:name w:val="Balloon Text Char"/>
    <w:basedOn w:val="DefaultParagraphFont"/>
    <w:link w:val="BalloonText"/>
    <w:rsid w:val="00B914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14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14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1496"/>
    <w:rPr>
      <w:b/>
      <w:color w:val="660033"/>
      <w:spacing w:val="0"/>
    </w:rPr>
  </w:style>
  <w:style w:type="paragraph" w:customStyle="1" w:styleId="Nameditemlist">
    <w:name w:val="Named item list"/>
    <w:basedOn w:val="BodyText"/>
    <w:qFormat/>
    <w:rsid w:val="00B91496"/>
    <w:pPr>
      <w:tabs>
        <w:tab w:val="left" w:pos="2835"/>
      </w:tabs>
      <w:ind w:left="2835" w:hanging="2835"/>
    </w:pPr>
  </w:style>
  <w:style w:type="paragraph" w:customStyle="1" w:styleId="BodyTextnopadding">
    <w:name w:val="Body Text no padding"/>
    <w:basedOn w:val="BodyText"/>
    <w:qFormat/>
    <w:rsid w:val="00B91496"/>
    <w:pPr>
      <w:spacing w:before="0" w:after="0"/>
    </w:pPr>
  </w:style>
  <w:style w:type="paragraph" w:customStyle="1" w:styleId="BodyTextBold">
    <w:name w:val="Body Text Bold"/>
    <w:basedOn w:val="BodyText"/>
    <w:qFormat/>
    <w:rsid w:val="00B91496"/>
    <w:rPr>
      <w:b/>
    </w:rPr>
  </w:style>
  <w:style w:type="character" w:styleId="Hyperlink">
    <w:name w:val="Hyperlink"/>
    <w:basedOn w:val="DefaultParagraphFont"/>
    <w:uiPriority w:val="99"/>
    <w:unhideWhenUsed/>
    <w:rsid w:val="00A32E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1160</Words>
  <Characters>7382</Characters>
  <Application>Microsoft Office Word</Application>
  <DocSecurity>0</DocSecurity>
  <Lines>230</Lines>
  <Paragraphs>131</Paragraphs>
  <ScaleCrop>false</ScaleCrop>
  <Company>Author-it Software Corporation Ltd.</Company>
  <LinksUpToDate>false</LinksUpToDate>
  <CharactersWithSpaces>8411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MEA367 Repair/modify aircraft composite structure using cold bonding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2025-03-02T01:53:00Z</dcterms:created>
  <dcterms:modified xsi:type="dcterms:W3CDTF">2025-03-02T01:53:00Z</dcterms:modified>
</cp:coreProperties>
</file>