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2C1" w:rsidP="00E562C1">
      <w:pPr>
        <w:pStyle w:val="Title"/>
      </w:pPr>
      <w:r>
        <w:fldChar w:fldCharType="begin"/>
      </w:r>
      <w:r>
        <w:instrText xml:space="preserve"> TITLE   \* MERGEFORMAT </w:instrText>
      </w:r>
      <w:r>
        <w:fldChar w:fldCharType="separate"/>
      </w:r>
      <w:r>
        <w:t>MEA365 Assess structural repair/modification requirements and evaluate structural repairs and modifications</w:t>
      </w:r>
      <w:r>
        <w:fldChar w:fldCharType="end"/>
      </w:r>
    </w:p>
    <w:p w:rsidR="00E562C1" w:rsidP="00E562C1">
      <w:pPr>
        <w:pStyle w:val="Version"/>
        <w:sectPr w:rsidSect="00EB69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907" w:rsidP="00EB6907">
      <w:pPr>
        <w:pStyle w:val="SuperHeading"/>
      </w:pPr>
      <w:r w:rsidRPr="00EB6907">
        <w:t>MEA365 Assess structural repair/modification requirements and evaluate structural repairs and modifications</w:t>
      </w:r>
    </w:p>
    <w:p w:rsidR="00000000" w:rsidRPr="00EB6907" w:rsidP="00EB6907">
      <w:pPr>
        <w:pStyle w:val="Heading1"/>
      </w:pPr>
      <w:bookmarkStart w:id="1" w:name="O_722410"/>
      <w:bookmarkEnd w:id="1"/>
      <w:r w:rsidRPr="00EB6907">
        <w:t>Modification History</w:t>
      </w:r>
    </w:p>
    <w:p w:rsidR="00000000" w:rsidRPr="00EB6907" w:rsidP="00E562C1">
      <w:pPr>
        <w:pStyle w:val="BodyText"/>
      </w:pPr>
      <w:r w:rsidRPr="00EB6907">
        <w:t>Release 1 - New unit of competency</w:t>
      </w:r>
    </w:p>
    <w:p w:rsidR="00000000" w:rsidRPr="00EB6907" w:rsidP="00EB6907">
      <w:pPr>
        <w:pStyle w:val="Heading1"/>
      </w:pPr>
      <w:bookmarkStart w:id="2" w:name="O_722418"/>
      <w:bookmarkEnd w:id="2"/>
      <w:r w:rsidRPr="00EB6907">
        <w:t>Application</w:t>
      </w:r>
    </w:p>
    <w:p w:rsidR="00000000" w:rsidRPr="00EB6907" w:rsidP="00E562C1">
      <w:pPr>
        <w:pStyle w:val="BodyText"/>
      </w:pPr>
      <w:r w:rsidRPr="00EB6907">
        <w:t>This unit of competency requires interp</w:t>
      </w:r>
      <w:r w:rsidRPr="00EB6907">
        <w:t>retation of structural repair and modification data to determine required action and to determine the compliance with airworthiness requirements of completed structural repairs or modifications. In addition, the performance of colour contrast dye penetrant</w:t>
      </w:r>
      <w:r w:rsidRPr="00EB6907">
        <w:t xml:space="preserve"> non-destructive testing (NDT) on applicable components is included.</w:t>
      </w:r>
    </w:p>
    <w:p w:rsidR="00000000" w:rsidRPr="00EB6907" w:rsidP="00E562C1">
      <w:pPr>
        <w:pStyle w:val="BodyText"/>
      </w:pPr>
      <w:r w:rsidRPr="00EB6907">
        <w:t>Applications include both fixed and rotary wing aircraft.</w:t>
      </w:r>
    </w:p>
    <w:p w:rsidR="00000000" w:rsidRPr="00EB6907" w:rsidP="00E562C1">
      <w:pPr>
        <w:pStyle w:val="BodyText"/>
      </w:pPr>
      <w:r w:rsidRPr="00EB6907">
        <w:t xml:space="preserve">The unit covers some of the competencies required to progress from an Aircraft Maintenance Engineer (AME) at Certificate IV to </w:t>
      </w:r>
      <w:r w:rsidRPr="00EB6907">
        <w:t>the granting of a chosen maintenance certification licence under Civil Aviation Safety Regulation (CASR) Part 66, in accordance with the licensing provisions in the Companion Volume Implementation Guide.</w:t>
      </w:r>
    </w:p>
    <w:p w:rsidR="00000000" w:rsidRPr="00EB6907" w:rsidP="00E562C1">
      <w:pPr>
        <w:pStyle w:val="BodyText"/>
      </w:pPr>
      <w:r w:rsidRPr="00EB6907">
        <w:t>The skills and knowledge covered by the units of co</w:t>
      </w:r>
      <w:r w:rsidRPr="00EB6907">
        <w:t>mpetency listed in the MEA Aeroskills Training Package for Aircraft Maintenance Engineer at Certificate IV are prerequisite to the attainment of the elements of competency specified in this unit. This includes full coverage of the CASR Part 66 Syllabus sub</w:t>
      </w:r>
      <w:r w:rsidRPr="00EB6907">
        <w:t>jects/topics listed in the Companion Volume CASA Interface.</w:t>
      </w:r>
    </w:p>
    <w:p w:rsidR="00000000" w:rsidRPr="00EB6907" w:rsidP="00EB6907">
      <w:pPr>
        <w:pStyle w:val="Heading1"/>
      </w:pPr>
      <w:bookmarkStart w:id="3" w:name="O_722417"/>
      <w:bookmarkEnd w:id="3"/>
      <w:r w:rsidRPr="00EB6907">
        <w:t>Pre-requisite Unit</w:t>
      </w:r>
    </w:p>
    <w:p w:rsidR="00000000" w:rsidRPr="00EB6907" w:rsidP="00EB6907">
      <w:pPr>
        <w:pStyle w:val="Heading1"/>
      </w:pPr>
      <w:bookmarkStart w:id="4" w:name="O_722416"/>
      <w:bookmarkEnd w:id="4"/>
      <w:r w:rsidRPr="00EB6907">
        <w:t>Competency Field</w:t>
      </w:r>
    </w:p>
    <w:p w:rsidR="00000000" w:rsidRPr="00EB6907" w:rsidP="00E562C1">
      <w:pPr>
        <w:pStyle w:val="BodyText"/>
      </w:pPr>
      <w:r w:rsidRPr="00EB6907">
        <w:t>Aviation maintenance</w:t>
      </w:r>
    </w:p>
    <w:p w:rsidR="00000000" w:rsidRPr="00EB6907" w:rsidP="00EB6907">
      <w:pPr>
        <w:pStyle w:val="Heading1"/>
      </w:pPr>
      <w:bookmarkStart w:id="5" w:name="O_722415"/>
      <w:bookmarkEnd w:id="5"/>
      <w:r w:rsidRPr="00EB6907">
        <w:t>Unit Sector</w:t>
      </w:r>
    </w:p>
    <w:p w:rsidR="00000000" w:rsidRPr="00EB6907" w:rsidP="00EB6907">
      <w:pPr>
        <w:pStyle w:val="Heading1"/>
      </w:pPr>
      <w:bookmarkStart w:id="6" w:name="O_722414"/>
      <w:bookmarkEnd w:id="6"/>
      <w:r w:rsidRPr="00EB6907">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EB6907">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Elements describe the essen</w:t>
            </w:r>
            <w:r w:rsidRPr="00EB6907">
              <w:t>tial outcomes.</w:t>
            </w:r>
          </w:p>
        </w:tc>
        <w:tc>
          <w:tcPr>
            <w:tcW w:w="6311" w:type="dxa"/>
            <w:gridSpan w:val="2"/>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 xml:space="preserve">Performance criteria describe the performance needed to demonstrate achievement of the element. </w:t>
            </w:r>
          </w:p>
        </w:tc>
      </w:tr>
      <w:tr w:rsidTr="00EB690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1.</w:t>
            </w:r>
          </w:p>
        </w:tc>
        <w:tc>
          <w:tcPr>
            <w:tcW w:w="2295"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 xml:space="preserve">Assess structural repair or modification </w:t>
            </w:r>
            <w:r w:rsidRPr="00EB6907">
              <w:t>requirements</w:t>
            </w:r>
          </w:p>
        </w:tc>
        <w:tc>
          <w:tcPr>
            <w:tcW w:w="717"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1.1</w:t>
            </w:r>
          </w:p>
        </w:tc>
        <w:tc>
          <w:tcPr>
            <w:tcW w:w="5594"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 xml:space="preserve">Structural repair requirements are determined from </w:t>
            </w:r>
            <w:r w:rsidRPr="00EB6907">
              <w:t>maintenance manuals or approved repair schemes</w:t>
            </w:r>
          </w:p>
        </w:tc>
      </w:tr>
      <w:tr w:rsidTr="00EB690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1.2</w:t>
            </w:r>
          </w:p>
        </w:tc>
        <w:tc>
          <w:tcPr>
            <w:tcW w:w="5594"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Damage beyond repair scheme limits is referred to relevant personnel/authorities</w:t>
            </w:r>
          </w:p>
        </w:tc>
      </w:tr>
      <w:tr w:rsidTr="00EB690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1.3</w:t>
            </w:r>
          </w:p>
        </w:tc>
        <w:tc>
          <w:tcPr>
            <w:tcW w:w="5594"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Modification requirements are determined from approved drawings</w:t>
            </w:r>
            <w:r w:rsidRPr="00EB6907">
              <w:t xml:space="preserve"> and specifications/ instructions or requirements are referred to relevant personnel/authorities</w:t>
            </w:r>
          </w:p>
        </w:tc>
      </w:tr>
      <w:tr w:rsidTr="00EB690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1.4</w:t>
            </w:r>
          </w:p>
        </w:tc>
        <w:tc>
          <w:tcPr>
            <w:tcW w:w="5594"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Completed work is evaluated for compliance with airworthiness requirements</w:t>
            </w:r>
          </w:p>
        </w:tc>
      </w:tr>
      <w:tr w:rsidTr="00EB690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2.</w:t>
            </w:r>
          </w:p>
        </w:tc>
        <w:tc>
          <w:tcPr>
            <w:tcW w:w="2295"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Perform colour contrast dye penetrant NDT</w:t>
            </w:r>
          </w:p>
        </w:tc>
        <w:tc>
          <w:tcPr>
            <w:tcW w:w="717"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2.1</w:t>
            </w:r>
          </w:p>
        </w:tc>
        <w:tc>
          <w:tcPr>
            <w:tcW w:w="5594"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Inspection requirements are identified from relevant maintenance data or to confirm a visually identified defect</w:t>
            </w:r>
          </w:p>
        </w:tc>
      </w:tr>
      <w:tr w:rsidTr="00EB690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2.2</w:t>
            </w:r>
          </w:p>
        </w:tc>
        <w:tc>
          <w:tcPr>
            <w:tcW w:w="5594"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Surfaces to be inspected are prepared for the dye penetrant process</w:t>
            </w:r>
          </w:p>
        </w:tc>
      </w:tr>
      <w:tr w:rsidTr="00EB690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2.3</w:t>
            </w:r>
          </w:p>
        </w:tc>
        <w:tc>
          <w:tcPr>
            <w:tcW w:w="5594"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Dye penetrant materials are selected in accordance with stand</w:t>
            </w:r>
            <w:r w:rsidRPr="00EB6907">
              <w:t>ard operating procedures</w:t>
            </w:r>
          </w:p>
        </w:tc>
      </w:tr>
      <w:tr w:rsidTr="00EB690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2.4</w:t>
            </w:r>
          </w:p>
        </w:tc>
        <w:tc>
          <w:tcPr>
            <w:tcW w:w="5594"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Penetrant test is performed in accordance with standard operating procedures and while observing all relevant work health and safety (WHS) precautions</w:t>
            </w:r>
          </w:p>
        </w:tc>
      </w:tr>
      <w:tr w:rsidTr="00EB690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2.5</w:t>
            </w:r>
          </w:p>
        </w:tc>
        <w:tc>
          <w:tcPr>
            <w:tcW w:w="5594"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Defect indications are checked and identified in accordance with standard operating procedures</w:t>
            </w:r>
          </w:p>
        </w:tc>
      </w:tr>
      <w:tr w:rsidTr="00EB690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2.6</w:t>
            </w:r>
          </w:p>
        </w:tc>
        <w:tc>
          <w:tcPr>
            <w:tcW w:w="5594"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Penetrant testing equipment is correctly maintained and stored while observing all relevant WHS requirements, including the use of material safety data sh</w:t>
            </w:r>
            <w:r w:rsidRPr="00EB6907">
              <w:t>eets (MSDS) and items of personal protective equipment (PPE)</w:t>
            </w:r>
          </w:p>
        </w:tc>
      </w:tr>
      <w:tr w:rsidTr="00EB690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2.7</w:t>
            </w:r>
          </w:p>
        </w:tc>
        <w:tc>
          <w:tcPr>
            <w:tcW w:w="5594" w:type="dxa"/>
            <w:tcBorders>
              <w:top w:val="nil"/>
              <w:left w:val="nil"/>
              <w:bottom w:val="nil"/>
              <w:right w:val="nil"/>
            </w:tcBorders>
            <w:tcMar>
              <w:top w:w="0" w:type="dxa"/>
              <w:left w:w="62" w:type="dxa"/>
              <w:bottom w:w="0" w:type="dxa"/>
              <w:right w:w="62" w:type="dxa"/>
            </w:tcMar>
          </w:tcPr>
          <w:p w:rsidR="00000000" w:rsidRPr="00EB6907" w:rsidP="00EB6907">
            <w:pPr>
              <w:pStyle w:val="BodyText"/>
            </w:pPr>
            <w:r w:rsidRPr="00EB6907">
              <w:t>Results are recorded in accordance with standard enterprise and regulatory requirements</w:t>
            </w:r>
          </w:p>
        </w:tc>
      </w:tr>
    </w:tbl>
    <w:p w:rsidR="00000000" w:rsidRPr="00EB6907" w:rsidP="00EB6907">
      <w:pPr>
        <w:pStyle w:val="BodyText"/>
      </w:pPr>
    </w:p>
    <w:p w:rsidR="00000000" w:rsidRPr="00EB6907" w:rsidP="00EB6907">
      <w:pPr>
        <w:pStyle w:val="AllowPageBreak"/>
      </w:pPr>
    </w:p>
    <w:p w:rsidR="00000000" w:rsidRPr="00EB6907" w:rsidP="00EB6907">
      <w:pPr>
        <w:pStyle w:val="Heading1"/>
      </w:pPr>
      <w:bookmarkStart w:id="7" w:name="O_722413"/>
      <w:bookmarkEnd w:id="7"/>
      <w:r w:rsidRPr="00EB6907">
        <w:t>Foundation Skills</w:t>
      </w:r>
    </w:p>
    <w:p w:rsidR="00000000" w:rsidRPr="00EB6907" w:rsidP="00E562C1">
      <w:pPr>
        <w:pStyle w:val="BodyText"/>
      </w:pPr>
      <w:r w:rsidRPr="00EB6907">
        <w:t>Foundation skills essential to performance are explicit in the performance criteria of this unit of competency.</w:t>
      </w:r>
    </w:p>
    <w:p w:rsidR="00000000" w:rsidRPr="00EB6907" w:rsidP="00EB6907">
      <w:pPr>
        <w:pStyle w:val="Heading1"/>
      </w:pPr>
      <w:bookmarkStart w:id="8" w:name="O_722412"/>
      <w:bookmarkEnd w:id="8"/>
      <w:r w:rsidRPr="00EB6907">
        <w:t>Range of Conditions</w:t>
      </w:r>
    </w:p>
    <w:tbl>
      <w:tblPr>
        <w:tblW w:w="0" w:type="auto"/>
        <w:tblLayout w:type="fixed"/>
        <w:tblCellMar>
          <w:left w:w="62" w:type="dxa"/>
          <w:right w:w="62" w:type="dxa"/>
        </w:tblCellMar>
        <w:tblLook w:val="0000"/>
      </w:tblPr>
      <w:tblGrid>
        <w:gridCol w:w="3060"/>
        <w:gridCol w:w="6012"/>
      </w:tblGrid>
      <w:tr w:rsidTr="00EB69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t xml:space="preserve">This field allows for different work environments and conditions that may affect </w:t>
            </w:r>
            <w:r w:rsidRPr="00EB6907">
              <w:t>performance. Essential ope</w:t>
            </w:r>
            <w:r w:rsidRPr="00EB6907">
              <w:t>rating conditions that may be present (depending on the work situation, needs of the candidate, accessibility of the item, and local industry and regional contexts) are included.</w:t>
            </w:r>
          </w:p>
        </w:tc>
      </w:tr>
      <w:tr w:rsidTr="00EB690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rPr>
                <w:rStyle w:val="SpecialBold"/>
              </w:rPr>
              <w:t>Range of tasks and practices includes:</w:t>
            </w:r>
          </w:p>
        </w:tc>
        <w:tc>
          <w:tcPr>
            <w:tcW w:w="6012" w:type="dxa"/>
            <w:tcBorders>
              <w:top w:val="nil"/>
              <w:left w:val="nil"/>
              <w:bottom w:val="nil"/>
              <w:right w:val="nil"/>
            </w:tcBorders>
            <w:tcMar>
              <w:top w:w="0" w:type="dxa"/>
              <w:left w:w="62" w:type="dxa"/>
              <w:bottom w:w="0" w:type="dxa"/>
              <w:right w:w="62" w:type="dxa"/>
            </w:tcMar>
          </w:tcPr>
          <w:p w:rsidR="00000000" w:rsidRPr="00EB6907" w:rsidP="00EB6907">
            <w:pPr>
              <w:pStyle w:val="ListBullet"/>
            </w:pPr>
            <w:r w:rsidRPr="00EB6907">
              <w:t>Standard practices for structural r</w:t>
            </w:r>
            <w:r w:rsidRPr="00EB6907">
              <w:t>epair and modification, including damage measurement and assessment against approved repair schemes</w:t>
            </w:r>
          </w:p>
          <w:p w:rsidR="00000000" w:rsidRPr="00EB6907" w:rsidP="00EB6907">
            <w:pPr>
              <w:pStyle w:val="ListBullet"/>
            </w:pPr>
            <w:r w:rsidRPr="00EB6907">
              <w:t>The process for referral of damage details and modification requirements to relevant personnel/authorities</w:t>
            </w:r>
          </w:p>
          <w:p w:rsidR="00000000" w:rsidRPr="00EB6907" w:rsidP="00EB6907">
            <w:pPr>
              <w:pStyle w:val="ListBullet"/>
            </w:pPr>
            <w:r w:rsidRPr="00EB6907">
              <w:t>Supervision of repair scheme and modification inc</w:t>
            </w:r>
            <w:r w:rsidRPr="00EB6907">
              <w:t>orporation, including evaluation of work against drawings and specifications</w:t>
            </w:r>
          </w:p>
          <w:p w:rsidR="00000000" w:rsidRPr="00EB6907" w:rsidP="00EB6907">
            <w:pPr>
              <w:pStyle w:val="ListBullet"/>
            </w:pPr>
            <w:r w:rsidRPr="00EB6907">
              <w:t>Scheduled or unscheduled maintenance</w:t>
            </w:r>
          </w:p>
          <w:p w:rsidR="00000000" w:rsidRPr="00EB6907" w:rsidP="00EB6907">
            <w:pPr>
              <w:pStyle w:val="ListBullet"/>
            </w:pPr>
            <w:r w:rsidRPr="00EB6907">
              <w:t>Individual activities or supervision of other personnel performing maintenance tasks classified in CASR part 145 as specialist maintenance, in</w:t>
            </w:r>
            <w:r w:rsidRPr="00EB6907">
              <w:t xml:space="preserve">cluding: </w:t>
            </w:r>
          </w:p>
          <w:p w:rsidR="00000000" w:rsidRPr="00EB6907" w:rsidP="00EB6907">
            <w:pPr>
              <w:pStyle w:val="ListBullet2"/>
            </w:pPr>
            <w:r w:rsidRPr="00EB6907">
              <w:t>non-destructive inspection</w:t>
            </w:r>
          </w:p>
          <w:p w:rsidR="00000000" w:rsidRPr="00EB6907" w:rsidP="00EB6907">
            <w:pPr>
              <w:pStyle w:val="ListBullet2"/>
            </w:pPr>
            <w:r w:rsidRPr="00EB6907">
              <w:t>welding</w:t>
            </w:r>
          </w:p>
          <w:p w:rsidR="00000000" w:rsidRPr="00EB6907" w:rsidP="00EB6907">
            <w:pPr>
              <w:pStyle w:val="ListBullet2"/>
            </w:pPr>
            <w:r w:rsidRPr="00EB6907">
              <w:t>surface plating</w:t>
            </w:r>
          </w:p>
          <w:p w:rsidR="00000000" w:rsidRPr="00EB6907" w:rsidP="00EB6907">
            <w:pPr>
              <w:pStyle w:val="ListBullet2"/>
            </w:pPr>
            <w:r w:rsidRPr="00EB6907">
              <w:t>surface finishing</w:t>
            </w:r>
          </w:p>
          <w:p w:rsidR="00000000" w:rsidRPr="00EB6907" w:rsidP="00EB6907">
            <w:pPr>
              <w:pStyle w:val="ListBullet2"/>
            </w:pPr>
            <w:r w:rsidRPr="00EB6907">
              <w:t>preparing structural repair components</w:t>
            </w:r>
          </w:p>
          <w:p w:rsidR="00000000" w:rsidP="00EB6907">
            <w:pPr>
              <w:pStyle w:val="ListBullet2"/>
              <w:rPr>
                <w:lang w:val="en-NZ"/>
              </w:rPr>
            </w:pPr>
            <w:r w:rsidRPr="00EB6907">
              <w:t>machining</w:t>
            </w:r>
          </w:p>
        </w:tc>
      </w:tr>
      <w:tr w:rsidTr="00EB690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rPr>
                <w:rStyle w:val="SpecialBold"/>
              </w:rPr>
              <w:t>Surface preparation for dye penetrant NDT includes:</w:t>
            </w:r>
          </w:p>
        </w:tc>
        <w:tc>
          <w:tcPr>
            <w:tcW w:w="6012" w:type="dxa"/>
            <w:tcBorders>
              <w:top w:val="nil"/>
              <w:left w:val="nil"/>
              <w:bottom w:val="nil"/>
              <w:right w:val="nil"/>
            </w:tcBorders>
            <w:tcMar>
              <w:top w:w="0" w:type="dxa"/>
              <w:left w:w="62" w:type="dxa"/>
              <w:bottom w:w="0" w:type="dxa"/>
              <w:right w:w="62" w:type="dxa"/>
            </w:tcMar>
          </w:tcPr>
          <w:p w:rsidR="00000000" w:rsidRPr="00EB6907" w:rsidP="00EB6907">
            <w:pPr>
              <w:pStyle w:val="ListBullet"/>
            </w:pPr>
            <w:r w:rsidRPr="00EB6907">
              <w:t>Removal of surface finishes where applicable</w:t>
            </w:r>
          </w:p>
          <w:p w:rsidR="00000000" w:rsidRPr="00EB6907" w:rsidP="00EB6907">
            <w:pPr>
              <w:pStyle w:val="ListBullet"/>
            </w:pPr>
            <w:r w:rsidRPr="00EB6907">
              <w:t>Thorough cleaning of the surface</w:t>
            </w:r>
          </w:p>
          <w:p w:rsidR="00000000" w:rsidRPr="00EB6907" w:rsidP="00EB6907">
            <w:pPr>
              <w:pStyle w:val="ListBullet"/>
            </w:pPr>
            <w:r w:rsidRPr="00EB6907">
              <w:t>Drying of the surface</w:t>
            </w:r>
          </w:p>
          <w:p w:rsidR="00000000" w:rsidP="00EB6907">
            <w:pPr>
              <w:pStyle w:val="ListBullet"/>
              <w:rPr>
                <w:lang w:val="en-NZ"/>
              </w:rPr>
            </w:pPr>
            <w:r w:rsidRPr="00EB6907">
              <w:t>Processes included in standard procedures</w:t>
            </w:r>
          </w:p>
        </w:tc>
      </w:tr>
      <w:tr w:rsidTr="00EB690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rPr>
                <w:rStyle w:val="SpecialBold"/>
              </w:rPr>
              <w:t>Dye penetrant materials include:</w:t>
            </w:r>
          </w:p>
        </w:tc>
        <w:tc>
          <w:tcPr>
            <w:tcW w:w="6012" w:type="dxa"/>
            <w:tcBorders>
              <w:top w:val="nil"/>
              <w:left w:val="nil"/>
              <w:bottom w:val="nil"/>
              <w:right w:val="nil"/>
            </w:tcBorders>
            <w:tcMar>
              <w:top w:w="0" w:type="dxa"/>
              <w:left w:w="62" w:type="dxa"/>
              <w:bottom w:w="0" w:type="dxa"/>
              <w:right w:w="62" w:type="dxa"/>
            </w:tcMar>
          </w:tcPr>
          <w:p w:rsidR="00000000" w:rsidRPr="00EB6907" w:rsidP="00EB6907">
            <w:pPr>
              <w:pStyle w:val="ListBullet"/>
            </w:pPr>
            <w:r w:rsidRPr="00EB6907">
              <w:t>Appropriate surface cleaning materials</w:t>
            </w:r>
          </w:p>
          <w:p w:rsidR="00000000" w:rsidRPr="00EB6907" w:rsidP="00EB6907">
            <w:pPr>
              <w:pStyle w:val="ListBullet"/>
            </w:pPr>
            <w:r w:rsidRPr="00EB6907">
              <w:t>Emulsifiers</w:t>
            </w:r>
          </w:p>
          <w:p w:rsidR="00000000" w:rsidRPr="00EB6907" w:rsidP="00EB6907">
            <w:pPr>
              <w:pStyle w:val="ListBullet"/>
            </w:pPr>
            <w:r w:rsidRPr="00EB6907">
              <w:t>Developers</w:t>
            </w:r>
          </w:p>
          <w:p w:rsidR="00000000" w:rsidP="00EB6907">
            <w:pPr>
              <w:pStyle w:val="ListBullet"/>
              <w:rPr>
                <w:lang w:val="en-NZ"/>
              </w:rPr>
            </w:pPr>
            <w:r w:rsidRPr="00EB6907">
              <w:t>Materials for surface cleaning after testing</w:t>
            </w:r>
          </w:p>
        </w:tc>
      </w:tr>
      <w:tr w:rsidTr="00EB690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6907">
            <w:pPr>
              <w:pStyle w:val="BodyText"/>
              <w:rPr>
                <w:lang w:val="en-NZ"/>
              </w:rPr>
            </w:pPr>
            <w:r w:rsidRPr="00EB6907">
              <w:rPr>
                <w:rStyle w:val="SpecialBold"/>
              </w:rPr>
              <w:t>Procedures and r</w:t>
            </w:r>
            <w:r w:rsidRPr="00EB6907">
              <w:rPr>
                <w:rStyle w:val="SpecialBold"/>
              </w:rPr>
              <w:t>equirements include:</w:t>
            </w:r>
          </w:p>
        </w:tc>
        <w:tc>
          <w:tcPr>
            <w:tcW w:w="6012" w:type="dxa"/>
            <w:tcBorders>
              <w:top w:val="nil"/>
              <w:left w:val="nil"/>
              <w:bottom w:val="nil"/>
              <w:right w:val="nil"/>
            </w:tcBorders>
            <w:tcMar>
              <w:top w:w="0" w:type="dxa"/>
              <w:left w:w="62" w:type="dxa"/>
              <w:bottom w:w="0" w:type="dxa"/>
              <w:right w:w="62" w:type="dxa"/>
            </w:tcMar>
          </w:tcPr>
          <w:p w:rsidR="00000000" w:rsidRPr="00EB6907" w:rsidP="00EB6907">
            <w:pPr>
              <w:pStyle w:val="ListBullet"/>
            </w:pPr>
            <w:r w:rsidRPr="00EB6907">
              <w:t>Industry standard procedures specified by manufacturers, regulatory authorities or the enterprise</w:t>
            </w:r>
          </w:p>
        </w:tc>
      </w:tr>
    </w:tbl>
    <w:p w:rsidR="00000000" w:rsidRPr="00EB6907" w:rsidP="00EB6907">
      <w:pPr>
        <w:pStyle w:val="BodyText"/>
      </w:pPr>
    </w:p>
    <w:p w:rsidR="00000000" w:rsidRPr="00EB6907" w:rsidP="00EB6907">
      <w:pPr>
        <w:pStyle w:val="AllowPageBreak"/>
      </w:pPr>
    </w:p>
    <w:p w:rsidR="00000000" w:rsidRPr="00EB6907" w:rsidP="00EB6907">
      <w:pPr>
        <w:pStyle w:val="Heading1"/>
      </w:pPr>
      <w:bookmarkStart w:id="9" w:name="O_722411"/>
      <w:bookmarkEnd w:id="9"/>
      <w:r w:rsidRPr="00EB6907">
        <w:t>Unit Mapping Information</w:t>
      </w:r>
    </w:p>
    <w:p w:rsidR="00000000" w:rsidRPr="00EB6907" w:rsidP="00E562C1">
      <w:pPr>
        <w:pStyle w:val="BodyText"/>
      </w:pPr>
      <w:r w:rsidRPr="00EB6907">
        <w:t>Release 1 –</w:t>
      </w:r>
      <w:r w:rsidRPr="00EB6907">
        <w:t xml:space="preserve"> equivalent to MEA365A Assess structural repair/modification requirements and evaluate structural repairs and modifications</w:t>
      </w:r>
    </w:p>
    <w:p w:rsidR="00000000" w:rsidRPr="00EB6907" w:rsidP="00EB6907">
      <w:pPr>
        <w:pStyle w:val="Heading1"/>
      </w:pPr>
      <w:bookmarkStart w:id="10" w:name="O_722404"/>
      <w:bookmarkEnd w:id="10"/>
      <w:r w:rsidRPr="00EB6907">
        <w:t>Links</w:t>
      </w:r>
    </w:p>
    <w:p w:rsidR="00000000" w:rsidRPr="00EB6907" w:rsidP="00E562C1">
      <w:pPr>
        <w:pStyle w:val="BodyText"/>
      </w:pPr>
      <w:r w:rsidRPr="00EB690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D6904">
        <w:rPr>
          <w:rStyle w:val="Hyperlink"/>
        </w:rPr>
        <w:t>https://vetnet.gov.au/Pages/TrainingDocs.aspx?q=ce216c9c-04d5-4b3b-9bcf-4e81d0950371</w:t>
      </w:r>
      <w:r>
        <w:fldChar w:fldCharType="end"/>
      </w:r>
    </w:p>
    <w:p w:rsidR="00000000" w:rsidRPr="00EB6907" w:rsidP="00EB6907"/>
    <w:sectPr w:rsidSect="00EB69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07" w:rsidRPr="00E562C1" w:rsidP="00E562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C1" w:rsidP="00EB69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62C1" w:rsidP="00EB69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62C1" w:rsidP="00EB69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6907" w:rsidRPr="00E562C1" w:rsidP="00E562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C1" w:rsidRPr="002D2AF8" w:rsidP="00EB6907">
    <w:pPr>
      <w:pStyle w:val="Header"/>
      <w:framePr w:wrap="around"/>
    </w:pPr>
    <w:r>
      <w:fldChar w:fldCharType="begin"/>
    </w:r>
    <w:r>
      <w:instrText xml:space="preserve"> TITLE   \* MERGEFORMAT </w:instrText>
    </w:r>
    <w:r>
      <w:fldChar w:fldCharType="separate"/>
    </w:r>
    <w:r>
      <w:t>MEA365 Assess structural repair/modification requirements and evaluate structural repairs and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562C1" w:rsidP="00EB69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BAA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2A10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C25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9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907"/>
    <w:pPr>
      <w:spacing w:before="360" w:after="60"/>
      <w:outlineLvl w:val="0"/>
    </w:pPr>
    <w:rPr>
      <w:sz w:val="32"/>
    </w:rPr>
  </w:style>
  <w:style w:type="paragraph" w:styleId="Heading2">
    <w:name w:val="heading 2"/>
    <w:basedOn w:val="HeadingBase"/>
    <w:next w:val="BodyText"/>
    <w:link w:val="Heading2Char"/>
    <w:qFormat/>
    <w:rsid w:val="00EB6907"/>
    <w:pPr>
      <w:keepLines/>
      <w:spacing w:before="240" w:after="120"/>
      <w:outlineLvl w:val="1"/>
    </w:pPr>
    <w:rPr>
      <w:sz w:val="28"/>
      <w:szCs w:val="40"/>
    </w:rPr>
  </w:style>
  <w:style w:type="paragraph" w:styleId="Heading3">
    <w:name w:val="heading 3"/>
    <w:basedOn w:val="HeadingBase"/>
    <w:next w:val="BodyText"/>
    <w:link w:val="Heading3Char"/>
    <w:qFormat/>
    <w:rsid w:val="00EB6907"/>
    <w:pPr>
      <w:spacing w:before="180" w:after="120"/>
      <w:outlineLvl w:val="2"/>
    </w:pPr>
    <w:rPr>
      <w:spacing w:val="-10"/>
      <w:kern w:val="32"/>
    </w:rPr>
  </w:style>
  <w:style w:type="paragraph" w:styleId="Heading4">
    <w:name w:val="heading 4"/>
    <w:basedOn w:val="HeadingBase"/>
    <w:next w:val="BodyText"/>
    <w:link w:val="Heading4Char"/>
    <w:qFormat/>
    <w:rsid w:val="00EB6907"/>
    <w:pPr>
      <w:spacing w:before="160" w:after="120"/>
      <w:outlineLvl w:val="3"/>
    </w:pPr>
    <w:rPr>
      <w:sz w:val="22"/>
    </w:rPr>
  </w:style>
  <w:style w:type="paragraph" w:styleId="Heading5">
    <w:name w:val="heading 5"/>
    <w:basedOn w:val="HeadingBase"/>
    <w:next w:val="Normal"/>
    <w:link w:val="Heading5Char"/>
    <w:qFormat/>
    <w:rsid w:val="00EB6907"/>
    <w:pPr>
      <w:spacing w:before="80"/>
      <w:outlineLvl w:val="4"/>
    </w:pPr>
    <w:rPr>
      <w:color w:val="918585"/>
      <w:sz w:val="20"/>
    </w:rPr>
  </w:style>
  <w:style w:type="paragraph" w:styleId="Heading6">
    <w:name w:val="heading 6"/>
    <w:basedOn w:val="HeadingBase"/>
    <w:next w:val="Normal"/>
    <w:link w:val="Heading6Char"/>
    <w:qFormat/>
    <w:rsid w:val="00EB6907"/>
    <w:pPr>
      <w:spacing w:before="60"/>
      <w:outlineLvl w:val="5"/>
    </w:pPr>
    <w:rPr>
      <w:color w:val="918585"/>
      <w:sz w:val="20"/>
    </w:rPr>
  </w:style>
  <w:style w:type="paragraph" w:styleId="Heading7">
    <w:name w:val="heading 7"/>
    <w:basedOn w:val="Normal"/>
    <w:next w:val="Normal"/>
    <w:link w:val="Heading7Char"/>
    <w:qFormat/>
    <w:rsid w:val="00EB6907"/>
    <w:pPr>
      <w:ind w:left="720"/>
      <w:outlineLvl w:val="6"/>
    </w:pPr>
    <w:rPr>
      <w:i/>
    </w:rPr>
  </w:style>
  <w:style w:type="paragraph" w:styleId="Heading8">
    <w:name w:val="heading 8"/>
    <w:basedOn w:val="Normal"/>
    <w:next w:val="Normal"/>
    <w:link w:val="Heading8Char"/>
    <w:qFormat/>
    <w:rsid w:val="00EB6907"/>
    <w:pPr>
      <w:ind w:left="720"/>
      <w:outlineLvl w:val="7"/>
    </w:pPr>
    <w:rPr>
      <w:i/>
    </w:rPr>
  </w:style>
  <w:style w:type="paragraph" w:styleId="Heading9">
    <w:name w:val="heading 9"/>
    <w:basedOn w:val="Normal"/>
    <w:next w:val="Normal"/>
    <w:link w:val="Heading9Char"/>
    <w:qFormat/>
    <w:rsid w:val="00EB6907"/>
    <w:pPr>
      <w:ind w:left="720"/>
      <w:outlineLvl w:val="8"/>
    </w:pPr>
    <w:rPr>
      <w:i/>
    </w:rPr>
  </w:style>
  <w:style w:type="character" w:default="1" w:styleId="DefaultParagraphFont">
    <w:name w:val="Default Paragraph Font"/>
    <w:uiPriority w:val="1"/>
    <w:unhideWhenUsed/>
    <w:rsid w:val="00EB69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907"/>
  </w:style>
  <w:style w:type="character" w:customStyle="1" w:styleId="Heading1Char">
    <w:name w:val="Heading 1 Char"/>
    <w:basedOn w:val="DefaultParagraphFont"/>
    <w:link w:val="Heading1"/>
    <w:rsid w:val="00EB6907"/>
    <w:rPr>
      <w:rFonts w:ascii="Times New Roman" w:eastAsia="Times New Roman" w:hAnsi="Times New Roman" w:cs="Times New Roman"/>
      <w:b/>
      <w:sz w:val="32"/>
      <w:szCs w:val="20"/>
      <w:lang w:eastAsia="en-US"/>
    </w:rPr>
  </w:style>
  <w:style w:type="paragraph" w:styleId="BodyText">
    <w:name w:val="Body Text"/>
    <w:basedOn w:val="Normal"/>
    <w:link w:val="BodyTextChar"/>
    <w:rsid w:val="00EB69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6907"/>
    <w:rPr>
      <w:rFonts w:ascii="Times New Roman" w:eastAsia="Times New Roman" w:hAnsi="Times New Roman" w:cs="Times New Roman"/>
      <w:sz w:val="24"/>
      <w:lang w:eastAsia="en-US"/>
    </w:rPr>
  </w:style>
  <w:style w:type="paragraph" w:styleId="ListBullet">
    <w:name w:val="List Bullet"/>
    <w:basedOn w:val="List"/>
    <w:rsid w:val="00EB6907"/>
    <w:pPr>
      <w:numPr>
        <w:numId w:val="12"/>
      </w:numPr>
      <w:tabs>
        <w:tab w:val="clear" w:pos="340"/>
      </w:tabs>
      <w:spacing w:before="40" w:after="40"/>
    </w:pPr>
  </w:style>
  <w:style w:type="character" w:customStyle="1" w:styleId="SpecialBold">
    <w:name w:val="Special Bold"/>
    <w:basedOn w:val="DefaultParagraphFont"/>
    <w:rsid w:val="00EB6907"/>
    <w:rPr>
      <w:b/>
      <w:spacing w:val="0"/>
    </w:rPr>
  </w:style>
  <w:style w:type="paragraph" w:styleId="ListBullet2">
    <w:name w:val="List Bullet 2"/>
    <w:basedOn w:val="List2"/>
    <w:rsid w:val="00EB6907"/>
    <w:pPr>
      <w:numPr>
        <w:numId w:val="13"/>
      </w:numPr>
      <w:tabs>
        <w:tab w:val="clear" w:pos="680"/>
      </w:tabs>
    </w:pPr>
  </w:style>
  <w:style w:type="paragraph" w:customStyle="1" w:styleId="SuperHeading">
    <w:name w:val="SuperHeading"/>
    <w:basedOn w:val="Normal"/>
    <w:rsid w:val="00EB6907"/>
    <w:pPr>
      <w:spacing w:before="240" w:after="120"/>
      <w:outlineLvl w:val="0"/>
    </w:pPr>
    <w:rPr>
      <w:rFonts w:ascii="Times New Roman" w:hAnsi="Times New Roman"/>
      <w:b/>
      <w:sz w:val="32"/>
    </w:rPr>
  </w:style>
  <w:style w:type="paragraph" w:customStyle="1" w:styleId="AllowPageBreak">
    <w:name w:val="AllowPageBreak"/>
    <w:rsid w:val="00EB69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69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9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9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9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9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9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9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907"/>
    <w:rPr>
      <w:rFonts w:ascii="Courier New" w:eastAsia="Times New Roman" w:hAnsi="Courier New" w:cs="Times New Roman"/>
      <w:i/>
      <w:szCs w:val="20"/>
      <w:lang w:eastAsia="en-US"/>
    </w:rPr>
  </w:style>
  <w:style w:type="paragraph" w:customStyle="1" w:styleId="HeadingBase">
    <w:name w:val="Heading Base"/>
    <w:rsid w:val="00EB69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907"/>
    <w:pPr>
      <w:tabs>
        <w:tab w:val="right" w:leader="dot" w:pos="9072"/>
      </w:tabs>
      <w:ind w:left="567"/>
    </w:pPr>
    <w:rPr>
      <w:szCs w:val="22"/>
    </w:rPr>
  </w:style>
  <w:style w:type="paragraph" w:customStyle="1" w:styleId="TOCBase">
    <w:name w:val="TOC Base"/>
    <w:rsid w:val="00EB69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907"/>
    <w:pPr>
      <w:tabs>
        <w:tab w:val="right" w:leader="dot" w:pos="9072"/>
      </w:tabs>
      <w:spacing w:before="40" w:after="40"/>
      <w:ind w:left="284"/>
    </w:pPr>
    <w:rPr>
      <w:rFonts w:ascii="Times New Roman" w:hAnsi="Times New Roman"/>
    </w:rPr>
  </w:style>
  <w:style w:type="paragraph" w:styleId="TOC1">
    <w:name w:val="toc 1"/>
    <w:basedOn w:val="TOCBase"/>
    <w:next w:val="Normal"/>
    <w:rsid w:val="00EB69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69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907"/>
    <w:rPr>
      <w:rFonts w:ascii="Times New Roman" w:eastAsia="Times New Roman" w:hAnsi="Times New Roman" w:cs="Times New Roman"/>
      <w:sz w:val="16"/>
      <w:lang w:eastAsia="en-US"/>
    </w:rPr>
  </w:style>
  <w:style w:type="paragraph" w:styleId="Title">
    <w:name w:val="Title"/>
    <w:basedOn w:val="HeadingBase"/>
    <w:link w:val="TitleChar"/>
    <w:qFormat/>
    <w:rsid w:val="00EB6907"/>
    <w:pPr>
      <w:spacing w:before="5040"/>
      <w:jc w:val="center"/>
    </w:pPr>
    <w:rPr>
      <w:sz w:val="48"/>
      <w:szCs w:val="72"/>
      <w:lang w:val="en-US"/>
    </w:rPr>
  </w:style>
  <w:style w:type="character" w:customStyle="1" w:styleId="TitleChar">
    <w:name w:val="Title Char"/>
    <w:basedOn w:val="DefaultParagraphFont"/>
    <w:link w:val="Title"/>
    <w:rsid w:val="00EB69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907"/>
    <w:pPr>
      <w:tabs>
        <w:tab w:val="left" w:pos="3600"/>
        <w:tab w:val="left" w:pos="3958"/>
      </w:tabs>
    </w:pPr>
  </w:style>
  <w:style w:type="paragraph" w:styleId="List">
    <w:name w:val="List"/>
    <w:basedOn w:val="BodyText"/>
    <w:next w:val="BodyText"/>
    <w:rsid w:val="00EB6907"/>
    <w:pPr>
      <w:tabs>
        <w:tab w:val="left" w:pos="340"/>
      </w:tabs>
      <w:spacing w:before="60" w:after="60"/>
      <w:ind w:left="340" w:hanging="340"/>
    </w:pPr>
  </w:style>
  <w:style w:type="paragraph" w:customStyle="1" w:styleId="Note">
    <w:name w:val="Note"/>
    <w:basedOn w:val="BodyText"/>
    <w:rsid w:val="00EB69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907"/>
    <w:pPr>
      <w:framePr w:wrap="auto" w:hAnchor="text" w:y="6049"/>
    </w:pPr>
    <w:rPr>
      <w:color w:val="000000"/>
      <w:sz w:val="40"/>
    </w:rPr>
  </w:style>
  <w:style w:type="paragraph" w:customStyle="1" w:styleId="TOCTitle">
    <w:name w:val="TOCTitle"/>
    <w:basedOn w:val="Heading1"/>
    <w:rsid w:val="00EB6907"/>
    <w:pPr>
      <w:spacing w:after="240"/>
      <w:jc w:val="center"/>
      <w:outlineLvl w:val="9"/>
    </w:pPr>
    <w:rPr>
      <w:caps/>
    </w:rPr>
  </w:style>
  <w:style w:type="paragraph" w:customStyle="1" w:styleId="Version">
    <w:name w:val="Version"/>
    <w:rsid w:val="00EB69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6907"/>
    <w:pPr>
      <w:keepNext w:val="0"/>
      <w:tabs>
        <w:tab w:val="right" w:pos="4176"/>
      </w:tabs>
      <w:ind w:left="198" w:hanging="198"/>
    </w:pPr>
    <w:rPr>
      <w:rFonts w:ascii="Garamond" w:hAnsi="Garamond"/>
    </w:rPr>
  </w:style>
  <w:style w:type="paragraph" w:styleId="IndexHeading">
    <w:name w:val="index heading"/>
    <w:basedOn w:val="Normal"/>
    <w:next w:val="Index1"/>
    <w:semiHidden/>
    <w:rsid w:val="00EB6907"/>
    <w:pPr>
      <w:spacing w:before="120" w:after="120"/>
    </w:pPr>
    <w:rPr>
      <w:rFonts w:ascii="Arial" w:hAnsi="Arial"/>
      <w:b/>
      <w:color w:val="918585"/>
      <w:sz w:val="24"/>
    </w:rPr>
  </w:style>
  <w:style w:type="paragraph" w:styleId="Header">
    <w:name w:val="header"/>
    <w:basedOn w:val="Normal"/>
    <w:link w:val="HeaderChar"/>
    <w:rsid w:val="00EB69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907"/>
    <w:rPr>
      <w:rFonts w:ascii="Times New Roman" w:eastAsia="Times New Roman" w:hAnsi="Times New Roman" w:cs="Times New Roman"/>
      <w:sz w:val="16"/>
      <w:szCs w:val="20"/>
      <w:lang w:val="en-GB" w:eastAsia="en-US"/>
    </w:rPr>
  </w:style>
  <w:style w:type="paragraph" w:customStyle="1" w:styleId="Chapter">
    <w:name w:val="Chapter"/>
    <w:basedOn w:val="Normal"/>
    <w:rsid w:val="00EB6907"/>
    <w:pPr>
      <w:spacing w:before="240"/>
    </w:pPr>
    <w:rPr>
      <w:rFonts w:ascii="Times New Roman" w:hAnsi="Times New Roman"/>
      <w:smallCaps/>
      <w:spacing w:val="80"/>
      <w:sz w:val="28"/>
    </w:rPr>
  </w:style>
  <w:style w:type="paragraph" w:customStyle="1" w:styleId="InChapter">
    <w:name w:val="InChapter"/>
    <w:basedOn w:val="Heading3"/>
    <w:rsid w:val="00EB6907"/>
    <w:pPr>
      <w:spacing w:after="240"/>
      <w:outlineLvl w:val="9"/>
    </w:pPr>
    <w:rPr>
      <w:noProof/>
    </w:rPr>
  </w:style>
  <w:style w:type="paragraph" w:styleId="Index2">
    <w:name w:val="index 2"/>
    <w:basedOn w:val="Normal"/>
    <w:next w:val="Normal"/>
    <w:semiHidden/>
    <w:rsid w:val="00EB6907"/>
    <w:pPr>
      <w:tabs>
        <w:tab w:val="right" w:pos="4176"/>
      </w:tabs>
      <w:ind w:left="568" w:hanging="284"/>
    </w:pPr>
    <w:rPr>
      <w:rFonts w:ascii="Garamond" w:hAnsi="Garamond"/>
    </w:rPr>
  </w:style>
  <w:style w:type="paragraph" w:customStyle="1" w:styleId="Byline">
    <w:name w:val="Byline"/>
    <w:rsid w:val="00EB69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907"/>
    <w:pPr>
      <w:tabs>
        <w:tab w:val="clear" w:pos="3600"/>
        <w:tab w:val="clear" w:pos="3958"/>
      </w:tabs>
      <w:jc w:val="right"/>
    </w:pPr>
  </w:style>
  <w:style w:type="character" w:styleId="Emphasis">
    <w:name w:val="Emphasis"/>
    <w:basedOn w:val="DefaultParagraphFont"/>
    <w:qFormat/>
    <w:rsid w:val="00EB6907"/>
    <w:rPr>
      <w:i/>
    </w:rPr>
  </w:style>
  <w:style w:type="paragraph" w:styleId="Caption">
    <w:name w:val="caption"/>
    <w:basedOn w:val="BodyText"/>
    <w:next w:val="Normal"/>
    <w:qFormat/>
    <w:rsid w:val="00EB6907"/>
    <w:pPr>
      <w:framePr w:w="2268" w:hSpace="181" w:vSpace="181" w:wrap="around" w:vAnchor="text" w:hAnchor="page" w:x="1135" w:y="285" w:anchorLock="1"/>
    </w:pPr>
    <w:rPr>
      <w:i/>
    </w:rPr>
  </w:style>
  <w:style w:type="paragraph" w:customStyle="1" w:styleId="MiniTOCTitle">
    <w:name w:val="MiniTOCTitle"/>
    <w:basedOn w:val="Heading4"/>
    <w:rsid w:val="00EB6907"/>
    <w:pPr>
      <w:spacing w:before="240"/>
      <w:outlineLvl w:val="9"/>
    </w:pPr>
    <w:rPr>
      <w:noProof/>
      <w:sz w:val="24"/>
    </w:rPr>
  </w:style>
  <w:style w:type="paragraph" w:customStyle="1" w:styleId="MiniTOCItem">
    <w:name w:val="MiniTOCItem"/>
    <w:basedOn w:val="ListBullet"/>
    <w:rsid w:val="00EB6907"/>
    <w:pPr>
      <w:numPr>
        <w:numId w:val="0"/>
      </w:numPr>
      <w:tabs>
        <w:tab w:val="right" w:leader="dot" w:pos="6521"/>
      </w:tabs>
      <w:spacing w:before="0" w:after="0"/>
    </w:pPr>
  </w:style>
  <w:style w:type="paragraph" w:customStyle="1" w:styleId="TOFTitle">
    <w:name w:val="TOFTitle"/>
    <w:basedOn w:val="TOCTitle"/>
    <w:rsid w:val="00EB6907"/>
  </w:style>
  <w:style w:type="paragraph" w:styleId="TableofFigures">
    <w:name w:val="table of figures"/>
    <w:basedOn w:val="Normal"/>
    <w:next w:val="Normal"/>
    <w:semiHidden/>
    <w:rsid w:val="00EB6907"/>
    <w:pPr>
      <w:tabs>
        <w:tab w:val="right" w:leader="dot" w:pos="9072"/>
      </w:tabs>
      <w:ind w:left="970" w:hanging="403"/>
    </w:pPr>
    <w:rPr>
      <w:rFonts w:ascii="Times New Roman" w:hAnsi="Times New Roman"/>
      <w:b/>
    </w:rPr>
  </w:style>
  <w:style w:type="paragraph" w:styleId="ListNumber">
    <w:name w:val="List Number"/>
    <w:basedOn w:val="List"/>
    <w:rsid w:val="00EB6907"/>
    <w:pPr>
      <w:numPr>
        <w:numId w:val="15"/>
      </w:numPr>
      <w:tabs>
        <w:tab w:val="clear" w:pos="340"/>
      </w:tabs>
    </w:pPr>
  </w:style>
  <w:style w:type="character" w:customStyle="1" w:styleId="WingdingSymbols">
    <w:name w:val="Wingding Symbols"/>
    <w:rsid w:val="00EB6907"/>
    <w:rPr>
      <w:rFonts w:ascii="Wingdings" w:hAnsi="Wingdings"/>
    </w:rPr>
  </w:style>
  <w:style w:type="paragraph" w:customStyle="1" w:styleId="TableHeading">
    <w:name w:val="Table Heading"/>
    <w:basedOn w:val="HeadingBase"/>
    <w:rsid w:val="00EB6907"/>
    <w:pPr>
      <w:keepLines/>
      <w:pBdr>
        <w:bottom w:val="single" w:sz="6" w:space="1" w:color="918585"/>
      </w:pBdr>
      <w:spacing w:before="240"/>
    </w:pPr>
  </w:style>
  <w:style w:type="character" w:customStyle="1" w:styleId="HotSpot">
    <w:name w:val="HotSpot"/>
    <w:rsid w:val="00EB6907"/>
    <w:rPr>
      <w:color w:val="0033CC"/>
      <w:u w:val="none"/>
    </w:rPr>
  </w:style>
  <w:style w:type="paragraph" w:customStyle="1" w:styleId="BodyTextRight">
    <w:name w:val="Body Text Right"/>
    <w:basedOn w:val="BodyText"/>
    <w:rsid w:val="00EB6907"/>
    <w:pPr>
      <w:spacing w:before="0" w:after="0"/>
      <w:jc w:val="right"/>
    </w:pPr>
  </w:style>
  <w:style w:type="paragraph" w:styleId="Index3">
    <w:name w:val="index 3"/>
    <w:basedOn w:val="ListNumber2"/>
    <w:next w:val="Normal"/>
    <w:semiHidden/>
    <w:rsid w:val="00EB6907"/>
    <w:pPr>
      <w:numPr>
        <w:numId w:val="0"/>
      </w:numPr>
      <w:tabs>
        <w:tab w:val="right" w:leader="dot" w:pos="4176"/>
      </w:tabs>
    </w:pPr>
  </w:style>
  <w:style w:type="paragraph" w:styleId="ListNumber2">
    <w:name w:val="List Number 2"/>
    <w:basedOn w:val="List2"/>
    <w:rsid w:val="00EB6907"/>
    <w:pPr>
      <w:numPr>
        <w:numId w:val="10"/>
      </w:numPr>
      <w:tabs>
        <w:tab w:val="clear" w:pos="1060"/>
      </w:tabs>
    </w:pPr>
  </w:style>
  <w:style w:type="paragraph" w:customStyle="1" w:styleId="MarginNote">
    <w:name w:val="Margin Note"/>
    <w:basedOn w:val="BodyText"/>
    <w:rsid w:val="00EB69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9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9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907"/>
    <w:rPr>
      <w:sz w:val="32"/>
    </w:rPr>
  </w:style>
  <w:style w:type="paragraph" w:customStyle="1" w:styleId="HeadingProcedure">
    <w:name w:val="Heading Procedure"/>
    <w:basedOn w:val="HeadingBase"/>
    <w:next w:val="Normal"/>
    <w:rsid w:val="00EB6907"/>
    <w:pPr>
      <w:tabs>
        <w:tab w:val="left" w:pos="0"/>
      </w:tabs>
      <w:spacing w:before="120" w:after="60"/>
    </w:pPr>
    <w:rPr>
      <w:i/>
      <w:color w:val="918585"/>
      <w:sz w:val="22"/>
    </w:rPr>
  </w:style>
  <w:style w:type="paragraph" w:customStyle="1" w:styleId="TableBodyText">
    <w:name w:val="Table Body Text"/>
    <w:basedOn w:val="BodyText"/>
    <w:rsid w:val="00EB6907"/>
    <w:pPr>
      <w:spacing w:before="60" w:after="60"/>
    </w:pPr>
  </w:style>
  <w:style w:type="paragraph" w:styleId="ListContinue">
    <w:name w:val="List Continue"/>
    <w:basedOn w:val="List"/>
    <w:rsid w:val="00EB6907"/>
    <w:pPr>
      <w:ind w:firstLine="0"/>
    </w:pPr>
  </w:style>
  <w:style w:type="paragraph" w:customStyle="1" w:styleId="ListNote">
    <w:name w:val="List Note"/>
    <w:basedOn w:val="List"/>
    <w:rsid w:val="00EB6907"/>
    <w:pPr>
      <w:pBdr>
        <w:top w:val="single" w:sz="6" w:space="2" w:color="918585"/>
        <w:bottom w:val="single" w:sz="6" w:space="2" w:color="918585"/>
      </w:pBdr>
      <w:tabs>
        <w:tab w:val="left" w:pos="1021"/>
      </w:tabs>
      <w:ind w:firstLine="0"/>
    </w:pPr>
  </w:style>
  <w:style w:type="paragraph" w:customStyle="1" w:styleId="Warning">
    <w:name w:val="Warning"/>
    <w:basedOn w:val="BodyText"/>
    <w:rsid w:val="00EB6907"/>
    <w:pPr>
      <w:shd w:val="clear" w:color="auto" w:fill="D9D9D9"/>
      <w:tabs>
        <w:tab w:val="left" w:pos="992"/>
      </w:tabs>
      <w:ind w:left="119" w:right="119"/>
    </w:pPr>
    <w:rPr>
      <w:sz w:val="20"/>
    </w:rPr>
  </w:style>
  <w:style w:type="paragraph" w:customStyle="1" w:styleId="MarginIcons">
    <w:name w:val="Margin Icons"/>
    <w:basedOn w:val="BodyText"/>
    <w:rsid w:val="00EB69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907"/>
    <w:rPr>
      <w:rFonts w:ascii="Courier New" w:hAnsi="Courier New"/>
    </w:rPr>
  </w:style>
  <w:style w:type="paragraph" w:customStyle="1" w:styleId="NoteBullet">
    <w:name w:val="Note Bullet"/>
    <w:basedOn w:val="Note"/>
    <w:rsid w:val="00EB6907"/>
    <w:pPr>
      <w:tabs>
        <w:tab w:val="clear" w:pos="680"/>
      </w:tabs>
      <w:spacing w:before="60" w:after="60"/>
    </w:pPr>
  </w:style>
  <w:style w:type="paragraph" w:customStyle="1" w:styleId="SubHeading2">
    <w:name w:val="SubHeading2"/>
    <w:basedOn w:val="HeadingBase"/>
    <w:rsid w:val="00EB6907"/>
    <w:pPr>
      <w:spacing w:before="240" w:after="60"/>
    </w:pPr>
    <w:rPr>
      <w:sz w:val="20"/>
    </w:rPr>
  </w:style>
  <w:style w:type="paragraph" w:customStyle="1" w:styleId="SubHeading1">
    <w:name w:val="SubHeading1"/>
    <w:basedOn w:val="HeadingBase"/>
    <w:rsid w:val="00EB6907"/>
    <w:pPr>
      <w:spacing w:before="240" w:after="60"/>
    </w:pPr>
    <w:rPr>
      <w:color w:val="918585"/>
      <w:sz w:val="22"/>
    </w:rPr>
  </w:style>
  <w:style w:type="paragraph" w:customStyle="1" w:styleId="SideHeading">
    <w:name w:val="Side Heading"/>
    <w:basedOn w:val="HeadingBase"/>
    <w:rsid w:val="00EB69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907"/>
    <w:pPr>
      <w:tabs>
        <w:tab w:val="num" w:pos="360"/>
      </w:tabs>
    </w:pPr>
  </w:style>
  <w:style w:type="paragraph" w:styleId="PlainText">
    <w:name w:val="Plain Text"/>
    <w:basedOn w:val="Normal"/>
    <w:link w:val="PlainTextChar"/>
    <w:rsid w:val="00EB6907"/>
    <w:rPr>
      <w:sz w:val="20"/>
    </w:rPr>
  </w:style>
  <w:style w:type="character" w:customStyle="1" w:styleId="PlainTextChar">
    <w:name w:val="Plain Text Char"/>
    <w:basedOn w:val="DefaultParagraphFont"/>
    <w:link w:val="PlainText"/>
    <w:rsid w:val="00EB6907"/>
    <w:rPr>
      <w:rFonts w:ascii="Courier New" w:eastAsia="Times New Roman" w:hAnsi="Courier New" w:cs="Times New Roman"/>
      <w:sz w:val="20"/>
      <w:szCs w:val="20"/>
      <w:lang w:eastAsia="en-US"/>
    </w:rPr>
  </w:style>
  <w:style w:type="character" w:customStyle="1" w:styleId="MenuOption">
    <w:name w:val="Menu Option"/>
    <w:basedOn w:val="DefaultParagraphFont"/>
    <w:rsid w:val="00EB6907"/>
    <w:rPr>
      <w:b/>
      <w:smallCaps/>
    </w:rPr>
  </w:style>
  <w:style w:type="paragraph" w:customStyle="1" w:styleId="TableListNumber">
    <w:name w:val="Table List Number"/>
    <w:basedOn w:val="ListNumber"/>
    <w:rsid w:val="00EB6907"/>
    <w:pPr>
      <w:numPr>
        <w:numId w:val="0"/>
      </w:numPr>
    </w:pPr>
  </w:style>
  <w:style w:type="paragraph" w:styleId="TOC4">
    <w:name w:val="toc 4"/>
    <w:basedOn w:val="TOCBase"/>
    <w:next w:val="Normal"/>
    <w:semiHidden/>
    <w:rsid w:val="00EB6907"/>
    <w:pPr>
      <w:tabs>
        <w:tab w:val="right" w:leader="dot" w:pos="9071"/>
      </w:tabs>
      <w:ind w:left="1701"/>
    </w:pPr>
  </w:style>
  <w:style w:type="paragraph" w:customStyle="1" w:styleId="ListAlpha">
    <w:name w:val="List Alpha"/>
    <w:basedOn w:val="List"/>
    <w:rsid w:val="00EB6907"/>
    <w:pPr>
      <w:numPr>
        <w:numId w:val="9"/>
      </w:numPr>
    </w:pPr>
  </w:style>
  <w:style w:type="paragraph" w:customStyle="1" w:styleId="ListAlpha2">
    <w:name w:val="List Alpha 2"/>
    <w:basedOn w:val="List2"/>
    <w:rsid w:val="00EB6907"/>
    <w:pPr>
      <w:numPr>
        <w:numId w:val="8"/>
      </w:numPr>
    </w:pPr>
  </w:style>
  <w:style w:type="paragraph" w:styleId="List2">
    <w:name w:val="List 2"/>
    <w:basedOn w:val="BodyText"/>
    <w:rsid w:val="00EB6907"/>
    <w:pPr>
      <w:tabs>
        <w:tab w:val="left" w:pos="680"/>
      </w:tabs>
      <w:spacing w:before="60" w:after="60"/>
      <w:ind w:left="680" w:hanging="340"/>
    </w:pPr>
  </w:style>
  <w:style w:type="paragraph" w:styleId="List3">
    <w:name w:val="List 3"/>
    <w:basedOn w:val="BodyText"/>
    <w:rsid w:val="00EB6907"/>
    <w:pPr>
      <w:tabs>
        <w:tab w:val="left" w:pos="1021"/>
      </w:tabs>
      <w:spacing w:before="60" w:after="60"/>
      <w:ind w:left="1020" w:hanging="340"/>
    </w:pPr>
  </w:style>
  <w:style w:type="paragraph" w:styleId="List4">
    <w:name w:val="List 4"/>
    <w:basedOn w:val="BodyText"/>
    <w:rsid w:val="00EB6907"/>
    <w:pPr>
      <w:tabs>
        <w:tab w:val="left" w:pos="1361"/>
      </w:tabs>
      <w:spacing w:before="60" w:after="60"/>
      <w:ind w:left="1361" w:hanging="340"/>
    </w:pPr>
  </w:style>
  <w:style w:type="paragraph" w:styleId="List5">
    <w:name w:val="List 5"/>
    <w:basedOn w:val="BodyText"/>
    <w:rsid w:val="00EB6907"/>
    <w:pPr>
      <w:tabs>
        <w:tab w:val="left" w:pos="1701"/>
      </w:tabs>
      <w:spacing w:before="60" w:after="60"/>
      <w:ind w:left="1701" w:hanging="340"/>
    </w:pPr>
  </w:style>
  <w:style w:type="paragraph" w:styleId="ListBullet3">
    <w:name w:val="List Bullet 3"/>
    <w:basedOn w:val="List3"/>
    <w:rsid w:val="00EB6907"/>
    <w:pPr>
      <w:numPr>
        <w:numId w:val="14"/>
      </w:numPr>
      <w:tabs>
        <w:tab w:val="clear" w:pos="1021"/>
      </w:tabs>
      <w:ind w:left="1037" w:hanging="357"/>
    </w:pPr>
  </w:style>
  <w:style w:type="paragraph" w:styleId="ListBullet4">
    <w:name w:val="List Bullet 4"/>
    <w:basedOn w:val="List4"/>
    <w:rsid w:val="00EB6907"/>
    <w:pPr>
      <w:numPr>
        <w:numId w:val="3"/>
      </w:numPr>
      <w:tabs>
        <w:tab w:val="clear" w:pos="1361"/>
      </w:tabs>
    </w:pPr>
  </w:style>
  <w:style w:type="paragraph" w:styleId="ListBullet5">
    <w:name w:val="List Bullet 5"/>
    <w:basedOn w:val="List5"/>
    <w:rsid w:val="00EB6907"/>
    <w:pPr>
      <w:numPr>
        <w:numId w:val="4"/>
      </w:numPr>
    </w:pPr>
  </w:style>
  <w:style w:type="paragraph" w:styleId="ListContinue2">
    <w:name w:val="List Continue 2"/>
    <w:basedOn w:val="List2"/>
    <w:rsid w:val="00EB6907"/>
    <w:pPr>
      <w:ind w:firstLine="0"/>
    </w:pPr>
  </w:style>
  <w:style w:type="paragraph" w:styleId="ListContinue3">
    <w:name w:val="List Continue 3"/>
    <w:basedOn w:val="List3"/>
    <w:rsid w:val="00EB6907"/>
    <w:pPr>
      <w:ind w:left="1021" w:firstLine="0"/>
    </w:pPr>
  </w:style>
  <w:style w:type="paragraph" w:styleId="ListContinue4">
    <w:name w:val="List Continue 4"/>
    <w:basedOn w:val="List4"/>
    <w:rsid w:val="00EB6907"/>
    <w:pPr>
      <w:ind w:firstLine="0"/>
    </w:pPr>
  </w:style>
  <w:style w:type="paragraph" w:styleId="ListContinue5">
    <w:name w:val="List Continue 5"/>
    <w:basedOn w:val="List5"/>
    <w:rsid w:val="00EB6907"/>
    <w:pPr>
      <w:ind w:firstLine="0"/>
    </w:pPr>
  </w:style>
  <w:style w:type="paragraph" w:styleId="ListNumber3">
    <w:name w:val="List Number 3"/>
    <w:basedOn w:val="List3"/>
    <w:rsid w:val="00EB6907"/>
    <w:pPr>
      <w:numPr>
        <w:numId w:val="5"/>
      </w:numPr>
    </w:pPr>
  </w:style>
  <w:style w:type="paragraph" w:styleId="ListNumber4">
    <w:name w:val="List Number 4"/>
    <w:basedOn w:val="List4"/>
    <w:rsid w:val="00EB6907"/>
    <w:pPr>
      <w:numPr>
        <w:numId w:val="6"/>
      </w:numPr>
    </w:pPr>
  </w:style>
  <w:style w:type="paragraph" w:styleId="ListNumber5">
    <w:name w:val="List Number 5"/>
    <w:basedOn w:val="List5"/>
    <w:rsid w:val="00EB6907"/>
    <w:pPr>
      <w:numPr>
        <w:numId w:val="7"/>
      </w:numPr>
    </w:pPr>
  </w:style>
  <w:style w:type="paragraph" w:styleId="BlockText">
    <w:name w:val="Block Text"/>
    <w:basedOn w:val="Normal"/>
    <w:rsid w:val="00EB6907"/>
    <w:pPr>
      <w:spacing w:after="120"/>
      <w:ind w:left="1440" w:right="1440"/>
    </w:pPr>
  </w:style>
  <w:style w:type="character" w:customStyle="1" w:styleId="Subscript">
    <w:name w:val="Subscript"/>
    <w:basedOn w:val="DefaultParagraphFont"/>
    <w:rsid w:val="00EB6907"/>
    <w:rPr>
      <w:sz w:val="16"/>
      <w:vertAlign w:val="subscript"/>
    </w:rPr>
  </w:style>
  <w:style w:type="character" w:customStyle="1" w:styleId="Superscript">
    <w:name w:val="Superscript"/>
    <w:basedOn w:val="DefaultParagraphFont"/>
    <w:rsid w:val="00EB6907"/>
    <w:rPr>
      <w:sz w:val="16"/>
      <w:vertAlign w:val="superscript"/>
    </w:rPr>
  </w:style>
  <w:style w:type="character" w:customStyle="1" w:styleId="Symbols">
    <w:name w:val="Symbols"/>
    <w:basedOn w:val="DefaultParagraphFont"/>
    <w:rsid w:val="00EB6907"/>
    <w:rPr>
      <w:rFonts w:ascii="Symbol" w:hAnsi="Symbol"/>
    </w:rPr>
  </w:style>
  <w:style w:type="character" w:customStyle="1" w:styleId="MenuOptions">
    <w:name w:val="Menu Options"/>
    <w:basedOn w:val="DefaultParagraphFont"/>
    <w:rsid w:val="00EB6907"/>
    <w:rPr>
      <w:rFonts w:ascii="Arial Narrow" w:hAnsi="Arial Narrow"/>
      <w:smallCaps/>
    </w:rPr>
  </w:style>
  <w:style w:type="character" w:customStyle="1" w:styleId="Buttons">
    <w:name w:val="Buttons"/>
    <w:basedOn w:val="DefaultParagraphFont"/>
    <w:rsid w:val="00EB6907"/>
    <w:rPr>
      <w:b/>
    </w:rPr>
  </w:style>
  <w:style w:type="character" w:customStyle="1" w:styleId="Underlined">
    <w:name w:val="Underlined"/>
    <w:basedOn w:val="DefaultParagraphFont"/>
    <w:rsid w:val="00EB6907"/>
    <w:rPr>
      <w:u w:val="single"/>
    </w:rPr>
  </w:style>
  <w:style w:type="paragraph" w:customStyle="1" w:styleId="TableBodyTextRight">
    <w:name w:val="Table Body Text Right"/>
    <w:basedOn w:val="TableBodyText"/>
    <w:rsid w:val="00EB6907"/>
    <w:pPr>
      <w:widowControl w:val="0"/>
      <w:autoSpaceDE w:val="0"/>
      <w:autoSpaceDN w:val="0"/>
      <w:adjustRightInd w:val="0"/>
      <w:jc w:val="right"/>
    </w:pPr>
    <w:rPr>
      <w:rFonts w:cs="Arial"/>
      <w:szCs w:val="18"/>
    </w:rPr>
  </w:style>
  <w:style w:type="paragraph" w:customStyle="1" w:styleId="CopyrightText">
    <w:name w:val="Copyright Text"/>
    <w:basedOn w:val="BodyText"/>
    <w:rsid w:val="00EB6907"/>
    <w:rPr>
      <w:sz w:val="18"/>
    </w:rPr>
  </w:style>
  <w:style w:type="paragraph" w:customStyle="1" w:styleId="BodySmallRight">
    <w:name w:val="Body Small Right"/>
    <w:basedOn w:val="BodyTextRight"/>
    <w:rsid w:val="00EB6907"/>
    <w:rPr>
      <w:sz w:val="18"/>
      <w:szCs w:val="18"/>
    </w:rPr>
  </w:style>
  <w:style w:type="paragraph" w:customStyle="1" w:styleId="MarginEdition">
    <w:name w:val="Margin Edition"/>
    <w:basedOn w:val="MarginNote"/>
    <w:rsid w:val="00EB6907"/>
    <w:pPr>
      <w:spacing w:before="0" w:after="0"/>
    </w:pPr>
    <w:rPr>
      <w:rFonts w:ascii="Times New Roman" w:hAnsi="Times New Roman"/>
      <w:color w:val="999999"/>
    </w:rPr>
  </w:style>
  <w:style w:type="paragraph" w:customStyle="1" w:styleId="Spacer">
    <w:name w:val="Spacer"/>
    <w:basedOn w:val="Normal"/>
    <w:rsid w:val="00EB6907"/>
    <w:rPr>
      <w:sz w:val="2"/>
      <w:szCs w:val="2"/>
    </w:rPr>
  </w:style>
  <w:style w:type="character" w:customStyle="1" w:styleId="Small">
    <w:name w:val="Small"/>
    <w:basedOn w:val="DefaultParagraphFont"/>
    <w:rsid w:val="00EB6907"/>
    <w:rPr>
      <w:sz w:val="16"/>
    </w:rPr>
  </w:style>
  <w:style w:type="paragraph" w:customStyle="1" w:styleId="WideTable">
    <w:name w:val="Wide Table"/>
    <w:basedOn w:val="Normal"/>
    <w:rsid w:val="00EB6907"/>
    <w:pPr>
      <w:ind w:left="-1418"/>
    </w:pPr>
    <w:rPr>
      <w:sz w:val="2"/>
      <w:szCs w:val="2"/>
    </w:rPr>
  </w:style>
  <w:style w:type="character" w:styleId="PageNumber">
    <w:name w:val="page number"/>
    <w:basedOn w:val="DefaultParagraphFont"/>
    <w:rsid w:val="00EB6907"/>
  </w:style>
  <w:style w:type="paragraph" w:styleId="Quote">
    <w:name w:val="Quote"/>
    <w:basedOn w:val="Heading1"/>
    <w:link w:val="QuoteChar"/>
    <w:qFormat/>
    <w:rsid w:val="00EB6907"/>
    <w:rPr>
      <w:b w:val="0"/>
      <w:sz w:val="72"/>
      <w:szCs w:val="72"/>
      <w:lang w:val="en-NZ"/>
    </w:rPr>
  </w:style>
  <w:style w:type="character" w:customStyle="1" w:styleId="QuoteChar">
    <w:name w:val="Quote Char"/>
    <w:basedOn w:val="DefaultParagraphFont"/>
    <w:link w:val="Quote"/>
    <w:rsid w:val="00EB69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907"/>
    <w:pPr>
      <w:pageBreakBefore/>
    </w:pPr>
  </w:style>
  <w:style w:type="paragraph" w:customStyle="1" w:styleId="Border">
    <w:name w:val="Border"/>
    <w:basedOn w:val="Normal"/>
    <w:qFormat/>
    <w:rsid w:val="00EB69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907"/>
    <w:rPr>
      <w:b/>
      <w:bCs/>
      <w:i/>
      <w:iCs/>
      <w:color w:val="auto"/>
    </w:rPr>
  </w:style>
  <w:style w:type="paragraph" w:styleId="IntenseQuote">
    <w:name w:val="Intense Quote"/>
    <w:basedOn w:val="Normal"/>
    <w:next w:val="Normal"/>
    <w:link w:val="IntenseQuoteChar"/>
    <w:uiPriority w:val="30"/>
    <w:qFormat/>
    <w:rsid w:val="00EB69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9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907"/>
    <w:rPr>
      <w:smallCaps/>
      <w:color w:val="auto"/>
      <w:u w:val="single"/>
    </w:rPr>
  </w:style>
  <w:style w:type="character" w:styleId="IntenseReference">
    <w:name w:val="Intense Reference"/>
    <w:basedOn w:val="DefaultParagraphFont"/>
    <w:uiPriority w:val="32"/>
    <w:qFormat/>
    <w:rsid w:val="00EB6907"/>
    <w:rPr>
      <w:b/>
      <w:bCs/>
      <w:smallCaps/>
      <w:color w:val="auto"/>
      <w:spacing w:val="5"/>
      <w:u w:val="single"/>
    </w:rPr>
  </w:style>
  <w:style w:type="paragraph" w:customStyle="1" w:styleId="2ColumnHeading">
    <w:name w:val="2Column Heading"/>
    <w:basedOn w:val="BodyText"/>
    <w:qFormat/>
    <w:rsid w:val="00EB6907"/>
    <w:pPr>
      <w:spacing w:after="60"/>
      <w:ind w:left="-2268"/>
    </w:pPr>
    <w:rPr>
      <w:b/>
    </w:rPr>
  </w:style>
  <w:style w:type="paragraph" w:customStyle="1" w:styleId="Heading1TOC">
    <w:name w:val="Heading1 TOC"/>
    <w:basedOn w:val="Normal"/>
    <w:qFormat/>
    <w:rsid w:val="00EB6907"/>
    <w:pPr>
      <w:spacing w:before="240" w:after="120"/>
    </w:pPr>
    <w:rPr>
      <w:rFonts w:ascii="Times New Roman" w:hAnsi="Times New Roman"/>
      <w:b/>
      <w:sz w:val="32"/>
    </w:rPr>
  </w:style>
  <w:style w:type="paragraph" w:customStyle="1" w:styleId="Heading2TOC">
    <w:name w:val="Heading2 TOC"/>
    <w:basedOn w:val="Normal"/>
    <w:qFormat/>
    <w:rsid w:val="00EB6907"/>
    <w:pPr>
      <w:spacing w:before="240" w:after="60"/>
    </w:pPr>
    <w:rPr>
      <w:rFonts w:ascii="Times New Roman" w:hAnsi="Times New Roman"/>
      <w:b/>
      <w:sz w:val="28"/>
    </w:rPr>
  </w:style>
  <w:style w:type="character" w:customStyle="1" w:styleId="Underline">
    <w:name w:val="Underline"/>
    <w:basedOn w:val="DefaultParagraphFont"/>
    <w:qFormat/>
    <w:rsid w:val="00EB6907"/>
    <w:rPr>
      <w:u w:val="single"/>
    </w:rPr>
  </w:style>
  <w:style w:type="character" w:customStyle="1" w:styleId="BoldandItalics">
    <w:name w:val="Bold and Italics"/>
    <w:qFormat/>
    <w:rsid w:val="00EB6907"/>
    <w:rPr>
      <w:b/>
      <w:i/>
      <w:u w:val="none"/>
    </w:rPr>
  </w:style>
  <w:style w:type="paragraph" w:styleId="BalloonText">
    <w:name w:val="Balloon Text"/>
    <w:basedOn w:val="Normal"/>
    <w:link w:val="BalloonTextChar"/>
    <w:rsid w:val="00EB6907"/>
    <w:rPr>
      <w:rFonts w:ascii="Tahoma" w:hAnsi="Tahoma" w:cs="Tahoma"/>
      <w:sz w:val="16"/>
      <w:szCs w:val="16"/>
    </w:rPr>
  </w:style>
  <w:style w:type="character" w:customStyle="1" w:styleId="BalloonTextChar">
    <w:name w:val="Balloon Text Char"/>
    <w:basedOn w:val="DefaultParagraphFont"/>
    <w:link w:val="BalloonText"/>
    <w:rsid w:val="00EB69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9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69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907"/>
    <w:rPr>
      <w:b/>
      <w:color w:val="660033"/>
      <w:spacing w:val="0"/>
    </w:rPr>
  </w:style>
  <w:style w:type="paragraph" w:customStyle="1" w:styleId="Nameditemlist">
    <w:name w:val="Named item list"/>
    <w:basedOn w:val="BodyText"/>
    <w:qFormat/>
    <w:rsid w:val="00EB6907"/>
    <w:pPr>
      <w:tabs>
        <w:tab w:val="left" w:pos="2835"/>
      </w:tabs>
      <w:ind w:left="2835" w:hanging="2835"/>
    </w:pPr>
  </w:style>
  <w:style w:type="paragraph" w:customStyle="1" w:styleId="BodyTextnopadding">
    <w:name w:val="Body Text no padding"/>
    <w:basedOn w:val="BodyText"/>
    <w:qFormat/>
    <w:rsid w:val="00EB6907"/>
    <w:pPr>
      <w:spacing w:before="0" w:after="0"/>
    </w:pPr>
  </w:style>
  <w:style w:type="paragraph" w:customStyle="1" w:styleId="BodyTextBold">
    <w:name w:val="Body Text Bold"/>
    <w:basedOn w:val="BodyText"/>
    <w:qFormat/>
    <w:rsid w:val="00EB6907"/>
    <w:rPr>
      <w:b/>
    </w:rPr>
  </w:style>
  <w:style w:type="character" w:styleId="Hyperlink">
    <w:name w:val="Hyperlink"/>
    <w:basedOn w:val="DefaultParagraphFont"/>
    <w:uiPriority w:val="99"/>
    <w:unhideWhenUsed/>
    <w:rsid w:val="00E562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4509</Characters>
  <Application>Microsoft Office Word</Application>
  <DocSecurity>0</DocSecurity>
  <Lines>173</Lines>
  <Paragraphs>89</Paragraphs>
  <ScaleCrop>false</ScaleCrop>
  <Company>Author-it Software Corporation Ltd.</Company>
  <LinksUpToDate>false</LinksUpToDate>
  <CharactersWithSpaces>5085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MEA365 Assess structural repair/modification requirements and evaluate structural repairs and modifications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2022-11-22T01:27:00Z</dcterms:created>
  <dcterms:modified xsi:type="dcterms:W3CDTF">2022-11-22T01:27:00Z</dcterms:modified>
</cp:coreProperties>
</file>