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395C" w:rsidP="0086395C">
      <w:pPr>
        <w:pStyle w:val="Title"/>
      </w:pPr>
      <w:r>
        <w:fldChar w:fldCharType="begin"/>
      </w:r>
      <w:r>
        <w:instrText xml:space="preserve"> TITLE   \* MERGEFORMAT </w:instrText>
      </w:r>
      <w:r>
        <w:fldChar w:fldCharType="separate"/>
      </w:r>
      <w:r>
        <w:t>MEA362 Maintain aircraft vapour cycle air conditioning systems</w:t>
      </w:r>
      <w:r>
        <w:fldChar w:fldCharType="end"/>
      </w:r>
    </w:p>
    <w:p w:rsidR="0086395C" w:rsidP="0086395C">
      <w:pPr>
        <w:pStyle w:val="Version"/>
        <w:sectPr w:rsidSect="00C67AF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7AFA" w:rsidP="00C67AFA">
      <w:pPr>
        <w:pStyle w:val="SuperHeading"/>
      </w:pPr>
      <w:r w:rsidRPr="00C67AFA">
        <w:t>MEA362 Maintain aircraft vapour cycle air conditioning systems</w:t>
      </w:r>
    </w:p>
    <w:p w:rsidR="00000000" w:rsidRPr="00C67AFA" w:rsidP="00C67AFA">
      <w:pPr>
        <w:pStyle w:val="Heading1"/>
      </w:pPr>
      <w:bookmarkStart w:id="1" w:name="O_722372"/>
      <w:bookmarkEnd w:id="1"/>
      <w:r w:rsidRPr="00C67AFA">
        <w:t>Modification History</w:t>
      </w:r>
    </w:p>
    <w:p w:rsidR="00000000" w:rsidRPr="00C67AFA" w:rsidP="0086395C">
      <w:pPr>
        <w:pStyle w:val="BodyText"/>
      </w:pPr>
      <w:r w:rsidRPr="00C67AFA">
        <w:t>Release 1 - New unit of competency</w:t>
      </w:r>
    </w:p>
    <w:p w:rsidR="00000000" w:rsidRPr="00C67AFA" w:rsidP="00C67AFA">
      <w:pPr>
        <w:pStyle w:val="Heading1"/>
      </w:pPr>
      <w:bookmarkStart w:id="2" w:name="O_722380"/>
      <w:bookmarkEnd w:id="2"/>
      <w:r w:rsidRPr="00C67AFA">
        <w:t>Application</w:t>
      </w:r>
    </w:p>
    <w:p w:rsidR="00000000" w:rsidRPr="00C67AFA" w:rsidP="0086395C">
      <w:pPr>
        <w:pStyle w:val="BodyText"/>
      </w:pPr>
      <w:r w:rsidRPr="00C67AFA">
        <w:t>This unit of competency</w:t>
      </w:r>
      <w:r w:rsidRPr="00C67AFA">
        <w:t xml:space="preserve"> requires application of hand skills, the use of maintenance publications and knowledge of vapour cycle air conditioning systems to inspect, test and troubleshoot systems, and to remove and install mechanical and electrical system components during the per</w:t>
      </w:r>
      <w:r w:rsidRPr="00C67AFA">
        <w:t>formance of scheduled or unscheduled maintenance. Maintenance may be performed individually or as part of a team.</w:t>
      </w:r>
    </w:p>
    <w:p w:rsidR="00000000" w:rsidRPr="00C67AFA" w:rsidP="0086395C">
      <w:pPr>
        <w:pStyle w:val="BodyText"/>
      </w:pPr>
      <w:r w:rsidRPr="00C67AFA">
        <w:t>Compliance with applicable regulations is required where refrigerant evacuation and recharging is performed.</w:t>
      </w:r>
    </w:p>
    <w:p w:rsidR="00000000" w:rsidRPr="00C67AFA" w:rsidP="0086395C">
      <w:pPr>
        <w:pStyle w:val="BodyText"/>
      </w:pPr>
      <w:r w:rsidRPr="00C67AFA">
        <w:t>Applications include all aircra</w:t>
      </w:r>
      <w:r w:rsidRPr="00C67AFA">
        <w:t>ft vapour cycle air conditioning systems and components.</w:t>
      </w:r>
    </w:p>
    <w:p w:rsidR="00000000" w:rsidRPr="00C67AFA" w:rsidP="0086395C">
      <w:pPr>
        <w:pStyle w:val="BodyText"/>
      </w:pPr>
      <w:r w:rsidRPr="00C67AFA">
        <w:t xml:space="preserve">The unit is part of the Mechanical Certificate IV (Aircraft Maintenance Stream) training pathway. </w:t>
      </w:r>
    </w:p>
    <w:p w:rsidR="00000000" w:rsidRPr="00C67AFA" w:rsidP="0086395C">
      <w:pPr>
        <w:pStyle w:val="BodyText"/>
      </w:pPr>
      <w:r w:rsidRPr="00C67AFA">
        <w:t>Where a Civil Aviation Safety Authority (CASA) licensing outcome is sought this unit forms part of</w:t>
      </w:r>
      <w:r w:rsidRPr="00C67AFA">
        <w:t xml:space="preserve"> the CASA requirement for the granting of the chosen maintenance certification licence under Civil Aviation Safety Regulation (CASR) Part 66, in accordance with the licensing provisions in the Companion Volume Implementation Guide.</w:t>
      </w:r>
    </w:p>
    <w:p w:rsidR="00000000" w:rsidRPr="00C67AFA" w:rsidP="00C67AFA">
      <w:pPr>
        <w:pStyle w:val="Heading1"/>
      </w:pPr>
      <w:bookmarkStart w:id="3" w:name="O_722379"/>
      <w:bookmarkEnd w:id="3"/>
      <w:r w:rsidRPr="00C67AFA">
        <w:t>Pre-req</w:t>
      </w:r>
      <w:r w:rsidRPr="00C67AFA">
        <w:t>uisite Unit</w:t>
      </w:r>
    </w:p>
    <w:tbl>
      <w:tblPr>
        <w:tblW w:w="0" w:type="auto"/>
        <w:tblLayout w:type="fixed"/>
        <w:tblCellMar>
          <w:left w:w="62" w:type="dxa"/>
          <w:right w:w="62" w:type="dxa"/>
        </w:tblCellMar>
        <w:tblLook w:val="0000"/>
      </w:tblPr>
      <w:tblGrid>
        <w:gridCol w:w="1657"/>
        <w:gridCol w:w="7194"/>
      </w:tblGrid>
      <w:tr w:rsidTr="00C67AFA">
        <w:tblPrEx>
          <w:tblW w:w="0" w:type="auto"/>
          <w:tblLayout w:type="fixed"/>
          <w:tblCellMar>
            <w:left w:w="62" w:type="dxa"/>
            <w:right w:w="62" w:type="dxa"/>
          </w:tblCellMar>
          <w:tblLook w:val="0000"/>
        </w:tblPrEx>
        <w:tc>
          <w:tcPr>
            <w:tcW w:w="1657" w:type="dxa"/>
            <w:tcBorders>
              <w:top w:val="nil"/>
              <w:left w:val="nil"/>
              <w:bottom w:val="nil"/>
              <w:right w:val="nil"/>
            </w:tcBorders>
            <w:tcMar>
              <w:top w:w="0" w:type="dxa"/>
              <w:left w:w="62" w:type="dxa"/>
              <w:bottom w:w="0" w:type="dxa"/>
              <w:right w:w="62" w:type="dxa"/>
            </w:tcMar>
          </w:tcPr>
          <w:p w:rsidR="00000000" w:rsidP="00C67AFA">
            <w:pPr>
              <w:pStyle w:val="BodyText"/>
              <w:rPr>
                <w:lang w:val="en-NZ"/>
              </w:rPr>
            </w:pPr>
            <w:r w:rsidRPr="00C67AFA">
              <w:t>MEA201</w:t>
            </w:r>
          </w:p>
        </w:tc>
        <w:tc>
          <w:tcPr>
            <w:tcW w:w="7194" w:type="dxa"/>
            <w:tcBorders>
              <w:top w:val="nil"/>
              <w:left w:val="nil"/>
              <w:bottom w:val="nil"/>
              <w:right w:val="nil"/>
            </w:tcBorders>
            <w:tcMar>
              <w:top w:w="0" w:type="dxa"/>
              <w:left w:w="62" w:type="dxa"/>
              <w:bottom w:w="0" w:type="dxa"/>
              <w:right w:w="62" w:type="dxa"/>
            </w:tcMar>
          </w:tcPr>
          <w:p w:rsidR="00000000" w:rsidP="00C67AFA">
            <w:pPr>
              <w:pStyle w:val="BodyText"/>
              <w:rPr>
                <w:lang w:val="en-NZ"/>
              </w:rPr>
            </w:pPr>
            <w:r w:rsidRPr="00C67AFA">
              <w:t>Remove and install miscellaneous aircraft electrical hardware/components</w:t>
            </w:r>
          </w:p>
        </w:tc>
      </w:tr>
      <w:tr w:rsidTr="00C67AFA">
        <w:tblPrEx>
          <w:tblW w:w="0" w:type="auto"/>
          <w:tblLayout w:type="fixed"/>
          <w:tblCellMar>
            <w:left w:w="62" w:type="dxa"/>
            <w:right w:w="62" w:type="dxa"/>
          </w:tblCellMar>
          <w:tblLook w:val="0000"/>
        </w:tblPrEx>
        <w:tc>
          <w:tcPr>
            <w:tcW w:w="1657" w:type="dxa"/>
            <w:tcBorders>
              <w:top w:val="nil"/>
              <w:left w:val="nil"/>
              <w:bottom w:val="nil"/>
              <w:right w:val="nil"/>
            </w:tcBorders>
            <w:tcMar>
              <w:top w:w="0" w:type="dxa"/>
              <w:left w:w="62" w:type="dxa"/>
              <w:bottom w:w="0" w:type="dxa"/>
              <w:right w:w="62" w:type="dxa"/>
            </w:tcMar>
          </w:tcPr>
          <w:p w:rsidR="00000000" w:rsidP="00C67AFA">
            <w:pPr>
              <w:pStyle w:val="BodyText"/>
              <w:rPr>
                <w:lang w:val="en-NZ"/>
              </w:rPr>
            </w:pPr>
            <w:r w:rsidRPr="00C67AFA">
              <w:t>MEA246</w:t>
            </w:r>
          </w:p>
        </w:tc>
        <w:tc>
          <w:tcPr>
            <w:tcW w:w="7194" w:type="dxa"/>
            <w:tcBorders>
              <w:top w:val="nil"/>
              <w:left w:val="nil"/>
              <w:bottom w:val="nil"/>
              <w:right w:val="nil"/>
            </w:tcBorders>
            <w:tcMar>
              <w:top w:w="0" w:type="dxa"/>
              <w:left w:w="62" w:type="dxa"/>
              <w:bottom w:w="0" w:type="dxa"/>
              <w:right w:w="62" w:type="dxa"/>
            </w:tcMar>
          </w:tcPr>
          <w:p w:rsidR="00000000" w:rsidRPr="00C67AFA" w:rsidP="00C67AFA">
            <w:pPr>
              <w:pStyle w:val="BodyText"/>
            </w:pPr>
            <w:r w:rsidRPr="00C67AFA">
              <w:t>Fabricate and/or repair aircraft electrical components or parts</w:t>
            </w:r>
          </w:p>
        </w:tc>
      </w:tr>
    </w:tbl>
    <w:p w:rsidR="00000000" w:rsidRPr="00C67AFA" w:rsidP="00C67AFA">
      <w:pPr>
        <w:pStyle w:val="BodyText"/>
      </w:pPr>
    </w:p>
    <w:p w:rsidR="00000000" w:rsidRPr="00C67AFA" w:rsidP="00C67AFA">
      <w:pPr>
        <w:pStyle w:val="AllowPageBreak"/>
      </w:pPr>
    </w:p>
    <w:p w:rsidR="00000000" w:rsidRPr="00C67AFA" w:rsidP="00C67AFA">
      <w:pPr>
        <w:pStyle w:val="Heading1"/>
      </w:pPr>
      <w:bookmarkStart w:id="4" w:name="O_722378"/>
      <w:bookmarkEnd w:id="4"/>
      <w:r w:rsidRPr="00C67AFA">
        <w:t>Competency Field</w:t>
      </w:r>
    </w:p>
    <w:p w:rsidR="00000000" w:rsidRPr="00C67AFA" w:rsidP="0086395C">
      <w:pPr>
        <w:pStyle w:val="BodyText"/>
      </w:pPr>
      <w:r w:rsidRPr="00C67AFA">
        <w:t>Aviation maintenance</w:t>
      </w:r>
    </w:p>
    <w:p w:rsidR="00000000" w:rsidRPr="00C67AFA" w:rsidP="00C67AFA">
      <w:pPr>
        <w:pStyle w:val="Heading1"/>
      </w:pPr>
      <w:bookmarkStart w:id="5" w:name="O_722377"/>
      <w:bookmarkEnd w:id="5"/>
      <w:r w:rsidRPr="00C67AFA">
        <w:t>Unit Sector</w:t>
      </w:r>
    </w:p>
    <w:p w:rsidR="00000000" w:rsidRPr="00C67AFA" w:rsidP="00C67AFA">
      <w:pPr>
        <w:pStyle w:val="Heading1"/>
      </w:pPr>
      <w:bookmarkStart w:id="6" w:name="O_722376"/>
      <w:bookmarkEnd w:id="6"/>
      <w:r w:rsidRPr="00C67AFA">
        <w:t>Elements and Performance Criteria</w:t>
      </w:r>
    </w:p>
    <w:tbl>
      <w:tblPr>
        <w:tblW w:w="9360" w:type="dxa"/>
        <w:tblLayout w:type="fixed"/>
        <w:tblCellMar>
          <w:left w:w="62" w:type="dxa"/>
          <w:right w:w="62" w:type="dxa"/>
        </w:tblCellMar>
        <w:tblLook w:val="0000"/>
      </w:tblPr>
      <w:tblGrid>
        <w:gridCol w:w="698"/>
        <w:gridCol w:w="2182"/>
        <w:gridCol w:w="810"/>
        <w:gridCol w:w="5670"/>
      </w:tblGrid>
      <w:tr w:rsidTr="00C67AFA">
        <w:tblPrEx>
          <w:tblW w:w="9360" w:type="dxa"/>
          <w:tblLayout w:type="fixed"/>
          <w:tblCellMar>
            <w:left w:w="62" w:type="dxa"/>
            <w:right w:w="62" w:type="dxa"/>
          </w:tblCellMar>
          <w:tblLook w:val="0000"/>
        </w:tblPrEx>
        <w:tc>
          <w:tcPr>
            <w:tcW w:w="2880" w:type="dxa"/>
            <w:gridSpan w:val="2"/>
            <w:tcBorders>
              <w:top w:val="nil"/>
              <w:left w:val="nil"/>
              <w:bottom w:val="nil"/>
              <w:right w:val="nil"/>
            </w:tcBorders>
            <w:tcMar>
              <w:top w:w="0" w:type="dxa"/>
              <w:left w:w="62" w:type="dxa"/>
              <w:bottom w:w="0" w:type="dxa"/>
              <w:right w:w="62" w:type="dxa"/>
            </w:tcMar>
          </w:tcPr>
          <w:p w:rsidR="00000000" w:rsidP="00C67AFA">
            <w:pPr>
              <w:pStyle w:val="BodyText"/>
              <w:rPr>
                <w:lang w:val="en-NZ"/>
              </w:rPr>
            </w:pPr>
            <w:r w:rsidRPr="00C67AFA">
              <w:t>Elements describe the essential outcomes.</w:t>
            </w:r>
          </w:p>
        </w:tc>
        <w:tc>
          <w:tcPr>
            <w:tcW w:w="6480" w:type="dxa"/>
            <w:gridSpan w:val="2"/>
            <w:tcBorders>
              <w:top w:val="nil"/>
              <w:left w:val="nil"/>
              <w:bottom w:val="nil"/>
              <w:right w:val="nil"/>
            </w:tcBorders>
            <w:tcMar>
              <w:top w:w="0" w:type="dxa"/>
              <w:left w:w="62" w:type="dxa"/>
              <w:bottom w:w="0" w:type="dxa"/>
              <w:right w:w="62" w:type="dxa"/>
            </w:tcMar>
          </w:tcPr>
          <w:p w:rsidR="00000000" w:rsidP="00C67AFA">
            <w:pPr>
              <w:pStyle w:val="BodyText"/>
              <w:rPr>
                <w:lang w:val="en-NZ"/>
              </w:rPr>
            </w:pPr>
            <w:r w:rsidRPr="00C67AFA">
              <w:t xml:space="preserve">Performance criteria describe the performance needed to demonstrate achievement of the element. </w:t>
            </w:r>
          </w:p>
        </w:tc>
      </w:tr>
      <w:tr w:rsidTr="00C67AFA">
        <w:tblPrEx>
          <w:tblW w:w="9360" w:type="dxa"/>
          <w:tblLayout w:type="fixed"/>
          <w:tblCellMar>
            <w:left w:w="62" w:type="dxa"/>
            <w:right w:w="62" w:type="dxa"/>
          </w:tblCellMar>
          <w:tblLook w:val="0000"/>
        </w:tblPrEx>
        <w:tc>
          <w:tcPr>
            <w:tcW w:w="698" w:type="dxa"/>
            <w:tcBorders>
              <w:top w:val="nil"/>
              <w:left w:val="nil"/>
              <w:bottom w:val="nil"/>
              <w:right w:val="nil"/>
            </w:tcBorders>
            <w:tcMar>
              <w:top w:w="0" w:type="dxa"/>
              <w:left w:w="62" w:type="dxa"/>
              <w:bottom w:w="0" w:type="dxa"/>
              <w:right w:w="62" w:type="dxa"/>
            </w:tcMar>
          </w:tcPr>
          <w:p w:rsidR="00000000" w:rsidP="00C67AFA">
            <w:pPr>
              <w:pStyle w:val="BodyText"/>
              <w:rPr>
                <w:lang w:val="en-NZ"/>
              </w:rPr>
            </w:pPr>
            <w:r w:rsidRPr="00C67AFA">
              <w:t>1.</w:t>
            </w:r>
          </w:p>
        </w:tc>
        <w:tc>
          <w:tcPr>
            <w:tcW w:w="2182" w:type="dxa"/>
            <w:tcBorders>
              <w:top w:val="nil"/>
              <w:left w:val="nil"/>
              <w:bottom w:val="nil"/>
              <w:right w:val="nil"/>
            </w:tcBorders>
            <w:tcMar>
              <w:top w:w="0" w:type="dxa"/>
              <w:left w:w="62" w:type="dxa"/>
              <w:bottom w:w="0" w:type="dxa"/>
              <w:right w:w="62" w:type="dxa"/>
            </w:tcMar>
          </w:tcPr>
          <w:p w:rsidR="00000000" w:rsidP="00C67AFA">
            <w:pPr>
              <w:pStyle w:val="BodyText"/>
              <w:rPr>
                <w:lang w:val="en-NZ"/>
              </w:rPr>
            </w:pPr>
            <w:r w:rsidRPr="00C67AFA">
              <w:t>Inspect vapour cycle air conditioning systems</w:t>
            </w:r>
          </w:p>
        </w:tc>
        <w:tc>
          <w:tcPr>
            <w:tcW w:w="810" w:type="dxa"/>
            <w:tcBorders>
              <w:top w:val="nil"/>
              <w:left w:val="nil"/>
              <w:bottom w:val="nil"/>
              <w:right w:val="nil"/>
            </w:tcBorders>
            <w:tcMar>
              <w:top w:w="0" w:type="dxa"/>
              <w:left w:w="62" w:type="dxa"/>
              <w:bottom w:w="0" w:type="dxa"/>
              <w:right w:w="62" w:type="dxa"/>
            </w:tcMar>
          </w:tcPr>
          <w:p w:rsidR="00000000" w:rsidP="00C67AFA">
            <w:pPr>
              <w:pStyle w:val="BodyText"/>
              <w:rPr>
                <w:lang w:val="en-NZ"/>
              </w:rPr>
            </w:pPr>
            <w:r w:rsidRPr="00C67AFA">
              <w:t>1.1</w:t>
            </w:r>
          </w:p>
        </w:tc>
        <w:tc>
          <w:tcPr>
            <w:tcW w:w="5670" w:type="dxa"/>
            <w:tcBorders>
              <w:top w:val="nil"/>
              <w:left w:val="nil"/>
              <w:bottom w:val="nil"/>
              <w:right w:val="nil"/>
            </w:tcBorders>
            <w:tcMar>
              <w:top w:w="0" w:type="dxa"/>
              <w:left w:w="62" w:type="dxa"/>
              <w:bottom w:w="0" w:type="dxa"/>
              <w:right w:w="62" w:type="dxa"/>
            </w:tcMar>
          </w:tcPr>
          <w:p w:rsidR="00000000" w:rsidP="00C67AFA">
            <w:pPr>
              <w:pStyle w:val="BodyText"/>
              <w:rPr>
                <w:lang w:val="en-NZ"/>
              </w:rPr>
            </w:pPr>
            <w:r w:rsidRPr="00C67AFA">
              <w:t>Isolation tags already attached to the system or related systems are checked and aircraft/engine configured for safe system inspection and operation in accordance with applicable maintenance manual</w:t>
            </w:r>
          </w:p>
        </w:tc>
      </w:tr>
      <w:tr w:rsidTr="00C67AFA">
        <w:tblPrEx>
          <w:tblW w:w="9360" w:type="dxa"/>
          <w:tblLayout w:type="fixed"/>
          <w:tblCellMar>
            <w:left w:w="62" w:type="dxa"/>
            <w:right w:w="62" w:type="dxa"/>
          </w:tblCellMar>
          <w:tblLook w:val="0000"/>
        </w:tblPrEx>
        <w:tc>
          <w:tcPr>
            <w:tcW w:w="69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C67AFA">
            <w:pPr>
              <w:pStyle w:val="BodyText"/>
              <w:rPr>
                <w:lang w:val="en-NZ"/>
              </w:rPr>
            </w:pPr>
            <w:r w:rsidRPr="00C67AFA">
              <w:t>1.2</w:t>
            </w:r>
          </w:p>
        </w:tc>
        <w:tc>
          <w:tcPr>
            <w:tcW w:w="5670" w:type="dxa"/>
            <w:tcBorders>
              <w:top w:val="nil"/>
              <w:left w:val="nil"/>
              <w:bottom w:val="nil"/>
              <w:right w:val="nil"/>
            </w:tcBorders>
            <w:tcMar>
              <w:top w:w="0" w:type="dxa"/>
              <w:left w:w="62" w:type="dxa"/>
              <w:bottom w:w="0" w:type="dxa"/>
              <w:right w:w="62" w:type="dxa"/>
            </w:tcMar>
          </w:tcPr>
          <w:p w:rsidR="00000000" w:rsidP="00C67AFA">
            <w:pPr>
              <w:pStyle w:val="BodyText"/>
              <w:rPr>
                <w:lang w:val="en-NZ"/>
              </w:rPr>
            </w:pPr>
            <w:r w:rsidRPr="00C67AFA">
              <w:t xml:space="preserve">Vapour cycle air conditioning systems are visually </w:t>
            </w:r>
            <w:r w:rsidRPr="00C67AFA">
              <w:t>or physically checked for external and internal signs of defects in accordance with applicable maintenance manual while observing all relevant work health and safety (WHS) requirements, including the use of material safety data sheets (MSDS) and items of p</w:t>
            </w:r>
            <w:r w:rsidRPr="00C67AFA">
              <w:t>ersonal protective equipment (PPE)</w:t>
            </w:r>
          </w:p>
        </w:tc>
      </w:tr>
      <w:tr w:rsidTr="00C67AFA">
        <w:tblPrEx>
          <w:tblW w:w="9360" w:type="dxa"/>
          <w:tblLayout w:type="fixed"/>
          <w:tblCellMar>
            <w:left w:w="62" w:type="dxa"/>
            <w:right w:w="62" w:type="dxa"/>
          </w:tblCellMar>
          <w:tblLook w:val="0000"/>
        </w:tblPrEx>
        <w:tc>
          <w:tcPr>
            <w:tcW w:w="698" w:type="dxa"/>
            <w:tcBorders>
              <w:top w:val="nil"/>
              <w:left w:val="nil"/>
              <w:bottom w:val="nil"/>
              <w:right w:val="nil"/>
            </w:tcBorders>
            <w:tcMar>
              <w:top w:w="0" w:type="dxa"/>
              <w:left w:w="62" w:type="dxa"/>
              <w:bottom w:w="0" w:type="dxa"/>
              <w:right w:w="62" w:type="dxa"/>
            </w:tcMar>
          </w:tcPr>
          <w:p w:rsidR="00000000" w:rsidP="00C67AFA">
            <w:pPr>
              <w:pStyle w:val="BodyText"/>
              <w:rPr>
                <w:lang w:val="en-NZ"/>
              </w:rPr>
            </w:pPr>
            <w:r w:rsidRPr="00C67AFA">
              <w:t>2.</w:t>
            </w:r>
          </w:p>
        </w:tc>
        <w:tc>
          <w:tcPr>
            <w:tcW w:w="2182" w:type="dxa"/>
            <w:tcBorders>
              <w:top w:val="nil"/>
              <w:left w:val="nil"/>
              <w:bottom w:val="nil"/>
              <w:right w:val="nil"/>
            </w:tcBorders>
            <w:tcMar>
              <w:top w:w="0" w:type="dxa"/>
              <w:left w:w="62" w:type="dxa"/>
              <w:bottom w:w="0" w:type="dxa"/>
              <w:right w:w="62" w:type="dxa"/>
            </w:tcMar>
          </w:tcPr>
          <w:p w:rsidR="00000000" w:rsidP="00C67AFA">
            <w:pPr>
              <w:pStyle w:val="BodyText"/>
              <w:rPr>
                <w:lang w:val="en-NZ"/>
              </w:rPr>
            </w:pPr>
            <w:r w:rsidRPr="00C67AFA">
              <w:t>Test vapour cycle air conditioning systems</w:t>
            </w:r>
          </w:p>
        </w:tc>
        <w:tc>
          <w:tcPr>
            <w:tcW w:w="810" w:type="dxa"/>
            <w:tcBorders>
              <w:top w:val="nil"/>
              <w:left w:val="nil"/>
              <w:bottom w:val="nil"/>
              <w:right w:val="nil"/>
            </w:tcBorders>
            <w:tcMar>
              <w:top w:w="0" w:type="dxa"/>
              <w:left w:w="62" w:type="dxa"/>
              <w:bottom w:w="0" w:type="dxa"/>
              <w:right w:w="62" w:type="dxa"/>
            </w:tcMar>
          </w:tcPr>
          <w:p w:rsidR="00000000" w:rsidP="00C67AFA">
            <w:pPr>
              <w:pStyle w:val="BodyText"/>
              <w:rPr>
                <w:lang w:val="en-NZ"/>
              </w:rPr>
            </w:pPr>
            <w:r w:rsidRPr="00C67AFA">
              <w:t>2.1</w:t>
            </w:r>
          </w:p>
        </w:tc>
        <w:tc>
          <w:tcPr>
            <w:tcW w:w="5670" w:type="dxa"/>
            <w:tcBorders>
              <w:top w:val="nil"/>
              <w:left w:val="nil"/>
              <w:bottom w:val="nil"/>
              <w:right w:val="nil"/>
            </w:tcBorders>
            <w:tcMar>
              <w:top w:w="0" w:type="dxa"/>
              <w:left w:w="62" w:type="dxa"/>
              <w:bottom w:w="0" w:type="dxa"/>
              <w:right w:w="62" w:type="dxa"/>
            </w:tcMar>
          </w:tcPr>
          <w:p w:rsidR="00000000" w:rsidP="00C67AFA">
            <w:pPr>
              <w:pStyle w:val="BodyText"/>
              <w:rPr>
                <w:lang w:val="en-NZ"/>
              </w:rPr>
            </w:pPr>
            <w:r w:rsidRPr="00C67AFA">
              <w:t>Aircraft and system are correctly prepared in accordance with applicable maintenance manual</w:t>
            </w:r>
          </w:p>
        </w:tc>
      </w:tr>
      <w:tr w:rsidTr="00C67AFA">
        <w:tblPrEx>
          <w:tblW w:w="9360" w:type="dxa"/>
          <w:tblLayout w:type="fixed"/>
          <w:tblCellMar>
            <w:left w:w="62" w:type="dxa"/>
            <w:right w:w="62" w:type="dxa"/>
          </w:tblCellMar>
          <w:tblLook w:val="0000"/>
        </w:tblPrEx>
        <w:tc>
          <w:tcPr>
            <w:tcW w:w="69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C67AFA">
            <w:pPr>
              <w:pStyle w:val="BodyText"/>
              <w:rPr>
                <w:lang w:val="en-NZ"/>
              </w:rPr>
            </w:pPr>
            <w:r w:rsidRPr="00C67AFA">
              <w:t>2.2</w:t>
            </w:r>
          </w:p>
        </w:tc>
        <w:tc>
          <w:tcPr>
            <w:tcW w:w="5670" w:type="dxa"/>
            <w:tcBorders>
              <w:top w:val="nil"/>
              <w:left w:val="nil"/>
              <w:bottom w:val="nil"/>
              <w:right w:val="nil"/>
            </w:tcBorders>
            <w:tcMar>
              <w:top w:w="0" w:type="dxa"/>
              <w:left w:w="62" w:type="dxa"/>
              <w:bottom w:w="0" w:type="dxa"/>
              <w:right w:w="62" w:type="dxa"/>
            </w:tcMar>
          </w:tcPr>
          <w:p w:rsidR="00000000" w:rsidP="00C67AFA">
            <w:pPr>
              <w:pStyle w:val="BodyText"/>
              <w:rPr>
                <w:lang w:val="en-NZ"/>
              </w:rPr>
            </w:pPr>
            <w:r w:rsidRPr="00C67AFA">
              <w:t>Vapour cycle air conditioning system is tested in accordance with presc</w:t>
            </w:r>
            <w:r w:rsidRPr="00C67AFA">
              <w:t>ribed test procedures to establish serviceability and correct function in accordance with applicable maintenance manual</w:t>
            </w:r>
          </w:p>
        </w:tc>
      </w:tr>
      <w:tr w:rsidTr="00C67AFA">
        <w:tblPrEx>
          <w:tblW w:w="9360" w:type="dxa"/>
          <w:tblLayout w:type="fixed"/>
          <w:tblCellMar>
            <w:left w:w="62" w:type="dxa"/>
            <w:right w:w="62" w:type="dxa"/>
          </w:tblCellMar>
          <w:tblLook w:val="0000"/>
        </w:tblPrEx>
        <w:tc>
          <w:tcPr>
            <w:tcW w:w="698" w:type="dxa"/>
            <w:tcBorders>
              <w:top w:val="nil"/>
              <w:left w:val="nil"/>
              <w:bottom w:val="nil"/>
              <w:right w:val="nil"/>
            </w:tcBorders>
            <w:tcMar>
              <w:top w:w="0" w:type="dxa"/>
              <w:left w:w="62" w:type="dxa"/>
              <w:bottom w:w="0" w:type="dxa"/>
              <w:right w:w="62" w:type="dxa"/>
            </w:tcMar>
          </w:tcPr>
          <w:p w:rsidR="00000000" w:rsidP="00C67AFA">
            <w:pPr>
              <w:pStyle w:val="BodyText"/>
              <w:rPr>
                <w:lang w:val="en-NZ"/>
              </w:rPr>
            </w:pPr>
            <w:r w:rsidRPr="00C67AFA">
              <w:t>3.</w:t>
            </w:r>
          </w:p>
        </w:tc>
        <w:tc>
          <w:tcPr>
            <w:tcW w:w="2182" w:type="dxa"/>
            <w:tcBorders>
              <w:top w:val="nil"/>
              <w:left w:val="nil"/>
              <w:bottom w:val="nil"/>
              <w:right w:val="nil"/>
            </w:tcBorders>
            <w:tcMar>
              <w:top w:w="0" w:type="dxa"/>
              <w:left w:w="62" w:type="dxa"/>
              <w:bottom w:w="0" w:type="dxa"/>
              <w:right w:w="62" w:type="dxa"/>
            </w:tcMar>
          </w:tcPr>
          <w:p w:rsidR="00000000" w:rsidP="00C67AFA">
            <w:pPr>
              <w:pStyle w:val="BodyText"/>
              <w:rPr>
                <w:lang w:val="en-NZ"/>
              </w:rPr>
            </w:pPr>
            <w:r w:rsidRPr="00C67AFA">
              <w:t>Troubleshoot vapour cycle air conditioning systems</w:t>
            </w:r>
          </w:p>
        </w:tc>
        <w:tc>
          <w:tcPr>
            <w:tcW w:w="810" w:type="dxa"/>
            <w:tcBorders>
              <w:top w:val="nil"/>
              <w:left w:val="nil"/>
              <w:bottom w:val="nil"/>
              <w:right w:val="nil"/>
            </w:tcBorders>
            <w:tcMar>
              <w:top w:w="0" w:type="dxa"/>
              <w:left w:w="62" w:type="dxa"/>
              <w:bottom w:w="0" w:type="dxa"/>
              <w:right w:w="62" w:type="dxa"/>
            </w:tcMar>
          </w:tcPr>
          <w:p w:rsidR="00000000" w:rsidP="00C67AFA">
            <w:pPr>
              <w:pStyle w:val="BodyText"/>
              <w:rPr>
                <w:lang w:val="en-NZ"/>
              </w:rPr>
            </w:pPr>
            <w:r w:rsidRPr="00C67AFA">
              <w:t>3.1</w:t>
            </w:r>
          </w:p>
        </w:tc>
        <w:tc>
          <w:tcPr>
            <w:tcW w:w="5670" w:type="dxa"/>
            <w:tcBorders>
              <w:top w:val="nil"/>
              <w:left w:val="nil"/>
              <w:bottom w:val="nil"/>
              <w:right w:val="nil"/>
            </w:tcBorders>
            <w:tcMar>
              <w:top w:w="0" w:type="dxa"/>
              <w:left w:w="62" w:type="dxa"/>
              <w:bottom w:w="0" w:type="dxa"/>
              <w:right w:w="62" w:type="dxa"/>
            </w:tcMar>
          </w:tcPr>
          <w:p w:rsidR="00000000" w:rsidP="00C67AFA">
            <w:pPr>
              <w:pStyle w:val="BodyText"/>
              <w:rPr>
                <w:lang w:val="en-NZ"/>
              </w:rPr>
            </w:pPr>
            <w:r w:rsidRPr="00C67AFA">
              <w:t>Available information from maintenance documentation and inspection and test results is used, where necessary, to assist in fault determination</w:t>
            </w:r>
          </w:p>
        </w:tc>
      </w:tr>
      <w:tr w:rsidTr="00C67AFA">
        <w:tblPrEx>
          <w:tblW w:w="9360" w:type="dxa"/>
          <w:tblLayout w:type="fixed"/>
          <w:tblCellMar>
            <w:left w:w="62" w:type="dxa"/>
            <w:right w:w="62" w:type="dxa"/>
          </w:tblCellMar>
          <w:tblLook w:val="0000"/>
        </w:tblPrEx>
        <w:tc>
          <w:tcPr>
            <w:tcW w:w="69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C67AFA">
            <w:pPr>
              <w:pStyle w:val="BodyText"/>
              <w:rPr>
                <w:lang w:val="en-NZ"/>
              </w:rPr>
            </w:pPr>
            <w:r w:rsidRPr="00C67AFA">
              <w:t>3.2</w:t>
            </w:r>
          </w:p>
        </w:tc>
        <w:tc>
          <w:tcPr>
            <w:tcW w:w="5670" w:type="dxa"/>
            <w:tcBorders>
              <w:top w:val="nil"/>
              <w:left w:val="nil"/>
              <w:bottom w:val="nil"/>
              <w:right w:val="nil"/>
            </w:tcBorders>
            <w:tcMar>
              <w:top w:w="0" w:type="dxa"/>
              <w:left w:w="62" w:type="dxa"/>
              <w:bottom w:w="0" w:type="dxa"/>
              <w:right w:w="62" w:type="dxa"/>
            </w:tcMar>
          </w:tcPr>
          <w:p w:rsidR="00000000" w:rsidP="00C67AFA">
            <w:pPr>
              <w:pStyle w:val="BodyText"/>
              <w:rPr>
                <w:lang w:val="en-NZ"/>
              </w:rPr>
            </w:pPr>
            <w:r w:rsidRPr="00C67AFA">
              <w:t xml:space="preserve">Maintenance manual fault diagnosis guide and logical processes are used to ensure efficient and accurate </w:t>
            </w:r>
            <w:r w:rsidRPr="00C67AFA">
              <w:t>troubleshooting to line replacement level</w:t>
            </w:r>
          </w:p>
        </w:tc>
      </w:tr>
      <w:tr w:rsidTr="00C67AFA">
        <w:tblPrEx>
          <w:tblW w:w="9360" w:type="dxa"/>
          <w:tblLayout w:type="fixed"/>
          <w:tblCellMar>
            <w:left w:w="62" w:type="dxa"/>
            <w:right w:w="62" w:type="dxa"/>
          </w:tblCellMar>
          <w:tblLook w:val="0000"/>
        </w:tblPrEx>
        <w:tc>
          <w:tcPr>
            <w:tcW w:w="69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C67AFA">
            <w:pPr>
              <w:pStyle w:val="BodyText"/>
              <w:rPr>
                <w:lang w:val="en-NZ"/>
              </w:rPr>
            </w:pPr>
            <w:r w:rsidRPr="00C67AFA">
              <w:t>3.3</w:t>
            </w:r>
          </w:p>
        </w:tc>
        <w:tc>
          <w:tcPr>
            <w:tcW w:w="5670" w:type="dxa"/>
            <w:tcBorders>
              <w:top w:val="nil"/>
              <w:left w:val="nil"/>
              <w:bottom w:val="nil"/>
              <w:right w:val="nil"/>
            </w:tcBorders>
            <w:tcMar>
              <w:top w:w="0" w:type="dxa"/>
              <w:left w:w="62" w:type="dxa"/>
              <w:bottom w:w="0" w:type="dxa"/>
              <w:right w:w="62" w:type="dxa"/>
            </w:tcMar>
          </w:tcPr>
          <w:p w:rsidR="00000000" w:rsidP="00C67AFA">
            <w:pPr>
              <w:pStyle w:val="BodyText"/>
              <w:rPr>
                <w:lang w:val="en-NZ"/>
              </w:rPr>
            </w:pPr>
            <w:r w:rsidRPr="00C67AFA">
              <w:t>Specialist advice is obtained, where required, to assist with the troubleshooting process</w:t>
            </w:r>
          </w:p>
        </w:tc>
      </w:tr>
      <w:tr w:rsidTr="00C67AFA">
        <w:tblPrEx>
          <w:tblW w:w="9360" w:type="dxa"/>
          <w:tblLayout w:type="fixed"/>
          <w:tblCellMar>
            <w:left w:w="62" w:type="dxa"/>
            <w:right w:w="62" w:type="dxa"/>
          </w:tblCellMar>
          <w:tblLook w:val="0000"/>
        </w:tblPrEx>
        <w:tc>
          <w:tcPr>
            <w:tcW w:w="69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C67AFA">
            <w:pPr>
              <w:pStyle w:val="BodyText"/>
              <w:rPr>
                <w:lang w:val="en-NZ"/>
              </w:rPr>
            </w:pPr>
            <w:r w:rsidRPr="00C67AFA">
              <w:t>3.4</w:t>
            </w:r>
          </w:p>
        </w:tc>
        <w:tc>
          <w:tcPr>
            <w:tcW w:w="5670" w:type="dxa"/>
            <w:tcBorders>
              <w:top w:val="nil"/>
              <w:left w:val="nil"/>
              <w:bottom w:val="nil"/>
              <w:right w:val="nil"/>
            </w:tcBorders>
            <w:tcMar>
              <w:top w:w="0" w:type="dxa"/>
              <w:left w:w="62" w:type="dxa"/>
              <w:bottom w:w="0" w:type="dxa"/>
              <w:right w:w="62" w:type="dxa"/>
            </w:tcMar>
          </w:tcPr>
          <w:p w:rsidR="00000000" w:rsidP="00C67AFA">
            <w:pPr>
              <w:pStyle w:val="BodyText"/>
              <w:rPr>
                <w:lang w:val="en-NZ"/>
              </w:rPr>
            </w:pPr>
            <w:r w:rsidRPr="00C67AFA">
              <w:t>Vapour cycle air conditioning system faults are located and the causes of the faults are clearly identified an</w:t>
            </w:r>
            <w:r w:rsidRPr="00C67AFA">
              <w:t>d correctly recorded in maintenance documentation, where required</w:t>
            </w:r>
          </w:p>
        </w:tc>
      </w:tr>
      <w:tr w:rsidTr="00C67AFA">
        <w:tblPrEx>
          <w:tblW w:w="9360" w:type="dxa"/>
          <w:tblLayout w:type="fixed"/>
          <w:tblCellMar>
            <w:left w:w="62" w:type="dxa"/>
            <w:right w:w="62" w:type="dxa"/>
          </w:tblCellMar>
          <w:tblLook w:val="0000"/>
        </w:tblPrEx>
        <w:tc>
          <w:tcPr>
            <w:tcW w:w="69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C67AFA">
            <w:pPr>
              <w:pStyle w:val="BodyText"/>
              <w:rPr>
                <w:lang w:val="en-NZ"/>
              </w:rPr>
            </w:pPr>
            <w:r w:rsidRPr="00C67AFA">
              <w:t>3.5</w:t>
            </w:r>
          </w:p>
        </w:tc>
        <w:tc>
          <w:tcPr>
            <w:tcW w:w="5670" w:type="dxa"/>
            <w:tcBorders>
              <w:top w:val="nil"/>
              <w:left w:val="nil"/>
              <w:bottom w:val="nil"/>
              <w:right w:val="nil"/>
            </w:tcBorders>
            <w:tcMar>
              <w:top w:w="0" w:type="dxa"/>
              <w:left w:w="62" w:type="dxa"/>
              <w:bottom w:w="0" w:type="dxa"/>
              <w:right w:w="62" w:type="dxa"/>
            </w:tcMar>
          </w:tcPr>
          <w:p w:rsidR="00000000" w:rsidP="00C67AFA">
            <w:pPr>
              <w:pStyle w:val="BodyText"/>
              <w:rPr>
                <w:lang w:val="en-NZ"/>
              </w:rPr>
            </w:pPr>
            <w:r w:rsidRPr="00C67AFA">
              <w:t>Fault rectification requirements are determined to assist in planning the repair</w:t>
            </w:r>
          </w:p>
        </w:tc>
      </w:tr>
      <w:tr w:rsidTr="00C67AFA">
        <w:tblPrEx>
          <w:tblW w:w="9360" w:type="dxa"/>
          <w:tblLayout w:type="fixed"/>
          <w:tblCellMar>
            <w:left w:w="62" w:type="dxa"/>
            <w:right w:w="62" w:type="dxa"/>
          </w:tblCellMar>
          <w:tblLook w:val="0000"/>
        </w:tblPrEx>
        <w:tc>
          <w:tcPr>
            <w:tcW w:w="698" w:type="dxa"/>
            <w:tcBorders>
              <w:top w:val="nil"/>
              <w:left w:val="nil"/>
              <w:bottom w:val="nil"/>
              <w:right w:val="nil"/>
            </w:tcBorders>
            <w:tcMar>
              <w:top w:w="0" w:type="dxa"/>
              <w:left w:w="62" w:type="dxa"/>
              <w:bottom w:w="0" w:type="dxa"/>
              <w:right w:w="62" w:type="dxa"/>
            </w:tcMar>
          </w:tcPr>
          <w:p w:rsidR="00000000" w:rsidP="00C67AFA">
            <w:pPr>
              <w:pStyle w:val="BodyText"/>
              <w:rPr>
                <w:lang w:val="en-NZ"/>
              </w:rPr>
            </w:pPr>
            <w:r w:rsidRPr="00C67AFA">
              <w:t>4.</w:t>
            </w:r>
          </w:p>
        </w:tc>
        <w:tc>
          <w:tcPr>
            <w:tcW w:w="2182" w:type="dxa"/>
            <w:tcBorders>
              <w:top w:val="nil"/>
              <w:left w:val="nil"/>
              <w:bottom w:val="nil"/>
              <w:right w:val="nil"/>
            </w:tcBorders>
            <w:tcMar>
              <w:top w:w="0" w:type="dxa"/>
              <w:left w:w="62" w:type="dxa"/>
              <w:bottom w:w="0" w:type="dxa"/>
              <w:right w:w="62" w:type="dxa"/>
            </w:tcMar>
          </w:tcPr>
          <w:p w:rsidR="00000000" w:rsidP="00C67AFA">
            <w:pPr>
              <w:pStyle w:val="BodyText"/>
              <w:rPr>
                <w:lang w:val="en-NZ"/>
              </w:rPr>
            </w:pPr>
            <w:r w:rsidRPr="00C67AFA">
              <w:t xml:space="preserve">Remove vapour cycle air </w:t>
            </w:r>
            <w:r w:rsidRPr="00C67AFA">
              <w:t>conditioning system components</w:t>
            </w:r>
          </w:p>
        </w:tc>
        <w:tc>
          <w:tcPr>
            <w:tcW w:w="810" w:type="dxa"/>
            <w:tcBorders>
              <w:top w:val="nil"/>
              <w:left w:val="nil"/>
              <w:bottom w:val="nil"/>
              <w:right w:val="nil"/>
            </w:tcBorders>
            <w:tcMar>
              <w:top w:w="0" w:type="dxa"/>
              <w:left w:w="62" w:type="dxa"/>
              <w:bottom w:w="0" w:type="dxa"/>
              <w:right w:w="62" w:type="dxa"/>
            </w:tcMar>
          </w:tcPr>
          <w:p w:rsidR="00000000" w:rsidP="00C67AFA">
            <w:pPr>
              <w:pStyle w:val="BodyText"/>
              <w:rPr>
                <w:lang w:val="en-NZ"/>
              </w:rPr>
            </w:pPr>
            <w:r w:rsidRPr="00C67AFA">
              <w:t>4.1</w:t>
            </w:r>
          </w:p>
        </w:tc>
        <w:tc>
          <w:tcPr>
            <w:tcW w:w="5670" w:type="dxa"/>
            <w:tcBorders>
              <w:top w:val="nil"/>
              <w:left w:val="nil"/>
              <w:bottom w:val="nil"/>
              <w:right w:val="nil"/>
            </w:tcBorders>
            <w:tcMar>
              <w:top w:w="0" w:type="dxa"/>
              <w:left w:w="62" w:type="dxa"/>
              <w:bottom w:w="0" w:type="dxa"/>
              <w:right w:w="62" w:type="dxa"/>
            </w:tcMar>
          </w:tcPr>
          <w:p w:rsidR="00000000" w:rsidP="00C67AFA">
            <w:pPr>
              <w:pStyle w:val="BodyText"/>
              <w:rPr>
                <w:lang w:val="en-NZ"/>
              </w:rPr>
            </w:pPr>
            <w:r w:rsidRPr="00C67AFA">
              <w:t xml:space="preserve">Aircraft and vapour cycle air conditioning system is rendered safe in accordance with the applicable </w:t>
            </w:r>
            <w:r w:rsidRPr="00C67AFA">
              <w:t>maintenance manual and isolation tags are fitted, where necessary, to ensure the safety of personnel and freedom from damage during component removal</w:t>
            </w:r>
          </w:p>
        </w:tc>
      </w:tr>
      <w:tr w:rsidTr="00C67AFA">
        <w:tblPrEx>
          <w:tblW w:w="9360" w:type="dxa"/>
          <w:tblLayout w:type="fixed"/>
          <w:tblCellMar>
            <w:left w:w="62" w:type="dxa"/>
            <w:right w:w="62" w:type="dxa"/>
          </w:tblCellMar>
          <w:tblLook w:val="0000"/>
        </w:tblPrEx>
        <w:tc>
          <w:tcPr>
            <w:tcW w:w="69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C67AFA">
            <w:pPr>
              <w:pStyle w:val="BodyText"/>
              <w:rPr>
                <w:lang w:val="en-NZ"/>
              </w:rPr>
            </w:pPr>
            <w:r w:rsidRPr="00C67AFA">
              <w:t>4.</w:t>
            </w:r>
            <w:r w:rsidRPr="00C67AFA">
              <w:t>2</w:t>
            </w:r>
          </w:p>
        </w:tc>
        <w:tc>
          <w:tcPr>
            <w:tcW w:w="5670" w:type="dxa"/>
            <w:tcBorders>
              <w:top w:val="nil"/>
              <w:left w:val="nil"/>
              <w:bottom w:val="nil"/>
              <w:right w:val="nil"/>
            </w:tcBorders>
            <w:tcMar>
              <w:top w:w="0" w:type="dxa"/>
              <w:left w:w="62" w:type="dxa"/>
              <w:bottom w:w="0" w:type="dxa"/>
              <w:right w:w="62" w:type="dxa"/>
            </w:tcMar>
          </w:tcPr>
          <w:p w:rsidR="00000000" w:rsidP="00C67AFA">
            <w:pPr>
              <w:pStyle w:val="BodyText"/>
              <w:rPr>
                <w:lang w:val="en-NZ"/>
              </w:rPr>
            </w:pPr>
            <w:r w:rsidRPr="00C67AFA">
              <w:t>Where refrigerant evacuation is necessary, evacuation is performed in accordance with regulatory requirements and maintenance manual procedures</w:t>
            </w:r>
          </w:p>
        </w:tc>
      </w:tr>
      <w:tr w:rsidTr="00C67AFA">
        <w:tblPrEx>
          <w:tblW w:w="9360" w:type="dxa"/>
          <w:tblLayout w:type="fixed"/>
          <w:tblCellMar>
            <w:left w:w="62" w:type="dxa"/>
            <w:right w:w="62" w:type="dxa"/>
          </w:tblCellMar>
          <w:tblLook w:val="0000"/>
        </w:tblPrEx>
        <w:tc>
          <w:tcPr>
            <w:tcW w:w="69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C67AFA">
            <w:pPr>
              <w:pStyle w:val="BodyText"/>
              <w:rPr>
                <w:lang w:val="en-NZ"/>
              </w:rPr>
            </w:pPr>
            <w:r w:rsidRPr="00C67AFA">
              <w:t>4.3</w:t>
            </w:r>
          </w:p>
        </w:tc>
        <w:tc>
          <w:tcPr>
            <w:tcW w:w="5670" w:type="dxa"/>
            <w:tcBorders>
              <w:top w:val="nil"/>
              <w:left w:val="nil"/>
              <w:bottom w:val="nil"/>
              <w:right w:val="nil"/>
            </w:tcBorders>
            <w:tcMar>
              <w:top w:w="0" w:type="dxa"/>
              <w:left w:w="62" w:type="dxa"/>
              <w:bottom w:w="0" w:type="dxa"/>
              <w:right w:w="62" w:type="dxa"/>
            </w:tcMar>
          </w:tcPr>
          <w:p w:rsidR="00000000" w:rsidP="00C67AFA">
            <w:pPr>
              <w:pStyle w:val="BodyText"/>
              <w:rPr>
                <w:lang w:val="en-NZ"/>
              </w:rPr>
            </w:pPr>
            <w:r w:rsidRPr="00C67AFA">
              <w:t>Component removal is carried out in accordance with the applicable maintenance manual while observing a</w:t>
            </w:r>
            <w:r w:rsidRPr="00C67AFA">
              <w:t>ll relevant WHS requirements, including the use of MSDS and items of PPE</w:t>
            </w:r>
          </w:p>
        </w:tc>
      </w:tr>
      <w:tr w:rsidTr="00C67AFA">
        <w:tblPrEx>
          <w:tblW w:w="9360" w:type="dxa"/>
          <w:tblLayout w:type="fixed"/>
          <w:tblCellMar>
            <w:left w:w="62" w:type="dxa"/>
            <w:right w:w="62" w:type="dxa"/>
          </w:tblCellMar>
          <w:tblLook w:val="0000"/>
        </w:tblPrEx>
        <w:tc>
          <w:tcPr>
            <w:tcW w:w="69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C67AFA">
            <w:pPr>
              <w:pStyle w:val="BodyText"/>
              <w:rPr>
                <w:lang w:val="en-NZ"/>
              </w:rPr>
            </w:pPr>
            <w:r w:rsidRPr="00C67AFA">
              <w:t>4.4</w:t>
            </w:r>
          </w:p>
        </w:tc>
        <w:tc>
          <w:tcPr>
            <w:tcW w:w="5670" w:type="dxa"/>
            <w:tcBorders>
              <w:top w:val="nil"/>
              <w:left w:val="nil"/>
              <w:bottom w:val="nil"/>
              <w:right w:val="nil"/>
            </w:tcBorders>
            <w:tcMar>
              <w:top w:w="0" w:type="dxa"/>
              <w:left w:w="62" w:type="dxa"/>
              <w:bottom w:w="0" w:type="dxa"/>
              <w:right w:w="62" w:type="dxa"/>
            </w:tcMar>
          </w:tcPr>
          <w:p w:rsidR="00000000" w:rsidP="00C67AFA">
            <w:pPr>
              <w:pStyle w:val="BodyText"/>
              <w:rPr>
                <w:lang w:val="en-NZ"/>
              </w:rPr>
            </w:pPr>
            <w:r w:rsidRPr="00C67AFA">
              <w:t>Component is tagged and prepared for transport or storage in accordance with the specified procedures</w:t>
            </w:r>
          </w:p>
        </w:tc>
      </w:tr>
      <w:tr w:rsidTr="00C67AFA">
        <w:tblPrEx>
          <w:tblW w:w="9360" w:type="dxa"/>
          <w:tblLayout w:type="fixed"/>
          <w:tblCellMar>
            <w:left w:w="62" w:type="dxa"/>
            <w:right w:w="62" w:type="dxa"/>
          </w:tblCellMar>
          <w:tblLook w:val="0000"/>
        </w:tblPrEx>
        <w:tc>
          <w:tcPr>
            <w:tcW w:w="69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C67AFA">
            <w:pPr>
              <w:pStyle w:val="BodyText"/>
              <w:rPr>
                <w:lang w:val="en-NZ"/>
              </w:rPr>
            </w:pPr>
            <w:r w:rsidRPr="00C67AFA">
              <w:t>4.5</w:t>
            </w:r>
          </w:p>
        </w:tc>
        <w:tc>
          <w:tcPr>
            <w:tcW w:w="5670" w:type="dxa"/>
            <w:tcBorders>
              <w:top w:val="nil"/>
              <w:left w:val="nil"/>
              <w:bottom w:val="nil"/>
              <w:right w:val="nil"/>
            </w:tcBorders>
            <w:tcMar>
              <w:top w:w="0" w:type="dxa"/>
              <w:left w:w="62" w:type="dxa"/>
              <w:bottom w:w="0" w:type="dxa"/>
              <w:right w:w="62" w:type="dxa"/>
            </w:tcMar>
          </w:tcPr>
          <w:p w:rsidR="00000000" w:rsidP="00C67AFA">
            <w:pPr>
              <w:pStyle w:val="BodyText"/>
              <w:rPr>
                <w:lang w:val="en-NZ"/>
              </w:rPr>
            </w:pPr>
            <w:r w:rsidRPr="00C67AFA">
              <w:t>Required maintenance documentation is completed and processed in accordance with standard enterprise procedures</w:t>
            </w:r>
          </w:p>
        </w:tc>
      </w:tr>
      <w:tr w:rsidTr="00C67AFA">
        <w:tblPrEx>
          <w:tblW w:w="9360" w:type="dxa"/>
          <w:tblLayout w:type="fixed"/>
          <w:tblCellMar>
            <w:left w:w="62" w:type="dxa"/>
            <w:right w:w="62" w:type="dxa"/>
          </w:tblCellMar>
          <w:tblLook w:val="0000"/>
        </w:tblPrEx>
        <w:tc>
          <w:tcPr>
            <w:tcW w:w="698" w:type="dxa"/>
            <w:tcBorders>
              <w:top w:val="nil"/>
              <w:left w:val="nil"/>
              <w:bottom w:val="nil"/>
              <w:right w:val="nil"/>
            </w:tcBorders>
            <w:tcMar>
              <w:top w:w="0" w:type="dxa"/>
              <w:left w:w="62" w:type="dxa"/>
              <w:bottom w:w="0" w:type="dxa"/>
              <w:right w:w="62" w:type="dxa"/>
            </w:tcMar>
          </w:tcPr>
          <w:p w:rsidR="00000000" w:rsidP="00C67AFA">
            <w:pPr>
              <w:pStyle w:val="BodyText"/>
              <w:rPr>
                <w:lang w:val="en-NZ"/>
              </w:rPr>
            </w:pPr>
            <w:r w:rsidRPr="00C67AFA">
              <w:t>5.</w:t>
            </w:r>
          </w:p>
        </w:tc>
        <w:tc>
          <w:tcPr>
            <w:tcW w:w="2182" w:type="dxa"/>
            <w:tcBorders>
              <w:top w:val="nil"/>
              <w:left w:val="nil"/>
              <w:bottom w:val="nil"/>
              <w:right w:val="nil"/>
            </w:tcBorders>
            <w:tcMar>
              <w:top w:w="0" w:type="dxa"/>
              <w:left w:w="62" w:type="dxa"/>
              <w:bottom w:w="0" w:type="dxa"/>
              <w:right w:w="62" w:type="dxa"/>
            </w:tcMar>
          </w:tcPr>
          <w:p w:rsidR="00000000" w:rsidP="00C67AFA">
            <w:pPr>
              <w:pStyle w:val="BodyText"/>
              <w:rPr>
                <w:lang w:val="en-NZ"/>
              </w:rPr>
            </w:pPr>
            <w:r w:rsidRPr="00C67AFA">
              <w:t>Install vapour cycle air conditioning system components</w:t>
            </w:r>
          </w:p>
        </w:tc>
        <w:tc>
          <w:tcPr>
            <w:tcW w:w="810" w:type="dxa"/>
            <w:tcBorders>
              <w:top w:val="nil"/>
              <w:left w:val="nil"/>
              <w:bottom w:val="nil"/>
              <w:right w:val="nil"/>
            </w:tcBorders>
            <w:tcMar>
              <w:top w:w="0" w:type="dxa"/>
              <w:left w:w="62" w:type="dxa"/>
              <w:bottom w:w="0" w:type="dxa"/>
              <w:right w:w="62" w:type="dxa"/>
            </w:tcMar>
          </w:tcPr>
          <w:p w:rsidR="00000000" w:rsidP="00C67AFA">
            <w:pPr>
              <w:pStyle w:val="BodyText"/>
              <w:rPr>
                <w:lang w:val="en-NZ"/>
              </w:rPr>
            </w:pPr>
            <w:r w:rsidRPr="00C67AFA">
              <w:t>5.1</w:t>
            </w:r>
          </w:p>
        </w:tc>
        <w:tc>
          <w:tcPr>
            <w:tcW w:w="5670" w:type="dxa"/>
            <w:tcBorders>
              <w:top w:val="nil"/>
              <w:left w:val="nil"/>
              <w:bottom w:val="nil"/>
              <w:right w:val="nil"/>
            </w:tcBorders>
            <w:tcMar>
              <w:top w:w="0" w:type="dxa"/>
              <w:left w:w="62" w:type="dxa"/>
              <w:bottom w:w="0" w:type="dxa"/>
              <w:right w:w="62" w:type="dxa"/>
            </w:tcMar>
          </w:tcPr>
          <w:p w:rsidR="00000000" w:rsidP="00C67AFA">
            <w:pPr>
              <w:pStyle w:val="BodyText"/>
              <w:rPr>
                <w:lang w:val="en-NZ"/>
              </w:rPr>
            </w:pPr>
            <w:r w:rsidRPr="00C67AFA">
              <w:t>Component to be installed is checked to confirm correct part or model numbers, m</w:t>
            </w:r>
            <w:r w:rsidRPr="00C67AFA">
              <w:t>odification status and serviceability</w:t>
            </w:r>
          </w:p>
        </w:tc>
      </w:tr>
      <w:tr w:rsidTr="00C67AFA">
        <w:tblPrEx>
          <w:tblW w:w="9360" w:type="dxa"/>
          <w:tblLayout w:type="fixed"/>
          <w:tblCellMar>
            <w:left w:w="62" w:type="dxa"/>
            <w:right w:w="62" w:type="dxa"/>
          </w:tblCellMar>
          <w:tblLook w:val="0000"/>
        </w:tblPrEx>
        <w:tc>
          <w:tcPr>
            <w:tcW w:w="69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C67AFA">
            <w:pPr>
              <w:pStyle w:val="BodyText"/>
              <w:rPr>
                <w:lang w:val="en-NZ"/>
              </w:rPr>
            </w:pPr>
            <w:r w:rsidRPr="00C67AFA">
              <w:t>5.2</w:t>
            </w:r>
          </w:p>
        </w:tc>
        <w:tc>
          <w:tcPr>
            <w:tcW w:w="5670" w:type="dxa"/>
            <w:tcBorders>
              <w:top w:val="nil"/>
              <w:left w:val="nil"/>
              <w:bottom w:val="nil"/>
              <w:right w:val="nil"/>
            </w:tcBorders>
            <w:tcMar>
              <w:top w:w="0" w:type="dxa"/>
              <w:left w:w="62" w:type="dxa"/>
              <w:bottom w:w="0" w:type="dxa"/>
              <w:right w:w="62" w:type="dxa"/>
            </w:tcMar>
          </w:tcPr>
          <w:p w:rsidR="00000000" w:rsidP="00C67AFA">
            <w:pPr>
              <w:pStyle w:val="BodyText"/>
              <w:rPr>
                <w:lang w:val="en-NZ"/>
              </w:rPr>
            </w:pPr>
            <w:r w:rsidRPr="00C67AFA">
              <w:t>Installation is carried out in accordance with the applicable maintenance manual while observing all relevant WHS requirements, including the use of MSDS and items of PPE</w:t>
            </w:r>
          </w:p>
        </w:tc>
      </w:tr>
      <w:tr w:rsidTr="00C67AFA">
        <w:tblPrEx>
          <w:tblW w:w="9360" w:type="dxa"/>
          <w:tblLayout w:type="fixed"/>
          <w:tblCellMar>
            <w:left w:w="62" w:type="dxa"/>
            <w:right w:w="62" w:type="dxa"/>
          </w:tblCellMar>
          <w:tblLook w:val="0000"/>
        </w:tblPrEx>
        <w:tc>
          <w:tcPr>
            <w:tcW w:w="69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C67AFA">
            <w:pPr>
              <w:pStyle w:val="BodyText"/>
              <w:rPr>
                <w:lang w:val="en-NZ"/>
              </w:rPr>
            </w:pPr>
            <w:r w:rsidRPr="00C67AFA">
              <w:t>5.3</w:t>
            </w:r>
          </w:p>
        </w:tc>
        <w:tc>
          <w:tcPr>
            <w:tcW w:w="5670" w:type="dxa"/>
            <w:tcBorders>
              <w:top w:val="nil"/>
              <w:left w:val="nil"/>
              <w:bottom w:val="nil"/>
              <w:right w:val="nil"/>
            </w:tcBorders>
            <w:tcMar>
              <w:top w:w="0" w:type="dxa"/>
              <w:left w:w="62" w:type="dxa"/>
              <w:bottom w:w="0" w:type="dxa"/>
              <w:right w:w="62" w:type="dxa"/>
            </w:tcMar>
          </w:tcPr>
          <w:p w:rsidR="00000000" w:rsidP="00C67AFA">
            <w:pPr>
              <w:pStyle w:val="BodyText"/>
              <w:rPr>
                <w:lang w:val="en-NZ"/>
              </w:rPr>
            </w:pPr>
            <w:r w:rsidRPr="00C67AFA">
              <w:t>Vapour cycle air conditioning sys</w:t>
            </w:r>
            <w:r w:rsidRPr="00C67AFA">
              <w:t>tem is recharged with refrigerant, where necessary, in accordance with maintenance manual procedures and regulatory requirements</w:t>
            </w:r>
          </w:p>
        </w:tc>
      </w:tr>
      <w:tr w:rsidTr="00C67AFA">
        <w:tblPrEx>
          <w:tblW w:w="9360" w:type="dxa"/>
          <w:tblLayout w:type="fixed"/>
          <w:tblCellMar>
            <w:left w:w="62" w:type="dxa"/>
            <w:right w:w="62" w:type="dxa"/>
          </w:tblCellMar>
          <w:tblLook w:val="0000"/>
        </w:tblPrEx>
        <w:tc>
          <w:tcPr>
            <w:tcW w:w="69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C67AFA">
            <w:pPr>
              <w:pStyle w:val="BodyText"/>
              <w:rPr>
                <w:lang w:val="en-NZ"/>
              </w:rPr>
            </w:pPr>
            <w:r w:rsidRPr="00C67AFA">
              <w:t>5.4</w:t>
            </w:r>
          </w:p>
        </w:tc>
        <w:tc>
          <w:tcPr>
            <w:tcW w:w="5670" w:type="dxa"/>
            <w:tcBorders>
              <w:top w:val="nil"/>
              <w:left w:val="nil"/>
              <w:bottom w:val="nil"/>
              <w:right w:val="nil"/>
            </w:tcBorders>
            <w:tcMar>
              <w:top w:w="0" w:type="dxa"/>
              <w:left w:w="62" w:type="dxa"/>
              <w:bottom w:w="0" w:type="dxa"/>
              <w:right w:w="62" w:type="dxa"/>
            </w:tcMar>
          </w:tcPr>
          <w:p w:rsidR="00000000" w:rsidP="00C67AFA">
            <w:pPr>
              <w:pStyle w:val="BodyText"/>
              <w:rPr>
                <w:lang w:val="en-NZ"/>
              </w:rPr>
            </w:pPr>
            <w:r w:rsidRPr="00C67AFA">
              <w:t>Vapour cycle air conditioning system is tested for correct function and freedom from refrigerant leaks if system recharg</w:t>
            </w:r>
            <w:r w:rsidRPr="00C67AFA">
              <w:t>ing has been performed</w:t>
            </w:r>
          </w:p>
        </w:tc>
      </w:tr>
      <w:tr w:rsidTr="00C67AFA">
        <w:tblPrEx>
          <w:tblW w:w="9360" w:type="dxa"/>
          <w:tblLayout w:type="fixed"/>
          <w:tblCellMar>
            <w:left w:w="62" w:type="dxa"/>
            <w:right w:w="62" w:type="dxa"/>
          </w:tblCellMar>
          <w:tblLook w:val="0000"/>
        </w:tblPrEx>
        <w:tc>
          <w:tcPr>
            <w:tcW w:w="69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C67AFA">
            <w:pPr>
              <w:pStyle w:val="BodyText"/>
              <w:rPr>
                <w:lang w:val="en-NZ"/>
              </w:rPr>
            </w:pPr>
            <w:r w:rsidRPr="00C67AFA">
              <w:t>5.5</w:t>
            </w:r>
          </w:p>
        </w:tc>
        <w:tc>
          <w:tcPr>
            <w:tcW w:w="5670" w:type="dxa"/>
            <w:tcBorders>
              <w:top w:val="nil"/>
              <w:left w:val="nil"/>
              <w:bottom w:val="nil"/>
              <w:right w:val="nil"/>
            </w:tcBorders>
            <w:tcMar>
              <w:top w:w="0" w:type="dxa"/>
              <w:left w:w="62" w:type="dxa"/>
              <w:bottom w:w="0" w:type="dxa"/>
              <w:right w:w="62" w:type="dxa"/>
            </w:tcMar>
          </w:tcPr>
          <w:p w:rsidR="00000000" w:rsidRPr="00C67AFA" w:rsidP="00C67AFA">
            <w:pPr>
              <w:pStyle w:val="BodyText"/>
            </w:pPr>
            <w:r w:rsidRPr="00C67AFA">
              <w:t>Required maintenance documentation is completed and processed in accordance with standard enterprise procedures</w:t>
            </w:r>
          </w:p>
        </w:tc>
      </w:tr>
    </w:tbl>
    <w:p w:rsidR="00000000" w:rsidRPr="00C67AFA" w:rsidP="00C67AFA">
      <w:pPr>
        <w:pStyle w:val="BodyText"/>
      </w:pPr>
    </w:p>
    <w:p w:rsidR="00000000" w:rsidRPr="00C67AFA" w:rsidP="00C67AFA">
      <w:pPr>
        <w:pStyle w:val="AllowPageBreak"/>
      </w:pPr>
    </w:p>
    <w:p w:rsidR="00000000" w:rsidRPr="00C67AFA" w:rsidP="00C67AFA">
      <w:pPr>
        <w:pStyle w:val="Heading1"/>
      </w:pPr>
      <w:bookmarkStart w:id="7" w:name="O_722375"/>
      <w:bookmarkEnd w:id="7"/>
      <w:r w:rsidRPr="00C67AFA">
        <w:t>Foundation Skills</w:t>
      </w:r>
    </w:p>
    <w:p w:rsidR="00000000" w:rsidRPr="00C67AFA" w:rsidP="0086395C">
      <w:pPr>
        <w:pStyle w:val="BodyText"/>
      </w:pPr>
      <w:r w:rsidRPr="00C67AFA">
        <w:t>Foundation skills essential to performance are explicit in the performance criteria of this unit of competency.</w:t>
      </w:r>
    </w:p>
    <w:p w:rsidR="00000000" w:rsidRPr="00C67AFA" w:rsidP="00C67AFA">
      <w:pPr>
        <w:pStyle w:val="Heading1"/>
      </w:pPr>
      <w:bookmarkStart w:id="8" w:name="O_722374"/>
      <w:bookmarkEnd w:id="8"/>
      <w:r w:rsidRPr="00C67AFA">
        <w:t>Range of Conditions</w:t>
      </w:r>
    </w:p>
    <w:tbl>
      <w:tblPr>
        <w:tblW w:w="0" w:type="auto"/>
        <w:tblLayout w:type="fixed"/>
        <w:tblCellMar>
          <w:left w:w="62" w:type="dxa"/>
          <w:right w:w="62" w:type="dxa"/>
        </w:tblCellMar>
        <w:tblLook w:val="0000"/>
      </w:tblPr>
      <w:tblGrid>
        <w:gridCol w:w="2970"/>
        <w:gridCol w:w="6102"/>
      </w:tblGrid>
      <w:tr w:rsidTr="00C67AF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67AFA">
            <w:pPr>
              <w:pStyle w:val="BodyText"/>
              <w:rPr>
                <w:lang w:val="en-NZ"/>
              </w:rPr>
            </w:pPr>
            <w:r w:rsidRPr="00C67AFA">
              <w:t>This field allows for different work environments and conditions that may affect performance. Essential ope</w:t>
            </w:r>
            <w:r w:rsidRPr="00C67AFA">
              <w:t>rating conditions that may be present (depending on the work situation, needs of the candidate, accessibility of the item, and local industry and regional contexts) are included.</w:t>
            </w:r>
          </w:p>
        </w:tc>
      </w:tr>
      <w:tr w:rsidTr="00C67AFA">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C67AFA">
            <w:pPr>
              <w:pStyle w:val="BodyText"/>
              <w:rPr>
                <w:lang w:val="en-NZ"/>
              </w:rPr>
            </w:pPr>
            <w:r w:rsidRPr="00C67AFA">
              <w:rPr>
                <w:rStyle w:val="SpecialBold"/>
              </w:rPr>
              <w:t>Vapour cycle air conditioning systems include:</w:t>
            </w:r>
          </w:p>
        </w:tc>
        <w:tc>
          <w:tcPr>
            <w:tcW w:w="6102" w:type="dxa"/>
            <w:tcBorders>
              <w:top w:val="nil"/>
              <w:left w:val="nil"/>
              <w:bottom w:val="nil"/>
              <w:right w:val="nil"/>
            </w:tcBorders>
            <w:tcMar>
              <w:top w:w="0" w:type="dxa"/>
              <w:left w:w="62" w:type="dxa"/>
              <w:bottom w:w="0" w:type="dxa"/>
              <w:right w:w="62" w:type="dxa"/>
            </w:tcMar>
          </w:tcPr>
          <w:p w:rsidR="00000000" w:rsidRPr="00C67AFA" w:rsidP="00C67AFA">
            <w:pPr>
              <w:pStyle w:val="ListBullet"/>
            </w:pPr>
            <w:r w:rsidRPr="00C67AFA">
              <w:t>Refrigeration system compressor, condenser, receiver dryer, thermal expansion valve and evaporator</w:t>
            </w:r>
          </w:p>
          <w:p w:rsidR="00000000" w:rsidRPr="00C67AFA" w:rsidP="00C67AFA">
            <w:pPr>
              <w:pStyle w:val="ListBullet"/>
            </w:pPr>
            <w:r w:rsidRPr="00C67AFA">
              <w:t>Magnetic clutch and drive system (belt, power take-off, electric motor, hydraulic motor or pneumatic as applicable)</w:t>
            </w:r>
          </w:p>
          <w:p w:rsidR="00000000" w:rsidRPr="00C67AFA" w:rsidP="00C67AFA">
            <w:pPr>
              <w:pStyle w:val="ListBullet"/>
            </w:pPr>
            <w:r w:rsidRPr="00C67AFA">
              <w:t>Condenser extension and retraction system</w:t>
            </w:r>
          </w:p>
          <w:p w:rsidR="00000000" w:rsidRPr="00C67AFA" w:rsidP="00C67AFA">
            <w:pPr>
              <w:pStyle w:val="ListBullet"/>
            </w:pPr>
            <w:r w:rsidRPr="00C67AFA">
              <w:t>Blower</w:t>
            </w:r>
          </w:p>
          <w:p w:rsidR="00000000" w:rsidRPr="00C67AFA" w:rsidP="00C67AFA">
            <w:pPr>
              <w:pStyle w:val="ListBullet"/>
            </w:pPr>
            <w:r w:rsidRPr="00C67AFA">
              <w:t>Throttle system shutoff</w:t>
            </w:r>
          </w:p>
          <w:p w:rsidR="00000000" w:rsidP="00C67AFA">
            <w:pPr>
              <w:pStyle w:val="ListBullet"/>
              <w:rPr>
                <w:lang w:val="en-NZ"/>
              </w:rPr>
            </w:pPr>
            <w:r w:rsidRPr="00C67AFA">
              <w:t>Temperature control system</w:t>
            </w:r>
          </w:p>
        </w:tc>
      </w:tr>
      <w:tr w:rsidTr="00C67AFA">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C67AFA">
            <w:pPr>
              <w:pStyle w:val="BodyText"/>
              <w:rPr>
                <w:lang w:val="en-NZ"/>
              </w:rPr>
            </w:pPr>
            <w:r w:rsidRPr="00C67AFA">
              <w:rPr>
                <w:rStyle w:val="SpecialBold"/>
              </w:rPr>
              <w:t>Procedures and requirements include:</w:t>
            </w:r>
          </w:p>
        </w:tc>
        <w:tc>
          <w:tcPr>
            <w:tcW w:w="6102" w:type="dxa"/>
            <w:tcBorders>
              <w:top w:val="nil"/>
              <w:left w:val="nil"/>
              <w:bottom w:val="nil"/>
              <w:right w:val="nil"/>
            </w:tcBorders>
            <w:tcMar>
              <w:top w:w="0" w:type="dxa"/>
              <w:left w:w="62" w:type="dxa"/>
              <w:bottom w:w="0" w:type="dxa"/>
              <w:right w:w="62" w:type="dxa"/>
            </w:tcMar>
          </w:tcPr>
          <w:p w:rsidR="00000000" w:rsidRPr="00C67AFA" w:rsidP="00C67AFA">
            <w:pPr>
              <w:pStyle w:val="ListBullet"/>
            </w:pPr>
            <w:r w:rsidRPr="00C67AFA">
              <w:t>Industry standard procedures specified by manufacturers, regulatory authorities or the enterprise</w:t>
            </w:r>
          </w:p>
        </w:tc>
      </w:tr>
    </w:tbl>
    <w:p w:rsidR="00000000" w:rsidRPr="00C67AFA" w:rsidP="00C67AFA">
      <w:pPr>
        <w:pStyle w:val="BodyText"/>
      </w:pPr>
    </w:p>
    <w:p w:rsidR="00000000" w:rsidRPr="00C67AFA" w:rsidP="00C67AFA">
      <w:pPr>
        <w:pStyle w:val="AllowPageBreak"/>
      </w:pPr>
    </w:p>
    <w:p w:rsidR="00000000" w:rsidRPr="00C67AFA" w:rsidP="00C67AFA">
      <w:pPr>
        <w:pStyle w:val="Heading1"/>
      </w:pPr>
      <w:bookmarkStart w:id="9" w:name="O_722373"/>
      <w:bookmarkEnd w:id="9"/>
      <w:r w:rsidRPr="00C67AFA">
        <w:t>Unit Mapping Information</w:t>
      </w:r>
    </w:p>
    <w:p w:rsidR="00000000" w:rsidRPr="00C67AFA" w:rsidP="0086395C">
      <w:pPr>
        <w:pStyle w:val="BodyText"/>
      </w:pPr>
      <w:r w:rsidRPr="00C67AFA">
        <w:t>Release 1 –</w:t>
      </w:r>
      <w:r w:rsidRPr="00C67AFA">
        <w:t xml:space="preserve"> equivalent to MEA362A Maintain aircraft vapour cycle air conditioning systems</w:t>
      </w:r>
    </w:p>
    <w:p w:rsidR="00000000" w:rsidRPr="00C67AFA" w:rsidP="00C67AFA">
      <w:pPr>
        <w:pStyle w:val="Heading1"/>
      </w:pPr>
      <w:bookmarkStart w:id="10" w:name="O_722366"/>
      <w:bookmarkEnd w:id="10"/>
      <w:r w:rsidRPr="00C67AFA">
        <w:t>Links</w:t>
      </w:r>
    </w:p>
    <w:p w:rsidR="00000000" w:rsidRPr="00C67AFA" w:rsidP="0086395C">
      <w:pPr>
        <w:pStyle w:val="BodyText"/>
      </w:pPr>
      <w:r w:rsidRPr="00C67AFA">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6A0878">
        <w:rPr>
          <w:rStyle w:val="Hyperlink"/>
        </w:rPr>
        <w:t>https://vetnet.gov.au/Pages/TrainingDocs.aspx?q=ce216c9c-04d5-4b3b-9bcf-4e81d0950371</w:t>
      </w:r>
      <w:r>
        <w:fldChar w:fldCharType="end"/>
      </w:r>
    </w:p>
    <w:p w:rsidR="00000000" w:rsidRPr="00C67AFA" w:rsidP="0086395C">
      <w:pPr>
        <w:pStyle w:val="BodyText"/>
        <w:sectPr w:rsidSect="00C67AFA">
          <w:headerReference w:type="default" r:id="rId10"/>
          <w:footerReference w:type="default" r:id="rId11"/>
          <w:pgSz w:w="11908" w:h="16833"/>
          <w:pgMar w:top="1702" w:right="1418" w:bottom="1702" w:left="1418" w:header="992" w:footer="992" w:gutter="0"/>
          <w:cols w:space="720"/>
          <w:noEndnote/>
          <w:docGrid w:linePitch="299"/>
        </w:sectPr>
      </w:pPr>
    </w:p>
    <w:p w:rsidR="00000000" w:rsidRPr="00C67AFA" w:rsidP="00C67AFA">
      <w:pPr>
        <w:pStyle w:val="SuperHeading"/>
      </w:pPr>
      <w:r w:rsidRPr="00C67AFA">
        <w:t>Assessment Requirements for MEA362 Maintain aircraft vapour cycle air conditioning systems</w:t>
      </w:r>
    </w:p>
    <w:p w:rsidR="00000000" w:rsidRPr="00C67AFA" w:rsidP="00C67AFA">
      <w:pPr>
        <w:pStyle w:val="Heading1"/>
      </w:pPr>
      <w:bookmarkStart w:id="11" w:name="O_722368"/>
      <w:bookmarkEnd w:id="11"/>
      <w:r w:rsidRPr="00C67AFA">
        <w:t>Modification History</w:t>
      </w:r>
    </w:p>
    <w:p w:rsidR="00000000" w:rsidRPr="00C67AFA" w:rsidP="0086395C">
      <w:pPr>
        <w:pStyle w:val="BodyText"/>
      </w:pPr>
      <w:r w:rsidRPr="00C67AFA">
        <w:t>Release 1 - New unit of competency</w:t>
      </w:r>
    </w:p>
    <w:p w:rsidR="00000000" w:rsidRPr="00C67AFA" w:rsidP="00C67AFA">
      <w:pPr>
        <w:pStyle w:val="Heading1"/>
      </w:pPr>
      <w:bookmarkStart w:id="12" w:name="O_722371"/>
      <w:bookmarkEnd w:id="12"/>
      <w:r w:rsidRPr="00C67AFA">
        <w:t>Performance Evidence</w:t>
      </w:r>
    </w:p>
    <w:p w:rsidR="00000000" w:rsidRPr="00C67AFA" w:rsidP="0086395C">
      <w:pPr>
        <w:pStyle w:val="BodyText"/>
      </w:pPr>
      <w:r w:rsidRPr="00C67AFA">
        <w:t>Evidence required to demonstrate competency in this unit must be relevant to and satisfy all of the requirements of the elements and performance criteria under the specified conditions of assessment, and must include:</w:t>
      </w:r>
    </w:p>
    <w:p w:rsidR="00000000" w:rsidRPr="00C67AFA" w:rsidP="00C67AFA">
      <w:pPr>
        <w:pStyle w:val="ListBullet"/>
      </w:pPr>
      <w:r w:rsidRPr="00C67AFA">
        <w:t>applying relevant WHS procedures, inc</w:t>
      </w:r>
      <w:r w:rsidRPr="00C67AFA">
        <w:t>luding the selection and use of applicable PPE and MSDS</w:t>
      </w:r>
    </w:p>
    <w:p w:rsidR="00000000" w:rsidRPr="00C67AFA" w:rsidP="00C67AFA">
      <w:pPr>
        <w:pStyle w:val="ListBullet"/>
      </w:pPr>
      <w:r w:rsidRPr="00C67AFA">
        <w:t>complying with regulatory requirements regarding the de-gassing of vapour cycle air conditioning systems</w:t>
      </w:r>
    </w:p>
    <w:p w:rsidR="00000000" w:rsidRPr="00C67AFA" w:rsidP="00C67AFA">
      <w:pPr>
        <w:pStyle w:val="ListBullet"/>
      </w:pPr>
      <w:r w:rsidRPr="00C67AFA">
        <w:t>using relevant maintenance documentation and aircraft manuals</w:t>
      </w:r>
    </w:p>
    <w:p w:rsidR="00000000" w:rsidRPr="00C67AFA" w:rsidP="00C67AFA">
      <w:pPr>
        <w:pStyle w:val="ListBullet"/>
      </w:pPr>
      <w:r w:rsidRPr="00C67AFA">
        <w:t>recognising external and internal</w:t>
      </w:r>
      <w:r w:rsidRPr="00C67AFA">
        <w:t xml:space="preserve"> signs of defects in vapour cycle air conditioning systems and system components through visual/physical inspection</w:t>
      </w:r>
    </w:p>
    <w:p w:rsidR="00000000" w:rsidRPr="00C67AFA" w:rsidP="00C67AFA">
      <w:pPr>
        <w:pStyle w:val="ListBullet"/>
      </w:pPr>
      <w:r w:rsidRPr="00C67AFA">
        <w:t>testing of vapour cycle air conditioning system operation, be able to operate systems and leak testing equipment, monitor indications and re</w:t>
      </w:r>
      <w:r w:rsidRPr="00C67AFA">
        <w:t>cognise correct function</w:t>
      </w:r>
    </w:p>
    <w:p w:rsidR="00000000" w:rsidRPr="00C67AFA" w:rsidP="00C67AFA">
      <w:pPr>
        <w:pStyle w:val="ListBullet"/>
      </w:pPr>
      <w:r w:rsidRPr="00C67AFA">
        <w:t>using specialist equipment to evacuate and recharge refrigerant</w:t>
      </w:r>
    </w:p>
    <w:p w:rsidR="00000000" w:rsidRPr="00C67AFA" w:rsidP="00C67AFA">
      <w:pPr>
        <w:pStyle w:val="ListBullet"/>
      </w:pPr>
      <w:r w:rsidRPr="00C67AFA">
        <w:t xml:space="preserve">using fault diagnosis guides and equivalent data to accurately and efficiently troubleshoot the causes of unserviceabilities in vapour cycle air conditioning systems, </w:t>
      </w:r>
      <w:r w:rsidRPr="00C67AFA">
        <w:t>clearly recording details and identifying the required rectification actions</w:t>
      </w:r>
    </w:p>
    <w:p w:rsidR="00000000" w:rsidRPr="00C67AFA" w:rsidP="00C67AFA">
      <w:pPr>
        <w:pStyle w:val="ListBullet"/>
      </w:pPr>
      <w:r w:rsidRPr="00C67AFA">
        <w:t>correctly removing and installing vapour cycle air conditioning system electrical and mechanical components.</w:t>
      </w:r>
    </w:p>
    <w:p w:rsidR="00000000" w:rsidRPr="00C67AFA" w:rsidP="0086395C">
      <w:pPr>
        <w:pStyle w:val="BodyText"/>
      </w:pPr>
      <w:r w:rsidRPr="00C67AFA">
        <w:t>The underlying skills inherent in this unit should be transferable acr</w:t>
      </w:r>
      <w:r w:rsidRPr="00C67AFA">
        <w:t>oss a range of inspection, testing, troubleshooting and removal and installation tasks (including the timely involvement of supervisor or other trades) associated with vapour cycle air conditioning systems and components. It is essential that system testin</w:t>
      </w:r>
      <w:r w:rsidRPr="00C67AFA">
        <w:t>g procedures take into account all safety precautions associated with vapour cycle air conditioning system operation and testing, and that regulations relating to the evacuation and recharging of refrigerant be strictly observed. Ability to interpret inspe</w:t>
      </w:r>
      <w:r w:rsidRPr="00C67AFA">
        <w:t>ction procedures and specifications (allowable limits) and apply them in practice is critical.</w:t>
      </w:r>
    </w:p>
    <w:p w:rsidR="0086395C" w:rsidP="0086395C">
      <w:pPr>
        <w:pStyle w:val="BodyText"/>
      </w:pPr>
      <w:r w:rsidRPr="00C67AFA">
        <w:t xml:space="preserve">This shall be demonstrated through application across a number of aircraft vapour cycle air conditioning systems. </w:t>
      </w:r>
    </w:p>
    <w:p w:rsidR="00000000" w:rsidRPr="00C67AFA" w:rsidP="00C67AFA">
      <w:pPr>
        <w:pStyle w:val="Heading1"/>
      </w:pPr>
      <w:bookmarkStart w:id="13" w:name="O_722370"/>
      <w:bookmarkEnd w:id="13"/>
      <w:r w:rsidRPr="00C67AFA">
        <w:t>Knowledge Evidence</w:t>
      </w:r>
    </w:p>
    <w:p w:rsidR="00000000" w:rsidRPr="00C67AFA" w:rsidP="0086395C">
      <w:pPr>
        <w:pStyle w:val="BodyText"/>
      </w:pPr>
      <w:r w:rsidRPr="00C67AFA">
        <w:t>Evidence required to demonstrate competency in this unit must be relevant to and satisfy all of the requirements of the elements and performance criteria and include knowledge of:</w:t>
      </w:r>
    </w:p>
    <w:p w:rsidR="00000000" w:rsidRPr="00C67AFA" w:rsidP="00C67AFA">
      <w:pPr>
        <w:pStyle w:val="ListBullet"/>
      </w:pPr>
      <w:r w:rsidRPr="00C67AFA">
        <w:t>WHS procedures associated with vapour cycle air conditioning system mainten</w:t>
      </w:r>
      <w:r w:rsidRPr="00C67AFA">
        <w:t>ance, including the selection and use of PPE</w:t>
      </w:r>
    </w:p>
    <w:p w:rsidR="00000000" w:rsidRPr="00C67AFA" w:rsidP="00C67AFA">
      <w:pPr>
        <w:pStyle w:val="ListBullet"/>
      </w:pPr>
      <w:r w:rsidRPr="00C67AFA">
        <w:t>how to obtain applicable MSDS</w:t>
      </w:r>
    </w:p>
    <w:p w:rsidR="00000000" w:rsidRPr="00C67AFA" w:rsidP="00C67AFA">
      <w:pPr>
        <w:pStyle w:val="ListBullet"/>
      </w:pPr>
      <w:r w:rsidRPr="00C67AFA">
        <w:t>regulations applying to the evacuation and recharging of refrigerant</w:t>
      </w:r>
    </w:p>
    <w:p w:rsidR="00000000" w:rsidRPr="00C67AFA" w:rsidP="00C67AFA">
      <w:pPr>
        <w:pStyle w:val="ListBullet"/>
      </w:pPr>
      <w:r w:rsidRPr="00C67AFA">
        <w:t>fault diagnosis techniques</w:t>
      </w:r>
    </w:p>
    <w:p w:rsidR="00000000" w:rsidRPr="00C67AFA" w:rsidP="00C67AFA">
      <w:pPr>
        <w:pStyle w:val="ListBullet"/>
      </w:pPr>
      <w:r w:rsidRPr="00C67AFA">
        <w:t>vapour cycle air conditioning system layout and operation</w:t>
      </w:r>
    </w:p>
    <w:p w:rsidR="00000000" w:rsidRPr="00C67AFA" w:rsidP="00C67AFA">
      <w:pPr>
        <w:pStyle w:val="ListBullet"/>
      </w:pPr>
      <w:r w:rsidRPr="00C67AFA">
        <w:t>vapour cycle air conditioni</w:t>
      </w:r>
      <w:r w:rsidRPr="00C67AFA">
        <w:t>ng system electrical and mechanical component operation:</w:t>
      </w:r>
    </w:p>
    <w:p w:rsidR="00000000" w:rsidRPr="00C67AFA" w:rsidP="00C67AFA">
      <w:pPr>
        <w:pStyle w:val="ListBullet2"/>
      </w:pPr>
      <w:r w:rsidRPr="00C67AFA">
        <w:t>compressor</w:t>
      </w:r>
    </w:p>
    <w:p w:rsidR="00000000" w:rsidRPr="00C67AFA" w:rsidP="00C67AFA">
      <w:pPr>
        <w:pStyle w:val="ListBullet2"/>
      </w:pPr>
      <w:r w:rsidRPr="00C67AFA">
        <w:t>condenser</w:t>
      </w:r>
    </w:p>
    <w:p w:rsidR="00000000" w:rsidRPr="00C67AFA" w:rsidP="00C67AFA">
      <w:pPr>
        <w:pStyle w:val="ListBullet2"/>
      </w:pPr>
      <w:r w:rsidRPr="00C67AFA">
        <w:t>receiver dryer</w:t>
      </w:r>
    </w:p>
    <w:p w:rsidR="00000000" w:rsidRPr="00C67AFA" w:rsidP="00C67AFA">
      <w:pPr>
        <w:pStyle w:val="ListBullet2"/>
      </w:pPr>
      <w:r w:rsidRPr="00C67AFA">
        <w:t>thermal expansion valve</w:t>
      </w:r>
    </w:p>
    <w:p w:rsidR="00000000" w:rsidRPr="00C67AFA" w:rsidP="00C67AFA">
      <w:pPr>
        <w:pStyle w:val="ListBullet2"/>
      </w:pPr>
      <w:r w:rsidRPr="00C67AFA">
        <w:t>evaporator</w:t>
      </w:r>
    </w:p>
    <w:p w:rsidR="00000000" w:rsidRPr="00C67AFA" w:rsidP="00C67AFA">
      <w:pPr>
        <w:pStyle w:val="ListBullet2"/>
      </w:pPr>
      <w:r w:rsidRPr="00C67AFA">
        <w:t>magnetic clutch and drive system:</w:t>
      </w:r>
    </w:p>
    <w:p w:rsidR="00000000" w:rsidRPr="00C67AFA" w:rsidP="00C67AFA">
      <w:pPr>
        <w:pStyle w:val="ListBullet3"/>
      </w:pPr>
      <w:r w:rsidRPr="00C67AFA">
        <w:t>belt</w:t>
      </w:r>
    </w:p>
    <w:p w:rsidR="00000000" w:rsidRPr="00C67AFA" w:rsidP="00C67AFA">
      <w:pPr>
        <w:pStyle w:val="ListBullet3"/>
      </w:pPr>
      <w:r w:rsidRPr="00C67AFA">
        <w:t>power takeoff</w:t>
      </w:r>
    </w:p>
    <w:p w:rsidR="00000000" w:rsidRPr="00C67AFA" w:rsidP="00C67AFA">
      <w:pPr>
        <w:pStyle w:val="ListBullet3"/>
      </w:pPr>
      <w:r w:rsidRPr="00C67AFA">
        <w:t>electric motor</w:t>
      </w:r>
    </w:p>
    <w:p w:rsidR="00000000" w:rsidRPr="00C67AFA" w:rsidP="00C67AFA">
      <w:pPr>
        <w:pStyle w:val="ListBullet3"/>
      </w:pPr>
      <w:r w:rsidRPr="00C67AFA">
        <w:t>hydraulic motor</w:t>
      </w:r>
    </w:p>
    <w:p w:rsidR="00000000" w:rsidRPr="00C67AFA" w:rsidP="00C67AFA">
      <w:pPr>
        <w:pStyle w:val="ListBullet3"/>
      </w:pPr>
      <w:r w:rsidRPr="00C67AFA">
        <w:t>pneumatic</w:t>
      </w:r>
    </w:p>
    <w:p w:rsidR="00000000" w:rsidRPr="00C67AFA" w:rsidP="00C67AFA">
      <w:pPr>
        <w:pStyle w:val="ListBullet2"/>
      </w:pPr>
      <w:r w:rsidRPr="00C67AFA">
        <w:t>condenser extension and retraction system</w:t>
      </w:r>
    </w:p>
    <w:p w:rsidR="00000000" w:rsidRPr="00C67AFA" w:rsidP="00C67AFA">
      <w:pPr>
        <w:pStyle w:val="ListBullet2"/>
      </w:pPr>
      <w:r w:rsidRPr="00C67AFA">
        <w:t>blower</w:t>
      </w:r>
    </w:p>
    <w:p w:rsidR="00000000" w:rsidRPr="00C67AFA" w:rsidP="00C67AFA">
      <w:pPr>
        <w:pStyle w:val="ListBullet2"/>
      </w:pPr>
      <w:r w:rsidRPr="00C67AFA">
        <w:t>throttle system shutoff</w:t>
      </w:r>
    </w:p>
    <w:p w:rsidR="00000000" w:rsidRPr="00C67AFA" w:rsidP="00C67AFA">
      <w:pPr>
        <w:pStyle w:val="ListBullet2"/>
      </w:pPr>
      <w:r w:rsidRPr="00C67AFA">
        <w:t>temperature control system</w:t>
      </w:r>
    </w:p>
    <w:p w:rsidR="00000000" w:rsidRPr="00C67AFA" w:rsidP="00C67AFA">
      <w:pPr>
        <w:pStyle w:val="ListBullet"/>
      </w:pPr>
      <w:r w:rsidRPr="00C67AFA">
        <w:t>refrigerant used in aircraft vapour cycle air conditioning systems</w:t>
      </w:r>
    </w:p>
    <w:p w:rsidR="00000000" w:rsidRPr="00C67AFA" w:rsidP="00C67AFA">
      <w:pPr>
        <w:pStyle w:val="ListBullet"/>
      </w:pPr>
      <w:r w:rsidRPr="00C67AFA">
        <w:t>lubricants used in compressors</w:t>
      </w:r>
    </w:p>
    <w:p w:rsidR="00000000" w:rsidRPr="00C67AFA" w:rsidP="00C67AFA">
      <w:pPr>
        <w:pStyle w:val="ListBullet"/>
      </w:pPr>
      <w:r w:rsidRPr="00C67AFA">
        <w:t>equipment used to test systems and evacuate and recharge refrigerant</w:t>
      </w:r>
    </w:p>
    <w:p w:rsidR="00000000" w:rsidRPr="00C67AFA" w:rsidP="00C67AFA">
      <w:pPr>
        <w:pStyle w:val="ListBullet"/>
      </w:pPr>
      <w:r w:rsidRPr="00C67AFA">
        <w:t>procedures for evacuating and recharging system refrigerant</w:t>
      </w:r>
    </w:p>
    <w:p w:rsidR="00000000" w:rsidRPr="00C67AFA" w:rsidP="00C67AFA">
      <w:pPr>
        <w:pStyle w:val="ListBullet"/>
      </w:pPr>
      <w:r w:rsidRPr="00C67AFA">
        <w:t>refrigerant leak testing techniques and equipment</w:t>
      </w:r>
    </w:p>
    <w:p w:rsidR="00000000" w:rsidRPr="00C67AFA" w:rsidP="00C67AFA">
      <w:pPr>
        <w:pStyle w:val="ListBullet"/>
      </w:pPr>
      <w:r w:rsidRPr="00C67AFA">
        <w:t xml:space="preserve">removal and installation procedures for vapour cycle air conditioning system </w:t>
      </w:r>
      <w:r w:rsidRPr="00C67AFA">
        <w:t>components</w:t>
      </w:r>
    </w:p>
    <w:p w:rsidR="00000000" w:rsidRPr="00C67AFA" w:rsidP="00C67AFA">
      <w:pPr>
        <w:pStyle w:val="ListBullet"/>
      </w:pPr>
      <w:r w:rsidRPr="00C67AFA">
        <w:t>vapour cycle air conditioning system maintenance requirements</w:t>
      </w:r>
    </w:p>
    <w:p w:rsidR="00000000" w:rsidRPr="00C67AFA" w:rsidP="00C67AFA">
      <w:pPr>
        <w:pStyle w:val="ListBullet"/>
      </w:pPr>
      <w:r w:rsidRPr="00C67AFA">
        <w:t>relevant maintenance manuals</w:t>
      </w:r>
    </w:p>
    <w:p w:rsidR="00000000" w:rsidRPr="00C67AFA" w:rsidP="00C67AFA">
      <w:pPr>
        <w:pStyle w:val="ListBullet"/>
      </w:pPr>
      <w:r w:rsidRPr="00C67AFA">
        <w:t>relevant regulatory requirements and standard procedures.</w:t>
      </w:r>
    </w:p>
    <w:p w:rsidR="00000000" w:rsidRPr="00C67AFA" w:rsidP="00C67AFA">
      <w:pPr>
        <w:pStyle w:val="AllowPageBreak"/>
      </w:pPr>
    </w:p>
    <w:p w:rsidR="00000000" w:rsidRPr="00C67AFA" w:rsidP="00C67AFA">
      <w:pPr>
        <w:pStyle w:val="Heading1"/>
      </w:pPr>
      <w:bookmarkStart w:id="14" w:name="O_722369"/>
      <w:bookmarkEnd w:id="14"/>
      <w:r w:rsidRPr="00C67AFA">
        <w:t>Assessment Conditions</w:t>
      </w:r>
    </w:p>
    <w:p w:rsidR="00000000" w:rsidRPr="00C67AFA" w:rsidP="00C67AFA">
      <w:pPr>
        <w:pStyle w:val="ListBullet"/>
      </w:pPr>
      <w:r w:rsidRPr="00C67AFA">
        <w:t>Competency should be assessed in the work environment or simulated work environment using tools and equipment specified in maintenance documentation. It is also expected that general-purpose tools and test equipment found in most routine situations would b</w:t>
      </w:r>
      <w:r w:rsidRPr="00C67AFA">
        <w:t>e used where appropriate.</w:t>
      </w:r>
    </w:p>
    <w:p w:rsidR="00000000" w:rsidRPr="00C67AFA" w:rsidP="00C67AFA">
      <w:pPr>
        <w:pStyle w:val="ListBullet"/>
      </w:pPr>
      <w:r w:rsidRPr="00C67AFA">
        <w:t>The application of testing procedures and functional checks should indicate knowledge of system operation and regulations relating to refrigerant. Vapour cycle air conditioning system operation knowledge, the relationship of indiv</w:t>
      </w:r>
      <w:r w:rsidRPr="00C67AFA">
        <w:t xml:space="preserve">idual components and the links with other systems will be necessary to supplement evidence of ability to carry out engine control system checks and troubleshoot the system within the limits of the aircraft/system fault-finding guide before undertaking any </w:t>
      </w:r>
      <w:r w:rsidRPr="00C67AFA">
        <w:t>action. The work plan should take account of applicable safety and quality requirements in accordance with the industry and regulatory standards.</w:t>
      </w:r>
    </w:p>
    <w:p w:rsidR="00000000" w:rsidRPr="00C67AFA" w:rsidP="00C67AFA">
      <w:pPr>
        <w:pStyle w:val="ListBullet"/>
      </w:pPr>
      <w:r w:rsidRPr="00C67AFA">
        <w:t>The following conditions of assessment represent the requirements of the Regulators (ADF and CASA) and mainten</w:t>
      </w:r>
      <w:r w:rsidRPr="00C67AFA">
        <w:t>ance stakeholders and must be rigorously observed.</w:t>
      </w:r>
    </w:p>
    <w:p w:rsidR="00000000" w:rsidRPr="00C67AFA" w:rsidP="00C67AFA">
      <w:pPr>
        <w:pStyle w:val="ListBullet"/>
      </w:pPr>
      <w:r w:rsidRPr="00C67AFA">
        <w:t>A person cannot be assessed as competent until it can be demonstrated to the satisfaction of the workplace assessor that the relevant elements and performance criteria of the unit of competency are being a</w:t>
      </w:r>
      <w:r w:rsidRPr="00C67AFA">
        <w:t>chieved under routine supervision on a system and at least one (1) component in each of the following groups:</w:t>
      </w:r>
    </w:p>
    <w:p w:rsidR="00000000" w:rsidRPr="00C67AFA" w:rsidP="00C67AFA">
      <w:pPr>
        <w:pStyle w:val="ListBullet2"/>
      </w:pPr>
      <w:r w:rsidRPr="00C67AFA">
        <w:t>refrigeration system compressor, condenser, receiver dryer, thermal expansion valve and evaporator</w:t>
      </w:r>
    </w:p>
    <w:p w:rsidR="00000000" w:rsidRPr="00C67AFA" w:rsidP="00C67AFA">
      <w:pPr>
        <w:pStyle w:val="ListBullet2"/>
      </w:pPr>
      <w:r w:rsidRPr="00C67AFA">
        <w:t>magnetic clutch and drive system (belt, power takeoff, electric motor, hydraulic motor or pneumatic as applicable)</w:t>
      </w:r>
    </w:p>
    <w:p w:rsidR="00000000" w:rsidRPr="00C67AFA" w:rsidP="00C67AFA">
      <w:pPr>
        <w:pStyle w:val="ListBullet2"/>
      </w:pPr>
      <w:r w:rsidRPr="00C67AFA">
        <w:t>condenser extension and retraction system</w:t>
      </w:r>
    </w:p>
    <w:p w:rsidR="00000000" w:rsidRPr="00C67AFA" w:rsidP="00C67AFA">
      <w:pPr>
        <w:pStyle w:val="ListBullet2"/>
      </w:pPr>
      <w:r w:rsidRPr="00C67AFA">
        <w:t>blower</w:t>
      </w:r>
    </w:p>
    <w:p w:rsidR="00000000" w:rsidRPr="00C67AFA" w:rsidP="00C67AFA">
      <w:pPr>
        <w:pStyle w:val="ListBullet2"/>
      </w:pPr>
      <w:r w:rsidRPr="00C67AFA">
        <w:t>throttle system shutoff</w:t>
      </w:r>
    </w:p>
    <w:p w:rsidR="00000000" w:rsidRPr="00C67AFA" w:rsidP="00C67AFA">
      <w:pPr>
        <w:pStyle w:val="ListBullet2"/>
      </w:pPr>
      <w:r w:rsidRPr="00C67AFA">
        <w:t>temperature control system.</w:t>
      </w:r>
    </w:p>
    <w:p w:rsidR="00000000" w:rsidRPr="00C67AFA" w:rsidP="00C67AFA">
      <w:pPr>
        <w:pStyle w:val="ListBullet"/>
      </w:pPr>
      <w:r w:rsidRPr="00C67AFA">
        <w:t>This shall be established via the recor</w:t>
      </w:r>
      <w:r w:rsidRPr="00C67AFA">
        <w:t>ds in the Log of Industrial Experience and Achievement or, where appropriate, an equivalent Industry Evidence Guide (for details refer to the Companion Volume Assessment Guidelines).</w:t>
      </w:r>
    </w:p>
    <w:p w:rsidR="00000000" w:rsidRPr="00C67AFA" w:rsidP="00C67AFA">
      <w:pPr>
        <w:pStyle w:val="ListBullet"/>
      </w:pPr>
      <w:r w:rsidRPr="00C67AFA">
        <w:t>Assessors must satisfy the requirements of the National Vocational Educat</w:t>
      </w:r>
      <w:r w:rsidRPr="00C67AFA">
        <w:t>ion and Training Regulator (Australian Skills Quality Authority, or its successors).</w:t>
      </w:r>
    </w:p>
    <w:p w:rsidR="00000000" w:rsidRPr="00C67AFA" w:rsidP="00C67AFA">
      <w:pPr>
        <w:pStyle w:val="ListBullet"/>
      </w:pPr>
      <w:r w:rsidRPr="00C67AFA">
        <w:t>Where the unit is to be used for CASA licensing purposes the Assessor must also meet the criteria specified in the CASR Part 147 Manual of Standards.</w:t>
      </w:r>
    </w:p>
    <w:p w:rsidR="00000000" w:rsidRPr="00C67AFA" w:rsidP="00C67AFA">
      <w:pPr>
        <w:pStyle w:val="AllowPageBreak"/>
      </w:pPr>
    </w:p>
    <w:p w:rsidR="00000000" w:rsidRPr="00C67AFA" w:rsidP="00C67AFA">
      <w:pPr>
        <w:pStyle w:val="Heading1"/>
      </w:pPr>
      <w:bookmarkStart w:id="15" w:name="O_722367"/>
      <w:bookmarkEnd w:id="15"/>
      <w:r w:rsidRPr="00C67AFA">
        <w:t>Link</w:t>
      </w:r>
      <w:r w:rsidRPr="00C67AFA">
        <w:t>s</w:t>
      </w:r>
    </w:p>
    <w:p w:rsidR="00000000" w:rsidRPr="00C67AFA" w:rsidP="0086395C">
      <w:pPr>
        <w:pStyle w:val="BodyText"/>
      </w:pPr>
      <w:r w:rsidRPr="00C67AFA">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6A0878">
        <w:rPr>
          <w:rStyle w:val="Hyperlink"/>
        </w:rPr>
        <w:t>https://vetnet.gov.au/Pages/TrainingDocs.aspx?q=ce216c9c-04d5-4b3b-9bcf-4e81d0950371</w:t>
      </w:r>
      <w:r>
        <w:fldChar w:fldCharType="end"/>
      </w:r>
    </w:p>
    <w:p w:rsidR="00000000" w:rsidRPr="00C67AFA" w:rsidP="00C67AFA"/>
    <w:sectPr w:rsidSect="00C67AF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A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AFA" w:rsidRPr="0086395C" w:rsidP="008639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A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95C" w:rsidP="00C67A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86395C" w:rsidP="00C67AF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86395C" w:rsidP="00C67AF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AFA" w:rsidP="00C67AFA">
    <w:pPr>
      <w:pStyle w:val="Footer"/>
      <w:framePr w:wrap="around"/>
    </w:pPr>
    <w:r>
      <w:fldChar w:fldCharType="begin"/>
    </w:r>
    <w:r>
      <w:instrText xml:space="preserve"> DOCPROPERTY  Subject  \* MERGEFORMAT </w:instrText>
    </w:r>
    <w:r>
      <w:fldChar w:fldCharType="separate"/>
    </w:r>
    <w:r w:rsidR="0086395C">
      <w:t>Approved</w:t>
    </w:r>
    <w:r w:rsidR="0086395C">
      <w:fldChar w:fldCharType="end"/>
    </w:r>
    <w:r>
      <w:tab/>
      <w:t xml:space="preserve">Page </w:t>
    </w:r>
    <w:r>
      <w:fldChar w:fldCharType="begin"/>
    </w:r>
    <w:r>
      <w:instrText xml:space="preserve"> PAGE  \* Arabic  \* MERGEFORMAT </w:instrText>
    </w:r>
    <w:r>
      <w:fldChar w:fldCharType="separate"/>
    </w:r>
    <w:r w:rsidR="0086395C">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6395C">
      <w:rPr>
        <w:noProof/>
      </w:rPr>
      <w:t>6</w:t>
    </w:r>
    <w:r>
      <w:rPr>
        <w:noProof/>
      </w:rPr>
      <w:fldChar w:fldCharType="end"/>
    </w:r>
  </w:p>
  <w:p w:rsidR="00C67AFA" w:rsidP="00C67AFA">
    <w:pPr>
      <w:pStyle w:val="Footer"/>
      <w:framePr w:wrap="around"/>
    </w:pPr>
    <w:r>
      <w:t xml:space="preserve">© Commonwealth of Australia, </w:t>
    </w:r>
    <w:r>
      <w:fldChar w:fldCharType="begin"/>
    </w:r>
    <w:r>
      <w:instrText xml:space="preserve"> DATE  \@ "yyyy"  \* MERGEFORMAT </w:instrText>
    </w:r>
    <w:r>
      <w:fldChar w:fldCharType="separate"/>
    </w:r>
    <w:r w:rsidR="0086395C">
      <w:rPr>
        <w:noProof/>
      </w:rPr>
      <w:t>2025</w:t>
    </w:r>
    <w:r>
      <w:fldChar w:fldCharType="end"/>
    </w:r>
    <w:r>
      <w:tab/>
    </w:r>
    <w:r>
      <w:fldChar w:fldCharType="begin"/>
    </w:r>
    <w:r>
      <w:instrText xml:space="preserve"> DOCPROPERTY  Author  \* MERGEFORMAT </w:instrText>
    </w:r>
    <w:r>
      <w:fldChar w:fldCharType="separate"/>
    </w:r>
    <w:r w:rsidR="0086395C">
      <w:t>Manufacturing Industry Skills Alliance</w:t>
    </w:r>
    <w:r w:rsidR="0086395C">
      <w:fldChar w:fldCharType="end"/>
    </w:r>
  </w:p>
  <w:p w:rsidR="00C67AFA" w:rsidP="00C67AF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A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95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67AFA" w:rsidRPr="0086395C" w:rsidP="0086395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A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95C" w:rsidRPr="002D2AF8" w:rsidP="00C67AFA">
    <w:pPr>
      <w:pStyle w:val="Header"/>
      <w:framePr w:wrap="around"/>
    </w:pPr>
    <w:r>
      <w:fldChar w:fldCharType="begin"/>
    </w:r>
    <w:r>
      <w:instrText xml:space="preserve"> TITLE   \* MERGEFORMAT </w:instrText>
    </w:r>
    <w:r>
      <w:fldChar w:fldCharType="separate"/>
    </w:r>
    <w:r>
      <w:t>MEA362 Maintain aircraft vapour cycle air conditioning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6395C" w:rsidP="00C67AF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AFA" w:rsidRPr="002D2AF8" w:rsidP="00C67AFA">
    <w:pPr>
      <w:pStyle w:val="Header"/>
      <w:framePr w:wrap="around"/>
    </w:pPr>
    <w:r>
      <w:fldChar w:fldCharType="begin"/>
    </w:r>
    <w:r>
      <w:instrText xml:space="preserve"> TITLE   \* MERGEFORMAT </w:instrText>
    </w:r>
    <w:r>
      <w:fldChar w:fldCharType="separate"/>
    </w:r>
    <w:r w:rsidR="0086395C">
      <w:t>MEA362 Maintain aircraft vapour cycle air conditioning systems</w:t>
    </w:r>
    <w:r w:rsidR="0086395C">
      <w:fldChar w:fldCharType="end"/>
    </w:r>
    <w:r>
      <w:tab/>
      <w:t xml:space="preserve">Date this document was generated: </w:t>
    </w:r>
    <w:r>
      <w:fldChar w:fldCharType="begin"/>
    </w:r>
    <w:r>
      <w:instrText xml:space="preserve"> CREATEDATE  \@ "d MMMM yyyy"  \* MERGEFORMAT </w:instrText>
    </w:r>
    <w:r>
      <w:fldChar w:fldCharType="separate"/>
    </w:r>
    <w:r w:rsidR="0086395C">
      <w:rPr>
        <w:noProof/>
      </w:rPr>
      <w:t>1 March 2025</w:t>
    </w:r>
    <w:r>
      <w:fldChar w:fldCharType="end"/>
    </w:r>
  </w:p>
  <w:p w:rsidR="00C67AFA" w:rsidP="00C67A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93057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33860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AF408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7A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7AFA"/>
    <w:pPr>
      <w:spacing w:before="360" w:after="60"/>
      <w:outlineLvl w:val="0"/>
    </w:pPr>
    <w:rPr>
      <w:sz w:val="32"/>
    </w:rPr>
  </w:style>
  <w:style w:type="paragraph" w:styleId="Heading2">
    <w:name w:val="heading 2"/>
    <w:basedOn w:val="HeadingBase"/>
    <w:next w:val="BodyText"/>
    <w:link w:val="Heading2Char"/>
    <w:qFormat/>
    <w:rsid w:val="00C67AFA"/>
    <w:pPr>
      <w:keepLines/>
      <w:spacing w:before="240" w:after="120"/>
      <w:outlineLvl w:val="1"/>
    </w:pPr>
    <w:rPr>
      <w:sz w:val="28"/>
      <w:szCs w:val="40"/>
    </w:rPr>
  </w:style>
  <w:style w:type="paragraph" w:styleId="Heading3">
    <w:name w:val="heading 3"/>
    <w:basedOn w:val="HeadingBase"/>
    <w:next w:val="BodyText"/>
    <w:link w:val="Heading3Char"/>
    <w:qFormat/>
    <w:rsid w:val="00C67AFA"/>
    <w:pPr>
      <w:spacing w:before="180" w:after="120"/>
      <w:outlineLvl w:val="2"/>
    </w:pPr>
    <w:rPr>
      <w:spacing w:val="-10"/>
      <w:kern w:val="32"/>
    </w:rPr>
  </w:style>
  <w:style w:type="paragraph" w:styleId="Heading4">
    <w:name w:val="heading 4"/>
    <w:basedOn w:val="HeadingBase"/>
    <w:next w:val="BodyText"/>
    <w:link w:val="Heading4Char"/>
    <w:qFormat/>
    <w:rsid w:val="00C67AFA"/>
    <w:pPr>
      <w:spacing w:before="160" w:after="120"/>
      <w:outlineLvl w:val="3"/>
    </w:pPr>
    <w:rPr>
      <w:sz w:val="22"/>
    </w:rPr>
  </w:style>
  <w:style w:type="paragraph" w:styleId="Heading5">
    <w:name w:val="heading 5"/>
    <w:basedOn w:val="HeadingBase"/>
    <w:next w:val="Normal"/>
    <w:link w:val="Heading5Char"/>
    <w:qFormat/>
    <w:rsid w:val="00C67AFA"/>
    <w:pPr>
      <w:spacing w:before="80"/>
      <w:outlineLvl w:val="4"/>
    </w:pPr>
    <w:rPr>
      <w:color w:val="918585"/>
      <w:sz w:val="20"/>
    </w:rPr>
  </w:style>
  <w:style w:type="paragraph" w:styleId="Heading6">
    <w:name w:val="heading 6"/>
    <w:basedOn w:val="HeadingBase"/>
    <w:next w:val="Normal"/>
    <w:link w:val="Heading6Char"/>
    <w:qFormat/>
    <w:rsid w:val="00C67AFA"/>
    <w:pPr>
      <w:spacing w:before="60"/>
      <w:outlineLvl w:val="5"/>
    </w:pPr>
    <w:rPr>
      <w:color w:val="918585"/>
      <w:sz w:val="20"/>
    </w:rPr>
  </w:style>
  <w:style w:type="paragraph" w:styleId="Heading7">
    <w:name w:val="heading 7"/>
    <w:basedOn w:val="Normal"/>
    <w:next w:val="Normal"/>
    <w:link w:val="Heading7Char"/>
    <w:qFormat/>
    <w:rsid w:val="00C67AFA"/>
    <w:pPr>
      <w:ind w:left="720"/>
      <w:outlineLvl w:val="6"/>
    </w:pPr>
    <w:rPr>
      <w:i/>
    </w:rPr>
  </w:style>
  <w:style w:type="paragraph" w:styleId="Heading8">
    <w:name w:val="heading 8"/>
    <w:basedOn w:val="Normal"/>
    <w:next w:val="Normal"/>
    <w:link w:val="Heading8Char"/>
    <w:qFormat/>
    <w:rsid w:val="00C67AFA"/>
    <w:pPr>
      <w:ind w:left="720"/>
      <w:outlineLvl w:val="7"/>
    </w:pPr>
    <w:rPr>
      <w:i/>
    </w:rPr>
  </w:style>
  <w:style w:type="paragraph" w:styleId="Heading9">
    <w:name w:val="heading 9"/>
    <w:basedOn w:val="Normal"/>
    <w:next w:val="Normal"/>
    <w:link w:val="Heading9Char"/>
    <w:qFormat/>
    <w:rsid w:val="00C67AFA"/>
    <w:pPr>
      <w:ind w:left="720"/>
      <w:outlineLvl w:val="8"/>
    </w:pPr>
    <w:rPr>
      <w:i/>
    </w:rPr>
  </w:style>
  <w:style w:type="character" w:default="1" w:styleId="DefaultParagraphFont">
    <w:name w:val="Default Paragraph Font"/>
    <w:uiPriority w:val="1"/>
    <w:unhideWhenUsed/>
    <w:rsid w:val="00C67A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7AFA"/>
  </w:style>
  <w:style w:type="character" w:customStyle="1" w:styleId="Heading1Char">
    <w:name w:val="Heading 1 Char"/>
    <w:basedOn w:val="DefaultParagraphFont"/>
    <w:link w:val="Heading1"/>
    <w:rsid w:val="00C67AFA"/>
    <w:rPr>
      <w:rFonts w:ascii="Times New Roman" w:eastAsia="Times New Roman" w:hAnsi="Times New Roman" w:cs="Times New Roman"/>
      <w:b/>
      <w:sz w:val="32"/>
      <w:szCs w:val="20"/>
      <w:lang w:eastAsia="en-US"/>
    </w:rPr>
  </w:style>
  <w:style w:type="paragraph" w:styleId="BodyText">
    <w:name w:val="Body Text"/>
    <w:basedOn w:val="Normal"/>
    <w:link w:val="BodyTextChar"/>
    <w:rsid w:val="00C67AF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67AFA"/>
    <w:rPr>
      <w:rFonts w:ascii="Times New Roman" w:eastAsia="Times New Roman" w:hAnsi="Times New Roman" w:cs="Times New Roman"/>
      <w:sz w:val="24"/>
      <w:lang w:eastAsia="en-US"/>
    </w:rPr>
  </w:style>
  <w:style w:type="paragraph" w:styleId="ListBullet">
    <w:name w:val="List Bullet"/>
    <w:basedOn w:val="List"/>
    <w:rsid w:val="00C67AFA"/>
    <w:pPr>
      <w:numPr>
        <w:numId w:val="13"/>
      </w:numPr>
      <w:tabs>
        <w:tab w:val="clear" w:pos="340"/>
      </w:tabs>
      <w:spacing w:before="40" w:after="40"/>
    </w:pPr>
  </w:style>
  <w:style w:type="character" w:customStyle="1" w:styleId="SpecialBold">
    <w:name w:val="Special Bold"/>
    <w:basedOn w:val="DefaultParagraphFont"/>
    <w:rsid w:val="00C67AFA"/>
    <w:rPr>
      <w:b/>
      <w:spacing w:val="0"/>
    </w:rPr>
  </w:style>
  <w:style w:type="paragraph" w:styleId="ListBullet2">
    <w:name w:val="List Bullet 2"/>
    <w:basedOn w:val="List2"/>
    <w:rsid w:val="00C67AFA"/>
    <w:pPr>
      <w:numPr>
        <w:numId w:val="14"/>
      </w:numPr>
      <w:tabs>
        <w:tab w:val="clear" w:pos="680"/>
      </w:tabs>
    </w:pPr>
  </w:style>
  <w:style w:type="paragraph" w:customStyle="1" w:styleId="SuperHeading">
    <w:name w:val="SuperHeading"/>
    <w:basedOn w:val="Normal"/>
    <w:rsid w:val="00C67AFA"/>
    <w:pPr>
      <w:spacing w:before="240" w:after="120"/>
      <w:outlineLvl w:val="0"/>
    </w:pPr>
    <w:rPr>
      <w:rFonts w:ascii="Times New Roman" w:hAnsi="Times New Roman"/>
      <w:b/>
      <w:sz w:val="32"/>
    </w:rPr>
  </w:style>
  <w:style w:type="paragraph" w:customStyle="1" w:styleId="AllowPageBreak">
    <w:name w:val="AllowPageBreak"/>
    <w:rsid w:val="00C67AF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67AFA"/>
    <w:pPr>
      <w:numPr>
        <w:numId w:val="3"/>
      </w:numPr>
      <w:tabs>
        <w:tab w:val="clear" w:pos="1021"/>
      </w:tabs>
      <w:ind w:left="1037" w:hanging="357"/>
    </w:pPr>
  </w:style>
  <w:style w:type="character" w:customStyle="1" w:styleId="Heading2Char">
    <w:name w:val="Heading 2 Char"/>
    <w:basedOn w:val="DefaultParagraphFont"/>
    <w:link w:val="Heading2"/>
    <w:rsid w:val="00C67A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7A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7A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7A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7A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7A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7A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7AFA"/>
    <w:rPr>
      <w:rFonts w:ascii="Courier New" w:eastAsia="Times New Roman" w:hAnsi="Courier New" w:cs="Times New Roman"/>
      <w:i/>
      <w:szCs w:val="20"/>
      <w:lang w:eastAsia="en-US"/>
    </w:rPr>
  </w:style>
  <w:style w:type="paragraph" w:customStyle="1" w:styleId="HeadingBase">
    <w:name w:val="Heading Base"/>
    <w:rsid w:val="00C67A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7AFA"/>
    <w:pPr>
      <w:tabs>
        <w:tab w:val="right" w:leader="dot" w:pos="9072"/>
      </w:tabs>
      <w:ind w:left="567"/>
    </w:pPr>
    <w:rPr>
      <w:szCs w:val="22"/>
    </w:rPr>
  </w:style>
  <w:style w:type="paragraph" w:customStyle="1" w:styleId="TOCBase">
    <w:name w:val="TOC Base"/>
    <w:rsid w:val="00C67A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7AFA"/>
    <w:pPr>
      <w:tabs>
        <w:tab w:val="right" w:leader="dot" w:pos="9072"/>
      </w:tabs>
      <w:spacing w:before="40" w:after="40"/>
      <w:ind w:left="284"/>
    </w:pPr>
    <w:rPr>
      <w:rFonts w:ascii="Times New Roman" w:hAnsi="Times New Roman"/>
    </w:rPr>
  </w:style>
  <w:style w:type="paragraph" w:styleId="TOC1">
    <w:name w:val="toc 1"/>
    <w:basedOn w:val="TOCBase"/>
    <w:next w:val="Normal"/>
    <w:rsid w:val="00C67AF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67A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7AFA"/>
    <w:rPr>
      <w:rFonts w:ascii="Times New Roman" w:eastAsia="Times New Roman" w:hAnsi="Times New Roman" w:cs="Times New Roman"/>
      <w:sz w:val="16"/>
      <w:lang w:eastAsia="en-US"/>
    </w:rPr>
  </w:style>
  <w:style w:type="paragraph" w:styleId="Title">
    <w:name w:val="Title"/>
    <w:basedOn w:val="HeadingBase"/>
    <w:link w:val="TitleChar"/>
    <w:qFormat/>
    <w:rsid w:val="00C67AFA"/>
    <w:pPr>
      <w:spacing w:before="5040"/>
      <w:jc w:val="center"/>
    </w:pPr>
    <w:rPr>
      <w:sz w:val="48"/>
      <w:szCs w:val="72"/>
      <w:lang w:val="en-US"/>
    </w:rPr>
  </w:style>
  <w:style w:type="character" w:customStyle="1" w:styleId="TitleChar">
    <w:name w:val="Title Char"/>
    <w:basedOn w:val="DefaultParagraphFont"/>
    <w:link w:val="Title"/>
    <w:rsid w:val="00C67A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7AFA"/>
    <w:pPr>
      <w:tabs>
        <w:tab w:val="left" w:pos="3600"/>
        <w:tab w:val="left" w:pos="3958"/>
      </w:tabs>
    </w:pPr>
  </w:style>
  <w:style w:type="paragraph" w:styleId="List">
    <w:name w:val="List"/>
    <w:basedOn w:val="BodyText"/>
    <w:next w:val="BodyText"/>
    <w:rsid w:val="00C67AFA"/>
    <w:pPr>
      <w:tabs>
        <w:tab w:val="left" w:pos="340"/>
      </w:tabs>
      <w:spacing w:before="60" w:after="60"/>
      <w:ind w:left="340" w:hanging="340"/>
    </w:pPr>
  </w:style>
  <w:style w:type="paragraph" w:customStyle="1" w:styleId="Note">
    <w:name w:val="Note"/>
    <w:basedOn w:val="BodyText"/>
    <w:rsid w:val="00C67A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7AFA"/>
    <w:pPr>
      <w:framePr w:wrap="auto" w:hAnchor="text" w:y="6049"/>
    </w:pPr>
    <w:rPr>
      <w:color w:val="000000"/>
      <w:sz w:val="40"/>
    </w:rPr>
  </w:style>
  <w:style w:type="paragraph" w:customStyle="1" w:styleId="TOCTitle">
    <w:name w:val="TOCTitle"/>
    <w:basedOn w:val="Heading1"/>
    <w:rsid w:val="00C67AFA"/>
    <w:pPr>
      <w:spacing w:after="240"/>
      <w:jc w:val="center"/>
      <w:outlineLvl w:val="9"/>
    </w:pPr>
    <w:rPr>
      <w:caps/>
    </w:rPr>
  </w:style>
  <w:style w:type="paragraph" w:customStyle="1" w:styleId="Version">
    <w:name w:val="Version"/>
    <w:rsid w:val="00C67AF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67AFA"/>
    <w:pPr>
      <w:keepNext w:val="0"/>
      <w:tabs>
        <w:tab w:val="right" w:pos="4176"/>
      </w:tabs>
      <w:ind w:left="198" w:hanging="198"/>
    </w:pPr>
    <w:rPr>
      <w:rFonts w:ascii="Garamond" w:hAnsi="Garamond"/>
    </w:rPr>
  </w:style>
  <w:style w:type="paragraph" w:styleId="IndexHeading">
    <w:name w:val="index heading"/>
    <w:basedOn w:val="Normal"/>
    <w:next w:val="Index1"/>
    <w:semiHidden/>
    <w:rsid w:val="00C67AFA"/>
    <w:pPr>
      <w:spacing w:before="120" w:after="120"/>
    </w:pPr>
    <w:rPr>
      <w:rFonts w:ascii="Arial" w:hAnsi="Arial"/>
      <w:b/>
      <w:color w:val="918585"/>
      <w:sz w:val="24"/>
    </w:rPr>
  </w:style>
  <w:style w:type="paragraph" w:styleId="Header">
    <w:name w:val="header"/>
    <w:basedOn w:val="Normal"/>
    <w:link w:val="HeaderChar"/>
    <w:rsid w:val="00C67A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7AFA"/>
    <w:rPr>
      <w:rFonts w:ascii="Times New Roman" w:eastAsia="Times New Roman" w:hAnsi="Times New Roman" w:cs="Times New Roman"/>
      <w:sz w:val="16"/>
      <w:szCs w:val="20"/>
      <w:lang w:val="en-GB" w:eastAsia="en-US"/>
    </w:rPr>
  </w:style>
  <w:style w:type="paragraph" w:customStyle="1" w:styleId="Chapter">
    <w:name w:val="Chapter"/>
    <w:basedOn w:val="Normal"/>
    <w:rsid w:val="00C67AFA"/>
    <w:pPr>
      <w:spacing w:before="240"/>
    </w:pPr>
    <w:rPr>
      <w:rFonts w:ascii="Times New Roman" w:hAnsi="Times New Roman"/>
      <w:smallCaps/>
      <w:spacing w:val="80"/>
      <w:sz w:val="28"/>
    </w:rPr>
  </w:style>
  <w:style w:type="paragraph" w:customStyle="1" w:styleId="InChapter">
    <w:name w:val="InChapter"/>
    <w:basedOn w:val="Heading3"/>
    <w:rsid w:val="00C67AFA"/>
    <w:pPr>
      <w:spacing w:after="240"/>
      <w:outlineLvl w:val="9"/>
    </w:pPr>
    <w:rPr>
      <w:noProof/>
    </w:rPr>
  </w:style>
  <w:style w:type="paragraph" w:styleId="Index2">
    <w:name w:val="index 2"/>
    <w:basedOn w:val="Normal"/>
    <w:next w:val="Normal"/>
    <w:semiHidden/>
    <w:rsid w:val="00C67AFA"/>
    <w:pPr>
      <w:tabs>
        <w:tab w:val="right" w:pos="4176"/>
      </w:tabs>
      <w:ind w:left="568" w:hanging="284"/>
    </w:pPr>
    <w:rPr>
      <w:rFonts w:ascii="Garamond" w:hAnsi="Garamond"/>
    </w:rPr>
  </w:style>
  <w:style w:type="paragraph" w:customStyle="1" w:styleId="Byline">
    <w:name w:val="Byline"/>
    <w:rsid w:val="00C67A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7AFA"/>
    <w:pPr>
      <w:tabs>
        <w:tab w:val="clear" w:pos="3600"/>
        <w:tab w:val="clear" w:pos="3958"/>
      </w:tabs>
      <w:jc w:val="right"/>
    </w:pPr>
  </w:style>
  <w:style w:type="character" w:styleId="Emphasis">
    <w:name w:val="Emphasis"/>
    <w:basedOn w:val="DefaultParagraphFont"/>
    <w:qFormat/>
    <w:rsid w:val="00C67AFA"/>
    <w:rPr>
      <w:i/>
    </w:rPr>
  </w:style>
  <w:style w:type="paragraph" w:styleId="Caption">
    <w:name w:val="caption"/>
    <w:basedOn w:val="BodyText"/>
    <w:next w:val="Normal"/>
    <w:qFormat/>
    <w:rsid w:val="00C67AFA"/>
    <w:pPr>
      <w:framePr w:w="2268" w:hSpace="181" w:vSpace="181" w:wrap="around" w:vAnchor="text" w:hAnchor="page" w:x="1135" w:y="285" w:anchorLock="1"/>
    </w:pPr>
    <w:rPr>
      <w:i/>
    </w:rPr>
  </w:style>
  <w:style w:type="paragraph" w:customStyle="1" w:styleId="MiniTOCTitle">
    <w:name w:val="MiniTOCTitle"/>
    <w:basedOn w:val="Heading4"/>
    <w:rsid w:val="00C67AFA"/>
    <w:pPr>
      <w:spacing w:before="240"/>
      <w:outlineLvl w:val="9"/>
    </w:pPr>
    <w:rPr>
      <w:noProof/>
      <w:sz w:val="24"/>
    </w:rPr>
  </w:style>
  <w:style w:type="paragraph" w:customStyle="1" w:styleId="MiniTOCItem">
    <w:name w:val="MiniTOCItem"/>
    <w:basedOn w:val="ListBullet"/>
    <w:rsid w:val="00C67AFA"/>
    <w:pPr>
      <w:numPr>
        <w:numId w:val="0"/>
      </w:numPr>
      <w:tabs>
        <w:tab w:val="right" w:leader="dot" w:pos="6521"/>
      </w:tabs>
      <w:spacing w:before="0" w:after="0"/>
    </w:pPr>
  </w:style>
  <w:style w:type="paragraph" w:customStyle="1" w:styleId="TOFTitle">
    <w:name w:val="TOFTitle"/>
    <w:basedOn w:val="TOCTitle"/>
    <w:rsid w:val="00C67AFA"/>
  </w:style>
  <w:style w:type="paragraph" w:styleId="TableofFigures">
    <w:name w:val="table of figures"/>
    <w:basedOn w:val="Normal"/>
    <w:next w:val="Normal"/>
    <w:semiHidden/>
    <w:rsid w:val="00C67AFA"/>
    <w:pPr>
      <w:tabs>
        <w:tab w:val="right" w:leader="dot" w:pos="9072"/>
      </w:tabs>
      <w:ind w:left="970" w:hanging="403"/>
    </w:pPr>
    <w:rPr>
      <w:rFonts w:ascii="Times New Roman" w:hAnsi="Times New Roman"/>
      <w:b/>
    </w:rPr>
  </w:style>
  <w:style w:type="paragraph" w:styleId="ListNumber">
    <w:name w:val="List Number"/>
    <w:basedOn w:val="List"/>
    <w:rsid w:val="00C67AFA"/>
    <w:pPr>
      <w:numPr>
        <w:numId w:val="16"/>
      </w:numPr>
      <w:tabs>
        <w:tab w:val="clear" w:pos="340"/>
      </w:tabs>
    </w:pPr>
  </w:style>
  <w:style w:type="character" w:customStyle="1" w:styleId="WingdingSymbols">
    <w:name w:val="Wingding Symbols"/>
    <w:rsid w:val="00C67AFA"/>
    <w:rPr>
      <w:rFonts w:ascii="Wingdings" w:hAnsi="Wingdings"/>
    </w:rPr>
  </w:style>
  <w:style w:type="paragraph" w:customStyle="1" w:styleId="TableHeading">
    <w:name w:val="Table Heading"/>
    <w:basedOn w:val="HeadingBase"/>
    <w:rsid w:val="00C67AFA"/>
    <w:pPr>
      <w:keepLines/>
      <w:pBdr>
        <w:bottom w:val="single" w:sz="6" w:space="1" w:color="918585"/>
      </w:pBdr>
      <w:spacing w:before="240"/>
    </w:pPr>
  </w:style>
  <w:style w:type="character" w:customStyle="1" w:styleId="HotSpot">
    <w:name w:val="HotSpot"/>
    <w:rsid w:val="00C67AFA"/>
    <w:rPr>
      <w:color w:val="0033CC"/>
      <w:u w:val="none"/>
    </w:rPr>
  </w:style>
  <w:style w:type="paragraph" w:customStyle="1" w:styleId="BodyTextRight">
    <w:name w:val="Body Text Right"/>
    <w:basedOn w:val="BodyText"/>
    <w:rsid w:val="00C67AFA"/>
    <w:pPr>
      <w:spacing w:before="0" w:after="0"/>
      <w:jc w:val="right"/>
    </w:pPr>
  </w:style>
  <w:style w:type="paragraph" w:styleId="Index3">
    <w:name w:val="index 3"/>
    <w:basedOn w:val="ListNumber2"/>
    <w:next w:val="Normal"/>
    <w:semiHidden/>
    <w:rsid w:val="00C67AFA"/>
    <w:pPr>
      <w:numPr>
        <w:numId w:val="0"/>
      </w:numPr>
      <w:tabs>
        <w:tab w:val="right" w:leader="dot" w:pos="4176"/>
      </w:tabs>
    </w:pPr>
  </w:style>
  <w:style w:type="paragraph" w:styleId="ListNumber2">
    <w:name w:val="List Number 2"/>
    <w:basedOn w:val="List2"/>
    <w:rsid w:val="00C67AFA"/>
    <w:pPr>
      <w:numPr>
        <w:numId w:val="11"/>
      </w:numPr>
      <w:tabs>
        <w:tab w:val="clear" w:pos="1060"/>
      </w:tabs>
    </w:pPr>
  </w:style>
  <w:style w:type="paragraph" w:customStyle="1" w:styleId="MarginNote">
    <w:name w:val="Margin Note"/>
    <w:basedOn w:val="BodyText"/>
    <w:rsid w:val="00C67A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7A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7A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7AFA"/>
    <w:rPr>
      <w:sz w:val="32"/>
    </w:rPr>
  </w:style>
  <w:style w:type="paragraph" w:customStyle="1" w:styleId="HeadingProcedure">
    <w:name w:val="Heading Procedure"/>
    <w:basedOn w:val="HeadingBase"/>
    <w:next w:val="Normal"/>
    <w:rsid w:val="00C67AFA"/>
    <w:pPr>
      <w:tabs>
        <w:tab w:val="left" w:pos="0"/>
      </w:tabs>
      <w:spacing w:before="120" w:after="60"/>
    </w:pPr>
    <w:rPr>
      <w:i/>
      <w:color w:val="918585"/>
      <w:sz w:val="22"/>
    </w:rPr>
  </w:style>
  <w:style w:type="paragraph" w:customStyle="1" w:styleId="TableBodyText">
    <w:name w:val="Table Body Text"/>
    <w:basedOn w:val="BodyText"/>
    <w:rsid w:val="00C67AFA"/>
    <w:pPr>
      <w:spacing w:before="60" w:after="60"/>
    </w:pPr>
  </w:style>
  <w:style w:type="paragraph" w:styleId="ListContinue">
    <w:name w:val="List Continue"/>
    <w:basedOn w:val="List"/>
    <w:rsid w:val="00C67AFA"/>
    <w:pPr>
      <w:ind w:firstLine="0"/>
    </w:pPr>
  </w:style>
  <w:style w:type="paragraph" w:customStyle="1" w:styleId="ListNote">
    <w:name w:val="List Note"/>
    <w:basedOn w:val="List"/>
    <w:rsid w:val="00C67AFA"/>
    <w:pPr>
      <w:pBdr>
        <w:top w:val="single" w:sz="6" w:space="2" w:color="918585"/>
        <w:bottom w:val="single" w:sz="6" w:space="2" w:color="918585"/>
      </w:pBdr>
      <w:tabs>
        <w:tab w:val="left" w:pos="1021"/>
      </w:tabs>
      <w:ind w:firstLine="0"/>
    </w:pPr>
  </w:style>
  <w:style w:type="paragraph" w:customStyle="1" w:styleId="Warning">
    <w:name w:val="Warning"/>
    <w:basedOn w:val="BodyText"/>
    <w:rsid w:val="00C67AFA"/>
    <w:pPr>
      <w:shd w:val="clear" w:color="auto" w:fill="D9D9D9"/>
      <w:tabs>
        <w:tab w:val="left" w:pos="992"/>
      </w:tabs>
      <w:ind w:left="119" w:right="119"/>
    </w:pPr>
    <w:rPr>
      <w:sz w:val="20"/>
    </w:rPr>
  </w:style>
  <w:style w:type="paragraph" w:customStyle="1" w:styleId="MarginIcons">
    <w:name w:val="Margin Icons"/>
    <w:basedOn w:val="BodyText"/>
    <w:rsid w:val="00C67A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7AFA"/>
    <w:rPr>
      <w:rFonts w:ascii="Courier New" w:hAnsi="Courier New"/>
    </w:rPr>
  </w:style>
  <w:style w:type="paragraph" w:customStyle="1" w:styleId="NoteBullet">
    <w:name w:val="Note Bullet"/>
    <w:basedOn w:val="Note"/>
    <w:rsid w:val="00C67AFA"/>
    <w:pPr>
      <w:tabs>
        <w:tab w:val="clear" w:pos="680"/>
      </w:tabs>
      <w:spacing w:before="60" w:after="60"/>
    </w:pPr>
  </w:style>
  <w:style w:type="paragraph" w:customStyle="1" w:styleId="SubHeading2">
    <w:name w:val="SubHeading2"/>
    <w:basedOn w:val="HeadingBase"/>
    <w:rsid w:val="00C67AFA"/>
    <w:pPr>
      <w:spacing w:before="240" w:after="60"/>
    </w:pPr>
    <w:rPr>
      <w:sz w:val="20"/>
    </w:rPr>
  </w:style>
  <w:style w:type="paragraph" w:customStyle="1" w:styleId="SubHeading1">
    <w:name w:val="SubHeading1"/>
    <w:basedOn w:val="HeadingBase"/>
    <w:rsid w:val="00C67AFA"/>
    <w:pPr>
      <w:spacing w:before="240" w:after="60"/>
    </w:pPr>
    <w:rPr>
      <w:color w:val="918585"/>
      <w:sz w:val="22"/>
    </w:rPr>
  </w:style>
  <w:style w:type="paragraph" w:customStyle="1" w:styleId="SideHeading">
    <w:name w:val="Side Heading"/>
    <w:basedOn w:val="HeadingBase"/>
    <w:rsid w:val="00C67A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7AFA"/>
    <w:pPr>
      <w:numPr>
        <w:numId w:val="12"/>
      </w:numPr>
    </w:pPr>
  </w:style>
  <w:style w:type="paragraph" w:styleId="PlainText">
    <w:name w:val="Plain Text"/>
    <w:basedOn w:val="Normal"/>
    <w:link w:val="PlainTextChar"/>
    <w:rsid w:val="00C67AFA"/>
    <w:rPr>
      <w:sz w:val="20"/>
    </w:rPr>
  </w:style>
  <w:style w:type="character" w:customStyle="1" w:styleId="PlainTextChar">
    <w:name w:val="Plain Text Char"/>
    <w:basedOn w:val="DefaultParagraphFont"/>
    <w:link w:val="PlainText"/>
    <w:rsid w:val="00C67AFA"/>
    <w:rPr>
      <w:rFonts w:ascii="Courier New" w:eastAsia="Times New Roman" w:hAnsi="Courier New" w:cs="Times New Roman"/>
      <w:sz w:val="20"/>
      <w:szCs w:val="20"/>
      <w:lang w:eastAsia="en-US"/>
    </w:rPr>
  </w:style>
  <w:style w:type="character" w:customStyle="1" w:styleId="MenuOption">
    <w:name w:val="Menu Option"/>
    <w:basedOn w:val="DefaultParagraphFont"/>
    <w:rsid w:val="00C67AFA"/>
    <w:rPr>
      <w:b/>
      <w:smallCaps/>
    </w:rPr>
  </w:style>
  <w:style w:type="paragraph" w:customStyle="1" w:styleId="TableListNumber">
    <w:name w:val="Table List Number"/>
    <w:basedOn w:val="ListNumber"/>
    <w:rsid w:val="00C67AFA"/>
    <w:pPr>
      <w:numPr>
        <w:numId w:val="0"/>
      </w:numPr>
    </w:pPr>
  </w:style>
  <w:style w:type="paragraph" w:styleId="TOC4">
    <w:name w:val="toc 4"/>
    <w:basedOn w:val="TOCBase"/>
    <w:next w:val="Normal"/>
    <w:semiHidden/>
    <w:rsid w:val="00C67AFA"/>
    <w:pPr>
      <w:tabs>
        <w:tab w:val="right" w:leader="dot" w:pos="9071"/>
      </w:tabs>
      <w:ind w:left="1701"/>
    </w:pPr>
  </w:style>
  <w:style w:type="paragraph" w:customStyle="1" w:styleId="ListAlpha">
    <w:name w:val="List Alpha"/>
    <w:basedOn w:val="List"/>
    <w:rsid w:val="00C67AFA"/>
    <w:pPr>
      <w:numPr>
        <w:numId w:val="10"/>
      </w:numPr>
    </w:pPr>
  </w:style>
  <w:style w:type="paragraph" w:customStyle="1" w:styleId="ListAlpha2">
    <w:name w:val="List Alpha 2"/>
    <w:basedOn w:val="List2"/>
    <w:rsid w:val="00C67AFA"/>
    <w:pPr>
      <w:numPr>
        <w:numId w:val="9"/>
      </w:numPr>
    </w:pPr>
  </w:style>
  <w:style w:type="paragraph" w:styleId="List2">
    <w:name w:val="List 2"/>
    <w:basedOn w:val="BodyText"/>
    <w:rsid w:val="00C67AFA"/>
    <w:pPr>
      <w:tabs>
        <w:tab w:val="left" w:pos="680"/>
      </w:tabs>
      <w:spacing w:before="60" w:after="60"/>
      <w:ind w:left="680" w:hanging="340"/>
    </w:pPr>
  </w:style>
  <w:style w:type="paragraph" w:styleId="List3">
    <w:name w:val="List 3"/>
    <w:basedOn w:val="BodyText"/>
    <w:rsid w:val="00C67AFA"/>
    <w:pPr>
      <w:tabs>
        <w:tab w:val="left" w:pos="1021"/>
      </w:tabs>
      <w:spacing w:before="60" w:after="60"/>
      <w:ind w:left="1020" w:hanging="340"/>
    </w:pPr>
  </w:style>
  <w:style w:type="paragraph" w:styleId="List4">
    <w:name w:val="List 4"/>
    <w:basedOn w:val="BodyText"/>
    <w:rsid w:val="00C67AFA"/>
    <w:pPr>
      <w:tabs>
        <w:tab w:val="left" w:pos="1361"/>
      </w:tabs>
      <w:spacing w:before="60" w:after="60"/>
      <w:ind w:left="1361" w:hanging="340"/>
    </w:pPr>
  </w:style>
  <w:style w:type="paragraph" w:styleId="List5">
    <w:name w:val="List 5"/>
    <w:basedOn w:val="BodyText"/>
    <w:rsid w:val="00C67AFA"/>
    <w:pPr>
      <w:tabs>
        <w:tab w:val="left" w:pos="1701"/>
      </w:tabs>
      <w:spacing w:before="60" w:after="60"/>
      <w:ind w:left="1701" w:hanging="340"/>
    </w:pPr>
  </w:style>
  <w:style w:type="paragraph" w:styleId="ListBullet4">
    <w:name w:val="List Bullet 4"/>
    <w:basedOn w:val="List4"/>
    <w:rsid w:val="00C67AFA"/>
    <w:pPr>
      <w:numPr>
        <w:numId w:val="4"/>
      </w:numPr>
      <w:tabs>
        <w:tab w:val="clear" w:pos="1361"/>
      </w:tabs>
    </w:pPr>
  </w:style>
  <w:style w:type="paragraph" w:styleId="ListBullet5">
    <w:name w:val="List Bullet 5"/>
    <w:basedOn w:val="List5"/>
    <w:rsid w:val="00C67AFA"/>
    <w:pPr>
      <w:numPr>
        <w:numId w:val="5"/>
      </w:numPr>
    </w:pPr>
  </w:style>
  <w:style w:type="paragraph" w:styleId="ListContinue2">
    <w:name w:val="List Continue 2"/>
    <w:basedOn w:val="List2"/>
    <w:rsid w:val="00C67AFA"/>
    <w:pPr>
      <w:ind w:firstLine="0"/>
    </w:pPr>
  </w:style>
  <w:style w:type="paragraph" w:styleId="ListContinue3">
    <w:name w:val="List Continue 3"/>
    <w:basedOn w:val="List3"/>
    <w:rsid w:val="00C67AFA"/>
    <w:pPr>
      <w:ind w:left="1021" w:firstLine="0"/>
    </w:pPr>
  </w:style>
  <w:style w:type="paragraph" w:styleId="ListContinue4">
    <w:name w:val="List Continue 4"/>
    <w:basedOn w:val="List4"/>
    <w:rsid w:val="00C67AFA"/>
    <w:pPr>
      <w:ind w:firstLine="0"/>
    </w:pPr>
  </w:style>
  <w:style w:type="paragraph" w:styleId="ListContinue5">
    <w:name w:val="List Continue 5"/>
    <w:basedOn w:val="List5"/>
    <w:rsid w:val="00C67AFA"/>
    <w:pPr>
      <w:ind w:firstLine="0"/>
    </w:pPr>
  </w:style>
  <w:style w:type="paragraph" w:styleId="ListNumber3">
    <w:name w:val="List Number 3"/>
    <w:basedOn w:val="List3"/>
    <w:rsid w:val="00C67AFA"/>
    <w:pPr>
      <w:numPr>
        <w:numId w:val="6"/>
      </w:numPr>
    </w:pPr>
  </w:style>
  <w:style w:type="paragraph" w:styleId="ListNumber4">
    <w:name w:val="List Number 4"/>
    <w:basedOn w:val="List4"/>
    <w:rsid w:val="00C67AFA"/>
    <w:pPr>
      <w:numPr>
        <w:numId w:val="7"/>
      </w:numPr>
    </w:pPr>
  </w:style>
  <w:style w:type="paragraph" w:styleId="ListNumber5">
    <w:name w:val="List Number 5"/>
    <w:basedOn w:val="List5"/>
    <w:rsid w:val="00C67AFA"/>
    <w:pPr>
      <w:numPr>
        <w:numId w:val="8"/>
      </w:numPr>
    </w:pPr>
  </w:style>
  <w:style w:type="paragraph" w:styleId="BlockText">
    <w:name w:val="Block Text"/>
    <w:basedOn w:val="Normal"/>
    <w:rsid w:val="00C67AFA"/>
    <w:pPr>
      <w:spacing w:after="120"/>
      <w:ind w:left="1440" w:right="1440"/>
    </w:pPr>
  </w:style>
  <w:style w:type="character" w:customStyle="1" w:styleId="Subscript">
    <w:name w:val="Subscript"/>
    <w:basedOn w:val="DefaultParagraphFont"/>
    <w:rsid w:val="00C67AFA"/>
    <w:rPr>
      <w:sz w:val="16"/>
      <w:vertAlign w:val="subscript"/>
    </w:rPr>
  </w:style>
  <w:style w:type="character" w:customStyle="1" w:styleId="Superscript">
    <w:name w:val="Superscript"/>
    <w:basedOn w:val="DefaultParagraphFont"/>
    <w:rsid w:val="00C67AFA"/>
    <w:rPr>
      <w:sz w:val="16"/>
      <w:vertAlign w:val="superscript"/>
    </w:rPr>
  </w:style>
  <w:style w:type="character" w:customStyle="1" w:styleId="Symbols">
    <w:name w:val="Symbols"/>
    <w:basedOn w:val="DefaultParagraphFont"/>
    <w:rsid w:val="00C67AFA"/>
    <w:rPr>
      <w:rFonts w:ascii="Symbol" w:hAnsi="Symbol"/>
    </w:rPr>
  </w:style>
  <w:style w:type="character" w:customStyle="1" w:styleId="MenuOptions">
    <w:name w:val="Menu Options"/>
    <w:basedOn w:val="DefaultParagraphFont"/>
    <w:rsid w:val="00C67AFA"/>
    <w:rPr>
      <w:rFonts w:ascii="Arial Narrow" w:hAnsi="Arial Narrow"/>
      <w:smallCaps/>
    </w:rPr>
  </w:style>
  <w:style w:type="character" w:customStyle="1" w:styleId="Buttons">
    <w:name w:val="Buttons"/>
    <w:basedOn w:val="DefaultParagraphFont"/>
    <w:rsid w:val="00C67AFA"/>
    <w:rPr>
      <w:b/>
    </w:rPr>
  </w:style>
  <w:style w:type="character" w:customStyle="1" w:styleId="Underlined">
    <w:name w:val="Underlined"/>
    <w:basedOn w:val="DefaultParagraphFont"/>
    <w:rsid w:val="00C67AFA"/>
    <w:rPr>
      <w:u w:val="single"/>
    </w:rPr>
  </w:style>
  <w:style w:type="paragraph" w:customStyle="1" w:styleId="TableBodyTextRight">
    <w:name w:val="Table Body Text Right"/>
    <w:basedOn w:val="TableBodyText"/>
    <w:rsid w:val="00C67AFA"/>
    <w:pPr>
      <w:widowControl w:val="0"/>
      <w:autoSpaceDE w:val="0"/>
      <w:autoSpaceDN w:val="0"/>
      <w:adjustRightInd w:val="0"/>
      <w:jc w:val="right"/>
    </w:pPr>
    <w:rPr>
      <w:rFonts w:cs="Arial"/>
      <w:szCs w:val="18"/>
    </w:rPr>
  </w:style>
  <w:style w:type="paragraph" w:customStyle="1" w:styleId="CopyrightText">
    <w:name w:val="Copyright Text"/>
    <w:basedOn w:val="BodyText"/>
    <w:rsid w:val="00C67AFA"/>
    <w:rPr>
      <w:sz w:val="18"/>
    </w:rPr>
  </w:style>
  <w:style w:type="paragraph" w:customStyle="1" w:styleId="BodySmallRight">
    <w:name w:val="Body Small Right"/>
    <w:basedOn w:val="BodyTextRight"/>
    <w:rsid w:val="00C67AFA"/>
    <w:rPr>
      <w:sz w:val="18"/>
      <w:szCs w:val="18"/>
    </w:rPr>
  </w:style>
  <w:style w:type="paragraph" w:customStyle="1" w:styleId="MarginEdition">
    <w:name w:val="Margin Edition"/>
    <w:basedOn w:val="MarginNote"/>
    <w:rsid w:val="00C67AFA"/>
    <w:pPr>
      <w:spacing w:before="0" w:after="0"/>
    </w:pPr>
    <w:rPr>
      <w:rFonts w:ascii="Times New Roman" w:hAnsi="Times New Roman"/>
      <w:color w:val="999999"/>
    </w:rPr>
  </w:style>
  <w:style w:type="paragraph" w:customStyle="1" w:styleId="Spacer">
    <w:name w:val="Spacer"/>
    <w:basedOn w:val="Normal"/>
    <w:rsid w:val="00C67AFA"/>
    <w:rPr>
      <w:sz w:val="2"/>
      <w:szCs w:val="2"/>
    </w:rPr>
  </w:style>
  <w:style w:type="character" w:customStyle="1" w:styleId="Small">
    <w:name w:val="Small"/>
    <w:basedOn w:val="DefaultParagraphFont"/>
    <w:rsid w:val="00C67AFA"/>
    <w:rPr>
      <w:sz w:val="16"/>
    </w:rPr>
  </w:style>
  <w:style w:type="paragraph" w:customStyle="1" w:styleId="WideTable">
    <w:name w:val="Wide Table"/>
    <w:basedOn w:val="Normal"/>
    <w:rsid w:val="00C67AFA"/>
    <w:pPr>
      <w:ind w:left="-1418"/>
    </w:pPr>
    <w:rPr>
      <w:sz w:val="2"/>
      <w:szCs w:val="2"/>
    </w:rPr>
  </w:style>
  <w:style w:type="character" w:styleId="PageNumber">
    <w:name w:val="page number"/>
    <w:basedOn w:val="DefaultParagraphFont"/>
    <w:rsid w:val="00C67AFA"/>
  </w:style>
  <w:style w:type="paragraph" w:styleId="Quote">
    <w:name w:val="Quote"/>
    <w:basedOn w:val="Heading1"/>
    <w:link w:val="QuoteChar"/>
    <w:qFormat/>
    <w:rsid w:val="00C67AFA"/>
    <w:rPr>
      <w:b w:val="0"/>
      <w:sz w:val="72"/>
      <w:szCs w:val="72"/>
      <w:lang w:val="en-NZ"/>
    </w:rPr>
  </w:style>
  <w:style w:type="character" w:customStyle="1" w:styleId="QuoteChar">
    <w:name w:val="Quote Char"/>
    <w:basedOn w:val="DefaultParagraphFont"/>
    <w:link w:val="Quote"/>
    <w:rsid w:val="00C67A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7AFA"/>
    <w:pPr>
      <w:pageBreakBefore/>
    </w:pPr>
  </w:style>
  <w:style w:type="paragraph" w:customStyle="1" w:styleId="Border">
    <w:name w:val="Border"/>
    <w:basedOn w:val="Normal"/>
    <w:qFormat/>
    <w:rsid w:val="00C67A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7AFA"/>
    <w:rPr>
      <w:b/>
      <w:bCs/>
      <w:i/>
      <w:iCs/>
      <w:color w:val="auto"/>
    </w:rPr>
  </w:style>
  <w:style w:type="paragraph" w:styleId="IntenseQuote">
    <w:name w:val="Intense Quote"/>
    <w:basedOn w:val="Normal"/>
    <w:next w:val="Normal"/>
    <w:link w:val="IntenseQuoteChar"/>
    <w:uiPriority w:val="30"/>
    <w:qFormat/>
    <w:rsid w:val="00C67A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7A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7AFA"/>
    <w:rPr>
      <w:smallCaps/>
      <w:color w:val="auto"/>
      <w:u w:val="single"/>
    </w:rPr>
  </w:style>
  <w:style w:type="character" w:styleId="IntenseReference">
    <w:name w:val="Intense Reference"/>
    <w:basedOn w:val="DefaultParagraphFont"/>
    <w:uiPriority w:val="32"/>
    <w:qFormat/>
    <w:rsid w:val="00C67AFA"/>
    <w:rPr>
      <w:b/>
      <w:bCs/>
      <w:smallCaps/>
      <w:color w:val="auto"/>
      <w:spacing w:val="5"/>
      <w:u w:val="single"/>
    </w:rPr>
  </w:style>
  <w:style w:type="paragraph" w:customStyle="1" w:styleId="2ColumnHeading">
    <w:name w:val="2Column Heading"/>
    <w:basedOn w:val="BodyText"/>
    <w:qFormat/>
    <w:rsid w:val="00C67AFA"/>
    <w:pPr>
      <w:spacing w:after="60"/>
      <w:ind w:left="-2268"/>
    </w:pPr>
    <w:rPr>
      <w:b/>
    </w:rPr>
  </w:style>
  <w:style w:type="paragraph" w:customStyle="1" w:styleId="Heading1TOC">
    <w:name w:val="Heading1 TOC"/>
    <w:basedOn w:val="Normal"/>
    <w:qFormat/>
    <w:rsid w:val="00C67AFA"/>
    <w:pPr>
      <w:spacing w:before="240" w:after="120"/>
    </w:pPr>
    <w:rPr>
      <w:rFonts w:ascii="Times New Roman" w:hAnsi="Times New Roman"/>
      <w:b/>
      <w:sz w:val="32"/>
    </w:rPr>
  </w:style>
  <w:style w:type="paragraph" w:customStyle="1" w:styleId="Heading2TOC">
    <w:name w:val="Heading2 TOC"/>
    <w:basedOn w:val="Normal"/>
    <w:qFormat/>
    <w:rsid w:val="00C67AFA"/>
    <w:pPr>
      <w:spacing w:before="240" w:after="60"/>
    </w:pPr>
    <w:rPr>
      <w:rFonts w:ascii="Times New Roman" w:hAnsi="Times New Roman"/>
      <w:b/>
      <w:sz w:val="28"/>
    </w:rPr>
  </w:style>
  <w:style w:type="character" w:customStyle="1" w:styleId="Underline">
    <w:name w:val="Underline"/>
    <w:basedOn w:val="DefaultParagraphFont"/>
    <w:qFormat/>
    <w:rsid w:val="00C67AFA"/>
    <w:rPr>
      <w:u w:val="single"/>
    </w:rPr>
  </w:style>
  <w:style w:type="character" w:customStyle="1" w:styleId="BoldandItalics">
    <w:name w:val="Bold and Italics"/>
    <w:qFormat/>
    <w:rsid w:val="00C67AFA"/>
    <w:rPr>
      <w:b/>
      <w:i/>
      <w:u w:val="none"/>
    </w:rPr>
  </w:style>
  <w:style w:type="paragraph" w:styleId="BalloonText">
    <w:name w:val="Balloon Text"/>
    <w:basedOn w:val="Normal"/>
    <w:link w:val="BalloonTextChar"/>
    <w:rsid w:val="00C67AFA"/>
    <w:rPr>
      <w:rFonts w:ascii="Tahoma" w:hAnsi="Tahoma" w:cs="Tahoma"/>
      <w:sz w:val="16"/>
      <w:szCs w:val="16"/>
    </w:rPr>
  </w:style>
  <w:style w:type="character" w:customStyle="1" w:styleId="BalloonTextChar">
    <w:name w:val="Balloon Text Char"/>
    <w:basedOn w:val="DefaultParagraphFont"/>
    <w:link w:val="BalloonText"/>
    <w:rsid w:val="00C67A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7AF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67A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7AFA"/>
    <w:rPr>
      <w:b/>
      <w:color w:val="660033"/>
      <w:spacing w:val="0"/>
    </w:rPr>
  </w:style>
  <w:style w:type="paragraph" w:customStyle="1" w:styleId="Nameditemlist">
    <w:name w:val="Named item list"/>
    <w:basedOn w:val="BodyText"/>
    <w:qFormat/>
    <w:rsid w:val="00C67AFA"/>
    <w:pPr>
      <w:tabs>
        <w:tab w:val="left" w:pos="2835"/>
      </w:tabs>
      <w:ind w:left="2835" w:hanging="2835"/>
    </w:pPr>
  </w:style>
  <w:style w:type="paragraph" w:customStyle="1" w:styleId="BodyTextnopadding">
    <w:name w:val="Body Text no padding"/>
    <w:basedOn w:val="BodyText"/>
    <w:qFormat/>
    <w:rsid w:val="00C67AFA"/>
    <w:pPr>
      <w:spacing w:before="0" w:after="0"/>
    </w:pPr>
  </w:style>
  <w:style w:type="paragraph" w:customStyle="1" w:styleId="BodyTextBold">
    <w:name w:val="Body Text Bold"/>
    <w:basedOn w:val="BodyText"/>
    <w:qFormat/>
    <w:rsid w:val="00C67AFA"/>
    <w:rPr>
      <w:b/>
    </w:rPr>
  </w:style>
  <w:style w:type="character" w:styleId="Hyperlink">
    <w:name w:val="Hyperlink"/>
    <w:basedOn w:val="DefaultParagraphFont"/>
    <w:uiPriority w:val="99"/>
    <w:unhideWhenUsed/>
    <w:rsid w:val="0086395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1669</Words>
  <Characters>10720</Characters>
  <Application>Microsoft Office Word</Application>
  <DocSecurity>0</DocSecurity>
  <Lines>335</Lines>
  <Paragraphs>176</Paragraphs>
  <ScaleCrop>false</ScaleCrop>
  <Company>Author-it Software Corporation Ltd.</Company>
  <LinksUpToDate>false</LinksUpToDate>
  <CharactersWithSpaces>12213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MEA362 Maintain aircraft vapour cycle air conditioning systems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2025-03-01T11:25:00Z</dcterms:created>
  <dcterms:modified xsi:type="dcterms:W3CDTF">2025-03-01T11:25:00Z</dcterms:modified>
</cp:coreProperties>
</file>