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E03" w:rsidP="00F05E03">
      <w:pPr>
        <w:pStyle w:val="Title"/>
      </w:pPr>
      <w:r>
        <w:fldChar w:fldCharType="begin"/>
      </w:r>
      <w:r>
        <w:instrText xml:space="preserve"> TITLE   \* MERGEFORMAT </w:instrText>
      </w:r>
      <w:r>
        <w:fldChar w:fldCharType="separate"/>
      </w:r>
      <w:r>
        <w:t>Assessment Requirements for MEA351 Maintain airframe systems of basic light fixed wing aircraft</w:t>
      </w:r>
      <w:r>
        <w:fldChar w:fldCharType="end"/>
      </w:r>
    </w:p>
    <w:p w:rsidR="00F05E03" w:rsidP="00F05E03">
      <w:pPr>
        <w:pStyle w:val="Version"/>
        <w:sectPr w:rsidSect="00BA2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236F" w:rsidP="00BA236F">
      <w:pPr>
        <w:pStyle w:val="SuperHeading"/>
      </w:pPr>
      <w:r w:rsidRPr="00BA236F">
        <w:t>Assessment Requirements for MEA351 Maintain airframe systems of basic light fixed wing aircraft</w:t>
      </w:r>
    </w:p>
    <w:p w:rsidR="00000000" w:rsidRPr="00BA236F" w:rsidP="00BA236F">
      <w:pPr>
        <w:pStyle w:val="Heading1"/>
      </w:pPr>
      <w:bookmarkStart w:id="1" w:name="O_998814"/>
      <w:bookmarkEnd w:id="1"/>
      <w:r w:rsidRPr="00BA236F">
        <w:t>Modification History</w:t>
      </w:r>
    </w:p>
    <w:p w:rsidR="00000000" w:rsidRPr="00BA236F" w:rsidP="00F05E03">
      <w:pPr>
        <w:pStyle w:val="BodyText"/>
      </w:pPr>
      <w:r w:rsidRPr="00BA236F">
        <w:t>Release 2. Equivalent to MEA351 Maintain airframe systems of basic light fixed wing aircraft with amended prerequisite codes.</w:t>
      </w:r>
    </w:p>
    <w:p w:rsidR="00000000" w:rsidRPr="00BA236F" w:rsidP="00BA236F">
      <w:pPr>
        <w:pStyle w:val="Heading1"/>
      </w:pPr>
      <w:bookmarkStart w:id="2" w:name="O_998813"/>
      <w:bookmarkEnd w:id="2"/>
      <w:r w:rsidRPr="00BA236F">
        <w:t>Performance Evidence</w:t>
      </w:r>
    </w:p>
    <w:p w:rsidR="00000000" w:rsidRPr="00BA236F" w:rsidP="00F05E03">
      <w:pPr>
        <w:pStyle w:val="BodyText"/>
      </w:pPr>
      <w:r w:rsidRPr="00BA236F">
        <w:t>Evidence required to demonstrate competency in this unit must be relevant to and satisfy all</w:t>
      </w:r>
      <w:r w:rsidRPr="00BA236F">
        <w:t xml:space="preserve"> of the requirements of the elements and performance criteria under the specified conditions of assessment, and must include:</w:t>
      </w:r>
    </w:p>
    <w:p w:rsidR="00000000" w:rsidRPr="00BA236F" w:rsidP="00BA236F">
      <w:pPr>
        <w:pStyle w:val="ListBullet"/>
      </w:pPr>
      <w:r w:rsidRPr="00BA236F">
        <w:t>using hand skills, tools and test equipment in the testing, adjustment and troubleshooting of airframe systems and components, in</w:t>
      </w:r>
      <w:r w:rsidRPr="00BA236F">
        <w:t>cluding airframe system component removal and installation</w:t>
      </w:r>
    </w:p>
    <w:p w:rsidR="00000000" w:rsidRPr="00BA236F" w:rsidP="00BA236F">
      <w:pPr>
        <w:pStyle w:val="ListBullet"/>
      </w:pPr>
      <w:r w:rsidRPr="00BA236F">
        <w:t>recognising system and component defects/external damage, correct installation and security for the range of airframe systems listed in the Range of Conditions</w:t>
      </w:r>
    </w:p>
    <w:p w:rsidR="00000000" w:rsidRPr="00BA236F" w:rsidP="00BA236F">
      <w:pPr>
        <w:pStyle w:val="ListBullet"/>
      </w:pPr>
      <w:r w:rsidRPr="00BA236F">
        <w:t>removing, installing and rigging of f</w:t>
      </w:r>
      <w:r w:rsidRPr="00BA236F">
        <w:t>light controls</w:t>
      </w:r>
    </w:p>
    <w:p w:rsidR="00000000" w:rsidRPr="00BA236F" w:rsidP="00BA236F">
      <w:pPr>
        <w:pStyle w:val="ListBullet"/>
      </w:pPr>
      <w:r w:rsidRPr="00BA236F">
        <w:t>checking flight control mass balance</w:t>
      </w:r>
    </w:p>
    <w:p w:rsidR="00000000" w:rsidRPr="00BA236F" w:rsidP="00BA236F">
      <w:pPr>
        <w:pStyle w:val="ListBullet"/>
      </w:pPr>
      <w:r w:rsidRPr="00BA236F">
        <w:t>performing system functional tests and checks to isolate system faults and assess post-maintenance serviceability</w:t>
      </w:r>
    </w:p>
    <w:p w:rsidR="00000000" w:rsidRPr="00BA236F" w:rsidP="00BA236F">
      <w:pPr>
        <w:pStyle w:val="ListBullet"/>
      </w:pPr>
      <w:r w:rsidRPr="00BA236F">
        <w:t>effectively using maintenance documentation and relevant fault diagnosis guides in the tro</w:t>
      </w:r>
      <w:r w:rsidRPr="00BA236F">
        <w:t>ubleshooting process and for component removal and installation</w:t>
      </w:r>
    </w:p>
    <w:p w:rsidR="00000000" w:rsidRPr="00BA236F" w:rsidP="00BA236F">
      <w:pPr>
        <w:pStyle w:val="ListBullet"/>
      </w:pPr>
      <w:r w:rsidRPr="00BA236F">
        <w:t>applying standard procedures</w:t>
      </w:r>
    </w:p>
    <w:p w:rsidR="00000000" w:rsidRPr="00BA236F" w:rsidP="00BA236F">
      <w:pPr>
        <w:pStyle w:val="ListBullet"/>
      </w:pPr>
      <w:r w:rsidRPr="00BA236F">
        <w:t>observing all relevant WHS procedures, including the use of PPE and MSDS.</w:t>
      </w:r>
    </w:p>
    <w:p w:rsidR="00000000" w:rsidRPr="00BA236F" w:rsidP="00F05E03">
      <w:pPr>
        <w:pStyle w:val="BodyText"/>
      </w:pPr>
      <w:r w:rsidRPr="00BA236F">
        <w:t>The underlying skills inherent in this unit should be transferable across a range of insp</w:t>
      </w:r>
      <w:r w:rsidRPr="00BA236F">
        <w:t>ection, testing and troubleshooting applications (including the timely involvement of supervisors or other trades) associated with airframe systems and components of basic light fixed wing aircraft. It is essential that relevant procedures, cleanliness req</w:t>
      </w:r>
      <w:r w:rsidRPr="00BA236F">
        <w:t>uirements and safety precautions are fully observed, understood and complied with. Ability to interpret inspection procedures and specifications (allowable limits) and apply them in practice is critical.</w:t>
      </w:r>
    </w:p>
    <w:p w:rsidR="00F05E03" w:rsidP="00F05E03">
      <w:pPr>
        <w:pStyle w:val="BodyText"/>
      </w:pPr>
      <w:r w:rsidRPr="00BA236F">
        <w:t>This shall be demonstrated through application acros</w:t>
      </w:r>
      <w:r w:rsidRPr="00BA236F">
        <w:t xml:space="preserve">s a range of airframe systems and components as listed in the Assessment Conditions. </w:t>
      </w:r>
    </w:p>
    <w:p w:rsidR="00000000" w:rsidRPr="00BA236F" w:rsidP="00BA236F">
      <w:pPr>
        <w:pStyle w:val="Heading1"/>
      </w:pPr>
      <w:bookmarkStart w:id="3" w:name="O_998812"/>
      <w:bookmarkEnd w:id="3"/>
      <w:r w:rsidRPr="00BA236F">
        <w:t>Knowledge Evidence</w:t>
      </w:r>
    </w:p>
    <w:p w:rsidR="00000000" w:rsidRPr="00BA236F" w:rsidP="00F05E03">
      <w:pPr>
        <w:pStyle w:val="BodyText"/>
      </w:pPr>
      <w:r w:rsidRPr="00BA236F">
        <w:t xml:space="preserve">Evidence required to demonstrate competency in this unit must be relevant to and satisfy all of the requirements of the elements and </w:t>
      </w:r>
      <w:r w:rsidRPr="00BA236F">
        <w:t>performance criteria and include knowledge of:</w:t>
      </w:r>
    </w:p>
    <w:p w:rsidR="00000000" w:rsidRPr="00BA236F" w:rsidP="00BA236F">
      <w:pPr>
        <w:pStyle w:val="ListBullet"/>
      </w:pPr>
      <w:r w:rsidRPr="00BA236F">
        <w:t>WHS precautions relevant to airframe system maintenance, including the use of PPE and MSDS</w:t>
      </w:r>
    </w:p>
    <w:p w:rsidR="00000000" w:rsidRPr="00BA236F" w:rsidP="00BA236F">
      <w:pPr>
        <w:pStyle w:val="ListBullet"/>
      </w:pPr>
      <w:r w:rsidRPr="00BA236F">
        <w:t>standard trade practices relating to tool and test/rigging equipment usage and installation/securing of system compon</w:t>
      </w:r>
      <w:r w:rsidRPr="00BA236F">
        <w:t>ents</w:t>
      </w:r>
    </w:p>
    <w:p w:rsidR="00000000" w:rsidRPr="00BA236F" w:rsidP="00BA236F">
      <w:pPr>
        <w:pStyle w:val="ListBullet"/>
      </w:pPr>
      <w:r w:rsidRPr="00BA236F">
        <w:t>flight control system layout and operation</w:t>
      </w:r>
    </w:p>
    <w:p w:rsidR="00000000" w:rsidRPr="00BA236F" w:rsidP="00BA236F">
      <w:pPr>
        <w:pStyle w:val="ListBullet"/>
      </w:pPr>
      <w:r w:rsidRPr="00BA236F">
        <w:t>theory of flight:</w:t>
      </w:r>
    </w:p>
    <w:p w:rsidR="00000000" w:rsidRPr="00BA236F" w:rsidP="00BA236F">
      <w:pPr>
        <w:pStyle w:val="ListBullet2"/>
      </w:pPr>
      <w:r w:rsidRPr="00BA236F">
        <w:t>airflow</w:t>
      </w:r>
    </w:p>
    <w:p w:rsidR="00000000" w:rsidRPr="00BA236F" w:rsidP="00BA236F">
      <w:pPr>
        <w:pStyle w:val="ListBullet2"/>
      </w:pPr>
      <w:r w:rsidRPr="00BA236F">
        <w:t>conditions of flight</w:t>
      </w:r>
    </w:p>
    <w:p w:rsidR="00000000" w:rsidRPr="00BA236F" w:rsidP="00BA236F">
      <w:pPr>
        <w:pStyle w:val="ListBullet2"/>
      </w:pPr>
      <w:r w:rsidRPr="00BA236F">
        <w:t>lift and forces</w:t>
      </w:r>
    </w:p>
    <w:p w:rsidR="00000000" w:rsidRPr="00BA236F" w:rsidP="00BA236F">
      <w:pPr>
        <w:pStyle w:val="ListBullet2"/>
      </w:pPr>
      <w:r w:rsidRPr="00BA236F">
        <w:t>drag</w:t>
      </w:r>
    </w:p>
    <w:p w:rsidR="00000000" w:rsidRPr="00BA236F" w:rsidP="00BA236F">
      <w:pPr>
        <w:pStyle w:val="ListBullet2"/>
      </w:pPr>
      <w:r w:rsidRPr="00BA236F">
        <w:t>wings, tailplane and vertical stabiliser</w:t>
      </w:r>
    </w:p>
    <w:p w:rsidR="00000000" w:rsidRPr="00BA236F" w:rsidP="00BA236F">
      <w:pPr>
        <w:pStyle w:val="ListBullet2"/>
      </w:pPr>
      <w:r w:rsidRPr="00BA236F">
        <w:t>lift augmentation (flaps, slats and slots)</w:t>
      </w:r>
    </w:p>
    <w:p w:rsidR="00000000" w:rsidRPr="00BA236F" w:rsidP="00BA236F">
      <w:pPr>
        <w:pStyle w:val="ListBullet2"/>
      </w:pPr>
      <w:r w:rsidRPr="00BA236F">
        <w:t>aircraft control surfaces and their function (eleva</w:t>
      </w:r>
      <w:r w:rsidRPr="00BA236F">
        <w:t>tor, ailerons, rudder, elevons and trim tabs)</w:t>
      </w:r>
    </w:p>
    <w:p w:rsidR="00000000" w:rsidRPr="00BA236F" w:rsidP="00BA236F">
      <w:pPr>
        <w:pStyle w:val="ListBullet2"/>
      </w:pPr>
      <w:r w:rsidRPr="00BA236F">
        <w:t>flight control balancing and flutter</w:t>
      </w:r>
    </w:p>
    <w:p w:rsidR="00000000" w:rsidRPr="00BA236F" w:rsidP="00BA236F">
      <w:pPr>
        <w:pStyle w:val="ListBullet2"/>
      </w:pPr>
      <w:r w:rsidRPr="00BA236F">
        <w:t>stability and control and flight control rigging</w:t>
      </w:r>
    </w:p>
    <w:p w:rsidR="00000000" w:rsidRPr="00BA236F" w:rsidP="00BA236F">
      <w:pPr>
        <w:pStyle w:val="ListBullet"/>
      </w:pPr>
      <w:r w:rsidRPr="00BA236F">
        <w:t>system layout and operation:</w:t>
      </w:r>
    </w:p>
    <w:p w:rsidR="00000000" w:rsidRPr="00BA236F" w:rsidP="00BA236F">
      <w:pPr>
        <w:pStyle w:val="ListBullet2"/>
      </w:pPr>
      <w:r w:rsidRPr="00BA236F">
        <w:t>cockpit controls</w:t>
      </w:r>
    </w:p>
    <w:p w:rsidR="00000000" w:rsidRPr="00BA236F" w:rsidP="00BA236F">
      <w:pPr>
        <w:pStyle w:val="ListBullet2"/>
      </w:pPr>
      <w:r w:rsidRPr="00BA236F">
        <w:t>cables and cable tensioning</w:t>
      </w:r>
    </w:p>
    <w:p w:rsidR="00000000" w:rsidRPr="00BA236F" w:rsidP="00BA236F">
      <w:pPr>
        <w:pStyle w:val="ListBullet2"/>
      </w:pPr>
      <w:r w:rsidRPr="00BA236F">
        <w:t>pulleys and fairleads</w:t>
      </w:r>
    </w:p>
    <w:p w:rsidR="00000000" w:rsidRPr="00BA236F" w:rsidP="00BA236F">
      <w:pPr>
        <w:pStyle w:val="ListBullet2"/>
      </w:pPr>
      <w:r w:rsidRPr="00BA236F">
        <w:t>bellcranks</w:t>
      </w:r>
    </w:p>
    <w:p w:rsidR="00000000" w:rsidRPr="00BA236F" w:rsidP="00BA236F">
      <w:pPr>
        <w:pStyle w:val="ListBullet2"/>
      </w:pPr>
      <w:r w:rsidRPr="00BA236F">
        <w:t>levers</w:t>
      </w:r>
    </w:p>
    <w:p w:rsidR="00000000" w:rsidRPr="00BA236F" w:rsidP="00BA236F">
      <w:pPr>
        <w:pStyle w:val="ListBullet2"/>
      </w:pPr>
      <w:r w:rsidRPr="00BA236F">
        <w:t>control surface horns</w:t>
      </w:r>
    </w:p>
    <w:p w:rsidR="00000000" w:rsidRPr="00BA236F" w:rsidP="00BA236F">
      <w:pPr>
        <w:pStyle w:val="ListBullet2"/>
      </w:pPr>
      <w:r w:rsidRPr="00BA236F">
        <w:t>screwjacks</w:t>
      </w:r>
    </w:p>
    <w:p w:rsidR="00000000" w:rsidRPr="00BA236F" w:rsidP="00BA236F">
      <w:pPr>
        <w:pStyle w:val="ListBullet2"/>
      </w:pPr>
      <w:r w:rsidRPr="00BA236F">
        <w:t>push/pull rods</w:t>
      </w:r>
    </w:p>
    <w:p w:rsidR="00000000" w:rsidRPr="00BA236F" w:rsidP="00BA236F">
      <w:pPr>
        <w:pStyle w:val="ListBullet"/>
      </w:pPr>
      <w:r w:rsidRPr="00BA236F">
        <w:t>mechanical flight control system maintenance procedures and troubleshooting</w:t>
      </w:r>
    </w:p>
    <w:p w:rsidR="00000000" w:rsidRPr="00BA236F" w:rsidP="00BA236F">
      <w:pPr>
        <w:pStyle w:val="ListBullet"/>
      </w:pPr>
      <w:r w:rsidRPr="00BA236F">
        <w:t>fixed undercarriage and shock absorber systems:</w:t>
      </w:r>
    </w:p>
    <w:p w:rsidR="00000000" w:rsidRPr="00BA236F" w:rsidP="00BA236F">
      <w:pPr>
        <w:pStyle w:val="ListBullet2"/>
      </w:pPr>
      <w:r w:rsidRPr="00BA236F">
        <w:t>undercarriage configurations and types (tail wheel, tricycle and bicycle)</w:t>
      </w:r>
    </w:p>
    <w:p w:rsidR="00000000" w:rsidRPr="00BA236F" w:rsidP="00BA236F">
      <w:pPr>
        <w:pStyle w:val="ListBullet2"/>
      </w:pPr>
      <w:r w:rsidRPr="00BA236F">
        <w:t>relative</w:t>
      </w:r>
      <w:r w:rsidRPr="00BA236F">
        <w:t xml:space="preserve"> advantages of undercarriage configurations</w:t>
      </w:r>
    </w:p>
    <w:p w:rsidR="00000000" w:rsidRPr="00BA236F" w:rsidP="00BA236F">
      <w:pPr>
        <w:pStyle w:val="ListBullet2"/>
      </w:pPr>
      <w:r w:rsidRPr="00BA236F">
        <w:t>steering systems</w:t>
      </w:r>
    </w:p>
    <w:p w:rsidR="00000000" w:rsidRPr="00BA236F" w:rsidP="00BA236F">
      <w:pPr>
        <w:pStyle w:val="ListBullet2"/>
      </w:pPr>
      <w:r w:rsidRPr="00BA236F">
        <w:t>types of shock absorber (springs, leaf, coil, spring tube, rubber disc, bungee and oleo)</w:t>
      </w:r>
    </w:p>
    <w:p w:rsidR="00000000" w:rsidRPr="00BA236F" w:rsidP="00BA236F">
      <w:pPr>
        <w:pStyle w:val="ListBullet2"/>
      </w:pPr>
      <w:r w:rsidRPr="00BA236F">
        <w:t>wheels and tyres</w:t>
      </w:r>
    </w:p>
    <w:p w:rsidR="00000000" w:rsidRPr="00BA236F" w:rsidP="00BA236F">
      <w:pPr>
        <w:pStyle w:val="ListBullet2"/>
      </w:pPr>
      <w:r w:rsidRPr="00BA236F">
        <w:t>axles and wheel bearings</w:t>
      </w:r>
    </w:p>
    <w:p w:rsidR="00000000" w:rsidRPr="00BA236F" w:rsidP="00BA236F">
      <w:pPr>
        <w:pStyle w:val="ListBullet2"/>
      </w:pPr>
      <w:r w:rsidRPr="00BA236F">
        <w:t>wheel spats</w:t>
      </w:r>
    </w:p>
    <w:p w:rsidR="00000000" w:rsidRPr="00BA236F" w:rsidP="00BA236F">
      <w:pPr>
        <w:pStyle w:val="ListBullet2"/>
      </w:pPr>
      <w:r w:rsidRPr="00BA236F">
        <w:t>fixed undercarriage maintenance procedures and troub</w:t>
      </w:r>
      <w:r w:rsidRPr="00BA236F">
        <w:t>leshooting</w:t>
      </w:r>
    </w:p>
    <w:p w:rsidR="00000000" w:rsidRPr="00BA236F" w:rsidP="00BA236F">
      <w:pPr>
        <w:pStyle w:val="ListBullet"/>
      </w:pPr>
      <w:r w:rsidRPr="00BA236F">
        <w:t>small aircraft brake systems:</w:t>
      </w:r>
    </w:p>
    <w:p w:rsidR="00000000" w:rsidRPr="00BA236F" w:rsidP="00BA236F">
      <w:pPr>
        <w:pStyle w:val="ListBullet2"/>
      </w:pPr>
      <w:r w:rsidRPr="00BA236F">
        <w:t>types of brake system (mechanical and hydraulic)</w:t>
      </w:r>
    </w:p>
    <w:p w:rsidR="00000000" w:rsidRPr="00BA236F" w:rsidP="00BA236F">
      <w:pPr>
        <w:pStyle w:val="ListBullet2"/>
      </w:pPr>
      <w:r w:rsidRPr="00BA236F">
        <w:t>master/slave cylinder hydraulic brake system operation</w:t>
      </w:r>
    </w:p>
    <w:p w:rsidR="00000000" w:rsidRPr="00BA236F" w:rsidP="00BA236F">
      <w:pPr>
        <w:pStyle w:val="ListBullet2"/>
      </w:pPr>
      <w:r w:rsidRPr="00BA236F">
        <w:t>hydraulic fluids and seals</w:t>
      </w:r>
    </w:p>
    <w:p w:rsidR="00000000" w:rsidRPr="00BA236F" w:rsidP="00BA236F">
      <w:pPr>
        <w:pStyle w:val="ListBullet2"/>
      </w:pPr>
      <w:r w:rsidRPr="00BA236F">
        <w:t>rigid and flexible plumbing</w:t>
      </w:r>
    </w:p>
    <w:p w:rsidR="00000000" w:rsidRPr="00BA236F" w:rsidP="00BA236F">
      <w:pPr>
        <w:pStyle w:val="ListBullet2"/>
      </w:pPr>
      <w:r w:rsidRPr="00BA236F">
        <w:t>brake pads and shoes</w:t>
      </w:r>
    </w:p>
    <w:p w:rsidR="00000000" w:rsidRPr="00BA236F" w:rsidP="00BA236F">
      <w:pPr>
        <w:pStyle w:val="ListBullet2"/>
      </w:pPr>
      <w:r w:rsidRPr="00BA236F">
        <w:t>brake discs and drums/linings</w:t>
      </w:r>
    </w:p>
    <w:p w:rsidR="00000000" w:rsidRPr="00BA236F" w:rsidP="00BA236F">
      <w:pPr>
        <w:pStyle w:val="ListBullet2"/>
      </w:pPr>
      <w:r w:rsidRPr="00BA236F">
        <w:t>brake system maintenance procedures and troubleshooting</w:t>
      </w:r>
    </w:p>
    <w:p w:rsidR="00000000" w:rsidRPr="00BA236F" w:rsidP="00BA236F">
      <w:pPr>
        <w:pStyle w:val="ListBullet"/>
      </w:pPr>
      <w:r w:rsidRPr="00BA236F">
        <w:t>cabin heater system layout and operation:</w:t>
      </w:r>
    </w:p>
    <w:p w:rsidR="00000000" w:rsidRPr="00BA236F" w:rsidP="00BA236F">
      <w:pPr>
        <w:pStyle w:val="ListBullet2"/>
      </w:pPr>
      <w:r w:rsidRPr="00BA236F">
        <w:t>heat source (muff heaters)</w:t>
      </w:r>
    </w:p>
    <w:p w:rsidR="00000000" w:rsidRPr="00BA236F" w:rsidP="00BA236F">
      <w:pPr>
        <w:pStyle w:val="ListBullet2"/>
      </w:pPr>
      <w:r w:rsidRPr="00BA236F">
        <w:t>ducting for heating and demisting</w:t>
      </w:r>
    </w:p>
    <w:p w:rsidR="00000000" w:rsidRPr="00BA236F" w:rsidP="00BA236F">
      <w:pPr>
        <w:pStyle w:val="ListBullet2"/>
      </w:pPr>
      <w:r w:rsidRPr="00BA236F">
        <w:t>valves and linkages</w:t>
      </w:r>
    </w:p>
    <w:p w:rsidR="00000000" w:rsidRPr="00BA236F" w:rsidP="00BA236F">
      <w:pPr>
        <w:pStyle w:val="ListBullet2"/>
      </w:pPr>
      <w:r w:rsidRPr="00BA236F">
        <w:t>fan</w:t>
      </w:r>
    </w:p>
    <w:p w:rsidR="00000000" w:rsidRPr="00BA236F" w:rsidP="00BA236F">
      <w:pPr>
        <w:pStyle w:val="ListBullet2"/>
      </w:pPr>
      <w:r w:rsidRPr="00BA236F">
        <w:t>cabin heating system maintenance procedures and troubleshooting</w:t>
      </w:r>
    </w:p>
    <w:p w:rsidR="00000000" w:rsidRPr="00BA236F" w:rsidP="00BA236F">
      <w:pPr>
        <w:pStyle w:val="ListBullet"/>
      </w:pPr>
      <w:r w:rsidRPr="00BA236F">
        <w:t>fuel s</w:t>
      </w:r>
      <w:r w:rsidRPr="00BA236F">
        <w:t>ystem layout and operation:</w:t>
      </w:r>
    </w:p>
    <w:p w:rsidR="00000000" w:rsidRPr="00BA236F" w:rsidP="00BA236F">
      <w:pPr>
        <w:pStyle w:val="ListBullet2"/>
      </w:pPr>
      <w:r w:rsidRPr="00BA236F">
        <w:t>fuel tank types and location</w:t>
      </w:r>
    </w:p>
    <w:p w:rsidR="00000000" w:rsidRPr="00BA236F" w:rsidP="00BA236F">
      <w:pPr>
        <w:pStyle w:val="ListBullet2"/>
      </w:pPr>
      <w:r w:rsidRPr="00BA236F">
        <w:t>selector valves and linkages</w:t>
      </w:r>
    </w:p>
    <w:p w:rsidR="00000000" w:rsidRPr="00BA236F" w:rsidP="00BA236F">
      <w:pPr>
        <w:pStyle w:val="ListBullet2"/>
      </w:pPr>
      <w:r w:rsidRPr="00BA236F">
        <w:t>drain valves</w:t>
      </w:r>
    </w:p>
    <w:p w:rsidR="00000000" w:rsidRPr="00BA236F" w:rsidP="00BA236F">
      <w:pPr>
        <w:pStyle w:val="ListBullet2"/>
      </w:pPr>
      <w:r w:rsidRPr="00BA236F">
        <w:t xml:space="preserve">rigid and flexible plumbing </w:t>
      </w:r>
    </w:p>
    <w:p w:rsidR="00000000" w:rsidRPr="00BA236F" w:rsidP="00BA236F">
      <w:pPr>
        <w:pStyle w:val="ListBullet2"/>
      </w:pPr>
      <w:r w:rsidRPr="00BA236F">
        <w:t>fuel filters</w:t>
      </w:r>
    </w:p>
    <w:p w:rsidR="00000000" w:rsidRPr="00BA236F" w:rsidP="00BA236F">
      <w:pPr>
        <w:pStyle w:val="ListBullet2"/>
      </w:pPr>
      <w:r w:rsidRPr="00BA236F">
        <w:t>boost pumps</w:t>
      </w:r>
    </w:p>
    <w:p w:rsidR="00000000" w:rsidRPr="00BA236F" w:rsidP="00BA236F">
      <w:pPr>
        <w:pStyle w:val="ListBullet"/>
      </w:pPr>
      <w:r w:rsidRPr="00BA236F">
        <w:t>relevant maintenance manuals</w:t>
      </w:r>
    </w:p>
    <w:p w:rsidR="00000000" w:rsidRPr="00BA236F" w:rsidP="00BA236F">
      <w:pPr>
        <w:pStyle w:val="ListBullet"/>
      </w:pPr>
      <w:r w:rsidRPr="00BA236F">
        <w:t>relevant regulatory requirements and standard procedures.</w:t>
      </w:r>
    </w:p>
    <w:p w:rsidR="00000000" w:rsidRPr="00BA236F" w:rsidP="00BA236F">
      <w:pPr>
        <w:pStyle w:val="AllowPageBreak"/>
      </w:pPr>
    </w:p>
    <w:p w:rsidR="00000000" w:rsidRPr="00BA236F" w:rsidP="00BA236F">
      <w:pPr>
        <w:pStyle w:val="Heading1"/>
      </w:pPr>
      <w:bookmarkStart w:id="4" w:name="O_998811"/>
      <w:bookmarkEnd w:id="4"/>
      <w:r w:rsidRPr="00BA236F">
        <w:t>Assessment Conditions</w:t>
      </w:r>
    </w:p>
    <w:p w:rsidR="00000000" w:rsidRPr="00BA236F" w:rsidP="00BA236F">
      <w:pPr>
        <w:pStyle w:val="ListBullet"/>
      </w:pPr>
      <w:r w:rsidRPr="00BA236F">
        <w:t>Competency should be assessed in the work environment or simulated work environment using tools and equipment specified in maintenance documentation. It is also expected that applicable general-purpose tools and test equipmen</w:t>
      </w:r>
      <w:r w:rsidRPr="00BA236F">
        <w:t>t found in most routine situations would be used where appropriate.</w:t>
      </w:r>
    </w:p>
    <w:p w:rsidR="00000000" w:rsidRPr="00BA236F" w:rsidP="00BA236F">
      <w:pPr>
        <w:pStyle w:val="ListBullet"/>
      </w:pPr>
      <w:r w:rsidRPr="00BA236F">
        <w:t>The application of testing procedures should clearly indicate knowledge of system operation, the relationship of individual components and the links with other systems (if applicable) with</w:t>
      </w:r>
      <w:r w:rsidRPr="00BA236F">
        <w:t>in the limits of the aircraft/system fault-finding guide before undertaking any action. The work plan should take account of applicable safety and quality requirements in accordance with the industry and regulatory standards.</w:t>
      </w:r>
    </w:p>
    <w:p w:rsidR="00000000" w:rsidRPr="00BA236F" w:rsidP="00BA236F">
      <w:pPr>
        <w:pStyle w:val="ListBullet"/>
      </w:pPr>
      <w:r w:rsidRPr="00BA236F">
        <w:t>The following conditions of as</w:t>
      </w:r>
      <w:r w:rsidRPr="00BA236F">
        <w:t>sessment represent the requirements of the Regulators (ADF and CASA) and maintenance stakeholders and must be rigorously observed.</w:t>
      </w:r>
    </w:p>
    <w:p w:rsidR="00000000" w:rsidRPr="00BA236F" w:rsidP="00BA236F">
      <w:pPr>
        <w:pStyle w:val="ListBullet"/>
      </w:pPr>
      <w:r w:rsidRPr="00BA236F">
        <w:t xml:space="preserve">A person cannot be assessed as competent until it can be demonstrated to the satisfaction of the workplace assessor that the </w:t>
      </w:r>
      <w:r w:rsidRPr="00BA236F">
        <w:t>relevant elements and performance criteria of this unit of competency are being achieved under routine supervision as follows:</w:t>
      </w:r>
    </w:p>
    <w:p w:rsidR="00000000" w:rsidRPr="00BA236F" w:rsidP="00BA236F">
      <w:pPr>
        <w:pStyle w:val="ListBullet2"/>
      </w:pPr>
      <w:r w:rsidRPr="00BA236F">
        <w:t>at least one (1) of each system:</w:t>
      </w:r>
    </w:p>
    <w:p w:rsidR="00000000" w:rsidRPr="00BA236F" w:rsidP="00BA236F">
      <w:pPr>
        <w:pStyle w:val="ListBullet3"/>
      </w:pPr>
      <w:r w:rsidRPr="00BA236F">
        <w:t>flight control systems</w:t>
      </w:r>
    </w:p>
    <w:p w:rsidR="00000000" w:rsidRPr="00BA236F" w:rsidP="00BA236F">
      <w:pPr>
        <w:pStyle w:val="ListBullet3"/>
      </w:pPr>
      <w:r w:rsidRPr="00BA236F">
        <w:t>fixed undercarriage shock absorbers</w:t>
      </w:r>
    </w:p>
    <w:p w:rsidR="00000000" w:rsidRPr="00BA236F" w:rsidP="00BA236F">
      <w:pPr>
        <w:pStyle w:val="ListBullet3"/>
      </w:pPr>
      <w:r w:rsidRPr="00BA236F">
        <w:t>master/slave cylinder brake systems</w:t>
      </w:r>
    </w:p>
    <w:p w:rsidR="00000000" w:rsidRPr="00BA236F" w:rsidP="00BA236F">
      <w:pPr>
        <w:pStyle w:val="ListBullet3"/>
      </w:pPr>
      <w:r w:rsidRPr="00BA236F">
        <w:t xml:space="preserve">fuel systems </w:t>
      </w:r>
    </w:p>
    <w:p w:rsidR="00000000" w:rsidRPr="00BA236F" w:rsidP="00BA236F">
      <w:pPr>
        <w:pStyle w:val="ListBullet3"/>
      </w:pPr>
      <w:r w:rsidRPr="00BA236F">
        <w:t xml:space="preserve">cabin heating systems </w:t>
      </w:r>
    </w:p>
    <w:p w:rsidR="00000000" w:rsidRPr="00BA236F" w:rsidP="00BA236F">
      <w:pPr>
        <w:pStyle w:val="ListBullet2"/>
      </w:pPr>
      <w:r w:rsidRPr="00BA236F">
        <w:t>a representative range of components from each of the following groups:</w:t>
      </w:r>
    </w:p>
    <w:p w:rsidR="00000000" w:rsidRPr="00BA236F" w:rsidP="00BA236F">
      <w:pPr>
        <w:pStyle w:val="ListBullet3"/>
      </w:pPr>
      <w:r w:rsidRPr="00BA236F">
        <w:t>ailerons, elevators, rudders, trim tabs, flaps and slats</w:t>
      </w:r>
    </w:p>
    <w:p w:rsidR="00000000" w:rsidRPr="00BA236F" w:rsidP="00BA236F">
      <w:pPr>
        <w:pStyle w:val="ListBullet3"/>
      </w:pPr>
      <w:r w:rsidRPr="00BA236F">
        <w:t xml:space="preserve">flight control wheels or sticks, cables, pulleys, guides, fairleads, bellcranks, </w:t>
      </w:r>
      <w:r w:rsidRPr="00BA236F">
        <w:t>rods, torque tubes, chains, sprockets, trim wheels or handles and rudder pedals or bars</w:t>
      </w:r>
    </w:p>
    <w:p w:rsidR="00000000" w:rsidRPr="00BA236F" w:rsidP="00BA236F">
      <w:pPr>
        <w:pStyle w:val="ListBullet3"/>
      </w:pPr>
      <w:r w:rsidRPr="00BA236F">
        <w:t>fixed undercarriage hydraulic and rubber shock absorbers</w:t>
      </w:r>
    </w:p>
    <w:p w:rsidR="00000000" w:rsidRPr="00BA236F" w:rsidP="00BA236F">
      <w:pPr>
        <w:pStyle w:val="ListBullet3"/>
      </w:pPr>
      <w:r w:rsidRPr="00BA236F">
        <w:t>wheels and brake units</w:t>
      </w:r>
    </w:p>
    <w:p w:rsidR="00000000" w:rsidRPr="00BA236F" w:rsidP="00BA236F">
      <w:pPr>
        <w:pStyle w:val="ListBullet3"/>
      </w:pPr>
      <w:r w:rsidRPr="00BA236F">
        <w:t>brake master cylinders and rigid or flexible plumbing</w:t>
      </w:r>
    </w:p>
    <w:p w:rsidR="00000000" w:rsidRPr="00BA236F" w:rsidP="00BA236F">
      <w:pPr>
        <w:pStyle w:val="ListBullet3"/>
      </w:pPr>
      <w:r w:rsidRPr="00BA236F">
        <w:t>rigid or flexible fuel tanks, sele</w:t>
      </w:r>
      <w:r w:rsidRPr="00BA236F">
        <w:t>ctor/shutoff valves and rigid or flexible plumbing</w:t>
      </w:r>
    </w:p>
    <w:p w:rsidR="00000000" w:rsidRPr="00BA236F" w:rsidP="00BA236F">
      <w:pPr>
        <w:pStyle w:val="ListBullet3"/>
      </w:pPr>
      <w:r w:rsidRPr="00BA236F">
        <w:t>cabin heater ducting and control valves.</w:t>
      </w:r>
    </w:p>
    <w:p w:rsidR="00000000" w:rsidRPr="00BA236F" w:rsidP="00BA236F">
      <w:pPr>
        <w:pStyle w:val="ListBullet"/>
      </w:pPr>
      <w:r w:rsidRPr="00BA236F">
        <w:t>This shall be established via the records in the Log of Industrial Experience and Achievement or, where appropriate, an equivalent Industry Evidence Guide (for det</w:t>
      </w:r>
      <w:r w:rsidRPr="00BA236F">
        <w:t>ails refer to the Companion Volume Assessment Guidelines).</w:t>
      </w:r>
    </w:p>
    <w:p w:rsidR="00000000" w:rsidRPr="00BA236F" w:rsidP="00BA236F">
      <w:pPr>
        <w:pStyle w:val="ListBullet"/>
      </w:pPr>
      <w:r w:rsidRPr="00BA236F">
        <w:t>Assessors must satisfy the requirements of the National Vocational Education and Training Regulator (Australian Skills Quality Authority, or its successors).</w:t>
      </w:r>
    </w:p>
    <w:p w:rsidR="00000000" w:rsidRPr="00BA236F" w:rsidP="00BA236F">
      <w:pPr>
        <w:pStyle w:val="ListBullet"/>
      </w:pPr>
      <w:r w:rsidRPr="00BA236F">
        <w:t>Where the unit is to be used for CASA licensing purposes the Assessor must also meet the criteria specified in the CASR Part 147 Manual of Standards.</w:t>
      </w:r>
    </w:p>
    <w:p w:rsidR="00000000" w:rsidRPr="00BA236F" w:rsidP="00BA236F">
      <w:pPr>
        <w:pStyle w:val="AllowPageBreak"/>
      </w:pPr>
    </w:p>
    <w:p w:rsidR="00000000" w:rsidRPr="00BA236F" w:rsidP="00BA236F">
      <w:pPr>
        <w:pStyle w:val="Heading1"/>
      </w:pPr>
      <w:bookmarkStart w:id="5" w:name="O_998826"/>
      <w:bookmarkEnd w:id="5"/>
      <w:r w:rsidRPr="00BA236F">
        <w:t>Links</w:t>
      </w:r>
    </w:p>
    <w:p w:rsidR="00000000" w:rsidRPr="00BA236F" w:rsidP="00F05E03">
      <w:pPr>
        <w:pStyle w:val="BodyText"/>
      </w:pPr>
      <w:r w:rsidRPr="00BA236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94324">
        <w:rPr>
          <w:rStyle w:val="Hyperlink"/>
        </w:rPr>
        <w:t>https://vetnet.gov.au/Pages/TrainingDocs.aspx?q=ce216c9c-04d5-4b3b-9bcf-4e81d0950371</w:t>
      </w:r>
      <w:r>
        <w:fldChar w:fldCharType="end"/>
      </w:r>
    </w:p>
    <w:p w:rsidR="00000000" w:rsidRPr="00BA236F" w:rsidP="00BA236F"/>
    <w:sectPr w:rsidSect="00BA23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6F" w:rsidRPr="00F05E03" w:rsidP="00F05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03" w:rsidP="00BA2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E03" w:rsidP="00BA23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5E03" w:rsidP="00BA2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36F" w:rsidRPr="00F05E03" w:rsidP="00F05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03" w:rsidRPr="002D2AF8" w:rsidP="00BA236F">
    <w:pPr>
      <w:pStyle w:val="Header"/>
      <w:framePr w:wrap="around"/>
    </w:pPr>
    <w:r>
      <w:fldChar w:fldCharType="begin"/>
    </w:r>
    <w:r>
      <w:instrText xml:space="preserve"> TITLE   \* MERGEFORMAT </w:instrText>
    </w:r>
    <w:r>
      <w:fldChar w:fldCharType="separate"/>
    </w:r>
    <w:r>
      <w:t>Assessment Requirements for MEA351 Maintain airframe systems of basic light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05E03" w:rsidP="00BA2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28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A3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20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36F"/>
    <w:pPr>
      <w:spacing w:before="360" w:after="60"/>
      <w:outlineLvl w:val="0"/>
    </w:pPr>
    <w:rPr>
      <w:sz w:val="32"/>
    </w:rPr>
  </w:style>
  <w:style w:type="paragraph" w:styleId="Heading2">
    <w:name w:val="heading 2"/>
    <w:basedOn w:val="HeadingBase"/>
    <w:next w:val="BodyText"/>
    <w:link w:val="Heading2Char"/>
    <w:qFormat/>
    <w:rsid w:val="00BA236F"/>
    <w:pPr>
      <w:keepLines/>
      <w:spacing w:before="240" w:after="120"/>
      <w:outlineLvl w:val="1"/>
    </w:pPr>
    <w:rPr>
      <w:sz w:val="28"/>
      <w:szCs w:val="40"/>
    </w:rPr>
  </w:style>
  <w:style w:type="paragraph" w:styleId="Heading3">
    <w:name w:val="heading 3"/>
    <w:basedOn w:val="HeadingBase"/>
    <w:next w:val="BodyText"/>
    <w:link w:val="Heading3Char"/>
    <w:qFormat/>
    <w:rsid w:val="00BA236F"/>
    <w:pPr>
      <w:spacing w:before="180" w:after="120"/>
      <w:outlineLvl w:val="2"/>
    </w:pPr>
    <w:rPr>
      <w:spacing w:val="-10"/>
      <w:kern w:val="32"/>
    </w:rPr>
  </w:style>
  <w:style w:type="paragraph" w:styleId="Heading4">
    <w:name w:val="heading 4"/>
    <w:basedOn w:val="HeadingBase"/>
    <w:next w:val="BodyText"/>
    <w:link w:val="Heading4Char"/>
    <w:qFormat/>
    <w:rsid w:val="00BA236F"/>
    <w:pPr>
      <w:spacing w:before="160" w:after="120"/>
      <w:outlineLvl w:val="3"/>
    </w:pPr>
    <w:rPr>
      <w:sz w:val="22"/>
    </w:rPr>
  </w:style>
  <w:style w:type="paragraph" w:styleId="Heading5">
    <w:name w:val="heading 5"/>
    <w:basedOn w:val="HeadingBase"/>
    <w:next w:val="Normal"/>
    <w:link w:val="Heading5Char"/>
    <w:qFormat/>
    <w:rsid w:val="00BA236F"/>
    <w:pPr>
      <w:spacing w:before="80"/>
      <w:outlineLvl w:val="4"/>
    </w:pPr>
    <w:rPr>
      <w:color w:val="918585"/>
      <w:sz w:val="20"/>
    </w:rPr>
  </w:style>
  <w:style w:type="paragraph" w:styleId="Heading6">
    <w:name w:val="heading 6"/>
    <w:basedOn w:val="HeadingBase"/>
    <w:next w:val="Normal"/>
    <w:link w:val="Heading6Char"/>
    <w:qFormat/>
    <w:rsid w:val="00BA236F"/>
    <w:pPr>
      <w:spacing w:before="60"/>
      <w:outlineLvl w:val="5"/>
    </w:pPr>
    <w:rPr>
      <w:color w:val="918585"/>
      <w:sz w:val="20"/>
    </w:rPr>
  </w:style>
  <w:style w:type="paragraph" w:styleId="Heading7">
    <w:name w:val="heading 7"/>
    <w:basedOn w:val="Normal"/>
    <w:next w:val="Normal"/>
    <w:link w:val="Heading7Char"/>
    <w:qFormat/>
    <w:rsid w:val="00BA236F"/>
    <w:pPr>
      <w:ind w:left="720"/>
      <w:outlineLvl w:val="6"/>
    </w:pPr>
    <w:rPr>
      <w:i/>
    </w:rPr>
  </w:style>
  <w:style w:type="paragraph" w:styleId="Heading8">
    <w:name w:val="heading 8"/>
    <w:basedOn w:val="Normal"/>
    <w:next w:val="Normal"/>
    <w:link w:val="Heading8Char"/>
    <w:qFormat/>
    <w:rsid w:val="00BA236F"/>
    <w:pPr>
      <w:ind w:left="720"/>
      <w:outlineLvl w:val="7"/>
    </w:pPr>
    <w:rPr>
      <w:i/>
    </w:rPr>
  </w:style>
  <w:style w:type="paragraph" w:styleId="Heading9">
    <w:name w:val="heading 9"/>
    <w:basedOn w:val="Normal"/>
    <w:next w:val="Normal"/>
    <w:link w:val="Heading9Char"/>
    <w:qFormat/>
    <w:rsid w:val="00BA236F"/>
    <w:pPr>
      <w:ind w:left="720"/>
      <w:outlineLvl w:val="8"/>
    </w:pPr>
    <w:rPr>
      <w:i/>
    </w:rPr>
  </w:style>
  <w:style w:type="character" w:default="1" w:styleId="DefaultParagraphFont">
    <w:name w:val="Default Paragraph Font"/>
    <w:uiPriority w:val="1"/>
    <w:unhideWhenUsed/>
    <w:rsid w:val="00BA2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36F"/>
  </w:style>
  <w:style w:type="character" w:customStyle="1" w:styleId="Heading1Char">
    <w:name w:val="Heading 1 Char"/>
    <w:basedOn w:val="DefaultParagraphFont"/>
    <w:link w:val="Heading1"/>
    <w:rsid w:val="00BA236F"/>
    <w:rPr>
      <w:rFonts w:ascii="Times New Roman" w:eastAsia="Times New Roman" w:hAnsi="Times New Roman" w:cs="Times New Roman"/>
      <w:b/>
      <w:sz w:val="32"/>
      <w:szCs w:val="20"/>
      <w:lang w:eastAsia="en-US"/>
    </w:rPr>
  </w:style>
  <w:style w:type="paragraph" w:styleId="BodyText">
    <w:name w:val="Body Text"/>
    <w:basedOn w:val="Normal"/>
    <w:link w:val="BodyTextChar"/>
    <w:rsid w:val="00BA2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36F"/>
    <w:rPr>
      <w:rFonts w:ascii="Times New Roman" w:eastAsia="Times New Roman" w:hAnsi="Times New Roman" w:cs="Times New Roman"/>
      <w:sz w:val="24"/>
      <w:lang w:eastAsia="en-US"/>
    </w:rPr>
  </w:style>
  <w:style w:type="paragraph" w:styleId="ListBullet">
    <w:name w:val="List Bullet"/>
    <w:basedOn w:val="List"/>
    <w:rsid w:val="00BA236F"/>
    <w:pPr>
      <w:numPr>
        <w:numId w:val="13"/>
      </w:numPr>
      <w:tabs>
        <w:tab w:val="clear" w:pos="340"/>
      </w:tabs>
      <w:spacing w:before="40" w:after="40"/>
    </w:pPr>
  </w:style>
  <w:style w:type="paragraph" w:styleId="ListBullet2">
    <w:name w:val="List Bullet 2"/>
    <w:basedOn w:val="List2"/>
    <w:rsid w:val="00BA236F"/>
    <w:pPr>
      <w:numPr>
        <w:numId w:val="14"/>
      </w:numPr>
      <w:tabs>
        <w:tab w:val="clear" w:pos="680"/>
      </w:tabs>
    </w:pPr>
  </w:style>
  <w:style w:type="paragraph" w:customStyle="1" w:styleId="SuperHeading">
    <w:name w:val="SuperHeading"/>
    <w:basedOn w:val="Normal"/>
    <w:rsid w:val="00BA236F"/>
    <w:pPr>
      <w:spacing w:before="240" w:after="120"/>
      <w:outlineLvl w:val="0"/>
    </w:pPr>
    <w:rPr>
      <w:rFonts w:ascii="Times New Roman" w:hAnsi="Times New Roman"/>
      <w:b/>
      <w:sz w:val="32"/>
    </w:rPr>
  </w:style>
  <w:style w:type="paragraph" w:customStyle="1" w:styleId="AllowPageBreak">
    <w:name w:val="AllowPageBreak"/>
    <w:rsid w:val="00BA23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236F"/>
    <w:pPr>
      <w:numPr>
        <w:numId w:val="3"/>
      </w:numPr>
      <w:tabs>
        <w:tab w:val="clear" w:pos="1021"/>
      </w:tabs>
      <w:ind w:left="1037" w:hanging="357"/>
    </w:pPr>
  </w:style>
  <w:style w:type="character" w:customStyle="1" w:styleId="Heading2Char">
    <w:name w:val="Heading 2 Char"/>
    <w:basedOn w:val="DefaultParagraphFont"/>
    <w:link w:val="Heading2"/>
    <w:rsid w:val="00BA2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36F"/>
    <w:rPr>
      <w:rFonts w:ascii="Courier New" w:eastAsia="Times New Roman" w:hAnsi="Courier New" w:cs="Times New Roman"/>
      <w:i/>
      <w:szCs w:val="20"/>
      <w:lang w:eastAsia="en-US"/>
    </w:rPr>
  </w:style>
  <w:style w:type="paragraph" w:customStyle="1" w:styleId="HeadingBase">
    <w:name w:val="Heading Base"/>
    <w:rsid w:val="00BA2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36F"/>
    <w:pPr>
      <w:tabs>
        <w:tab w:val="right" w:leader="dot" w:pos="9072"/>
      </w:tabs>
      <w:ind w:left="567"/>
    </w:pPr>
    <w:rPr>
      <w:szCs w:val="22"/>
    </w:rPr>
  </w:style>
  <w:style w:type="paragraph" w:customStyle="1" w:styleId="TOCBase">
    <w:name w:val="TOC Base"/>
    <w:rsid w:val="00BA2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36F"/>
    <w:pPr>
      <w:tabs>
        <w:tab w:val="right" w:leader="dot" w:pos="9072"/>
      </w:tabs>
      <w:spacing w:before="40" w:after="40"/>
      <w:ind w:left="284"/>
    </w:pPr>
    <w:rPr>
      <w:rFonts w:ascii="Times New Roman" w:hAnsi="Times New Roman"/>
    </w:rPr>
  </w:style>
  <w:style w:type="paragraph" w:styleId="TOC1">
    <w:name w:val="toc 1"/>
    <w:basedOn w:val="TOCBase"/>
    <w:next w:val="Normal"/>
    <w:rsid w:val="00BA2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36F"/>
    <w:rPr>
      <w:rFonts w:ascii="Times New Roman" w:eastAsia="Times New Roman" w:hAnsi="Times New Roman" w:cs="Times New Roman"/>
      <w:sz w:val="16"/>
      <w:lang w:eastAsia="en-US"/>
    </w:rPr>
  </w:style>
  <w:style w:type="paragraph" w:styleId="Title">
    <w:name w:val="Title"/>
    <w:basedOn w:val="HeadingBase"/>
    <w:link w:val="TitleChar"/>
    <w:qFormat/>
    <w:rsid w:val="00BA236F"/>
    <w:pPr>
      <w:spacing w:before="5040"/>
      <w:jc w:val="center"/>
    </w:pPr>
    <w:rPr>
      <w:sz w:val="48"/>
      <w:szCs w:val="72"/>
      <w:lang w:val="en-US"/>
    </w:rPr>
  </w:style>
  <w:style w:type="character" w:customStyle="1" w:styleId="TitleChar">
    <w:name w:val="Title Char"/>
    <w:basedOn w:val="DefaultParagraphFont"/>
    <w:link w:val="Title"/>
    <w:rsid w:val="00BA2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36F"/>
    <w:pPr>
      <w:tabs>
        <w:tab w:val="left" w:pos="3600"/>
        <w:tab w:val="left" w:pos="3958"/>
      </w:tabs>
    </w:pPr>
  </w:style>
  <w:style w:type="paragraph" w:styleId="List">
    <w:name w:val="List"/>
    <w:basedOn w:val="BodyText"/>
    <w:next w:val="BodyText"/>
    <w:rsid w:val="00BA236F"/>
    <w:pPr>
      <w:tabs>
        <w:tab w:val="left" w:pos="340"/>
      </w:tabs>
      <w:spacing w:before="60" w:after="60"/>
      <w:ind w:left="340" w:hanging="340"/>
    </w:pPr>
  </w:style>
  <w:style w:type="paragraph" w:customStyle="1" w:styleId="Note">
    <w:name w:val="Note"/>
    <w:basedOn w:val="BodyText"/>
    <w:rsid w:val="00BA23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236F"/>
    <w:rPr>
      <w:b/>
      <w:spacing w:val="0"/>
    </w:rPr>
  </w:style>
  <w:style w:type="paragraph" w:customStyle="1" w:styleId="SuperTitle">
    <w:name w:val="SuperTitle"/>
    <w:basedOn w:val="Title"/>
    <w:rsid w:val="00BA236F"/>
    <w:pPr>
      <w:framePr w:wrap="auto" w:hAnchor="text" w:y="6049"/>
    </w:pPr>
    <w:rPr>
      <w:color w:val="000000"/>
      <w:sz w:val="40"/>
    </w:rPr>
  </w:style>
  <w:style w:type="paragraph" w:customStyle="1" w:styleId="TOCTitle">
    <w:name w:val="TOCTitle"/>
    <w:basedOn w:val="Heading1"/>
    <w:rsid w:val="00BA236F"/>
    <w:pPr>
      <w:spacing w:after="240"/>
      <w:jc w:val="center"/>
      <w:outlineLvl w:val="9"/>
    </w:pPr>
    <w:rPr>
      <w:caps/>
    </w:rPr>
  </w:style>
  <w:style w:type="paragraph" w:customStyle="1" w:styleId="Version">
    <w:name w:val="Version"/>
    <w:rsid w:val="00BA2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36F"/>
    <w:pPr>
      <w:keepNext w:val="0"/>
      <w:tabs>
        <w:tab w:val="right" w:pos="4176"/>
      </w:tabs>
      <w:ind w:left="198" w:hanging="198"/>
    </w:pPr>
    <w:rPr>
      <w:rFonts w:ascii="Garamond" w:hAnsi="Garamond"/>
    </w:rPr>
  </w:style>
  <w:style w:type="paragraph" w:styleId="IndexHeading">
    <w:name w:val="index heading"/>
    <w:basedOn w:val="Normal"/>
    <w:next w:val="Index1"/>
    <w:semiHidden/>
    <w:rsid w:val="00BA236F"/>
    <w:pPr>
      <w:spacing w:before="120" w:after="120"/>
    </w:pPr>
    <w:rPr>
      <w:rFonts w:ascii="Arial" w:hAnsi="Arial"/>
      <w:b/>
      <w:color w:val="918585"/>
      <w:sz w:val="24"/>
    </w:rPr>
  </w:style>
  <w:style w:type="paragraph" w:styleId="Header">
    <w:name w:val="header"/>
    <w:basedOn w:val="Normal"/>
    <w:link w:val="HeaderChar"/>
    <w:rsid w:val="00BA2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36F"/>
    <w:rPr>
      <w:rFonts w:ascii="Times New Roman" w:eastAsia="Times New Roman" w:hAnsi="Times New Roman" w:cs="Times New Roman"/>
      <w:sz w:val="16"/>
      <w:szCs w:val="20"/>
      <w:lang w:val="en-GB" w:eastAsia="en-US"/>
    </w:rPr>
  </w:style>
  <w:style w:type="paragraph" w:customStyle="1" w:styleId="Chapter">
    <w:name w:val="Chapter"/>
    <w:basedOn w:val="Normal"/>
    <w:rsid w:val="00BA236F"/>
    <w:pPr>
      <w:spacing w:before="240"/>
    </w:pPr>
    <w:rPr>
      <w:rFonts w:ascii="Times New Roman" w:hAnsi="Times New Roman"/>
      <w:smallCaps/>
      <w:spacing w:val="80"/>
      <w:sz w:val="28"/>
    </w:rPr>
  </w:style>
  <w:style w:type="paragraph" w:customStyle="1" w:styleId="InChapter">
    <w:name w:val="InChapter"/>
    <w:basedOn w:val="Heading3"/>
    <w:rsid w:val="00BA236F"/>
    <w:pPr>
      <w:spacing w:after="240"/>
      <w:outlineLvl w:val="9"/>
    </w:pPr>
    <w:rPr>
      <w:noProof/>
    </w:rPr>
  </w:style>
  <w:style w:type="paragraph" w:styleId="Index2">
    <w:name w:val="index 2"/>
    <w:basedOn w:val="Normal"/>
    <w:next w:val="Normal"/>
    <w:semiHidden/>
    <w:rsid w:val="00BA236F"/>
    <w:pPr>
      <w:tabs>
        <w:tab w:val="right" w:pos="4176"/>
      </w:tabs>
      <w:ind w:left="568" w:hanging="284"/>
    </w:pPr>
    <w:rPr>
      <w:rFonts w:ascii="Garamond" w:hAnsi="Garamond"/>
    </w:rPr>
  </w:style>
  <w:style w:type="paragraph" w:customStyle="1" w:styleId="Byline">
    <w:name w:val="Byline"/>
    <w:rsid w:val="00BA2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36F"/>
    <w:pPr>
      <w:tabs>
        <w:tab w:val="clear" w:pos="3600"/>
        <w:tab w:val="clear" w:pos="3958"/>
      </w:tabs>
      <w:jc w:val="right"/>
    </w:pPr>
  </w:style>
  <w:style w:type="character" w:styleId="Emphasis">
    <w:name w:val="Emphasis"/>
    <w:basedOn w:val="DefaultParagraphFont"/>
    <w:qFormat/>
    <w:rsid w:val="00BA236F"/>
    <w:rPr>
      <w:i/>
    </w:rPr>
  </w:style>
  <w:style w:type="paragraph" w:styleId="Caption">
    <w:name w:val="caption"/>
    <w:basedOn w:val="BodyText"/>
    <w:next w:val="Normal"/>
    <w:qFormat/>
    <w:rsid w:val="00BA236F"/>
    <w:pPr>
      <w:framePr w:w="2268" w:hSpace="181" w:vSpace="181" w:wrap="around" w:vAnchor="text" w:hAnchor="page" w:x="1135" w:y="285" w:anchorLock="1"/>
    </w:pPr>
    <w:rPr>
      <w:i/>
    </w:rPr>
  </w:style>
  <w:style w:type="paragraph" w:customStyle="1" w:styleId="MiniTOCTitle">
    <w:name w:val="MiniTOCTitle"/>
    <w:basedOn w:val="Heading4"/>
    <w:rsid w:val="00BA236F"/>
    <w:pPr>
      <w:spacing w:before="240"/>
      <w:outlineLvl w:val="9"/>
    </w:pPr>
    <w:rPr>
      <w:noProof/>
      <w:sz w:val="24"/>
    </w:rPr>
  </w:style>
  <w:style w:type="paragraph" w:customStyle="1" w:styleId="MiniTOCItem">
    <w:name w:val="MiniTOCItem"/>
    <w:basedOn w:val="ListBullet"/>
    <w:rsid w:val="00BA236F"/>
    <w:pPr>
      <w:numPr>
        <w:numId w:val="0"/>
      </w:numPr>
      <w:tabs>
        <w:tab w:val="right" w:leader="dot" w:pos="6521"/>
      </w:tabs>
      <w:spacing w:before="0" w:after="0"/>
    </w:pPr>
  </w:style>
  <w:style w:type="paragraph" w:customStyle="1" w:styleId="TOFTitle">
    <w:name w:val="TOFTitle"/>
    <w:basedOn w:val="TOCTitle"/>
    <w:rsid w:val="00BA236F"/>
  </w:style>
  <w:style w:type="paragraph" w:styleId="TableofFigures">
    <w:name w:val="table of figures"/>
    <w:basedOn w:val="Normal"/>
    <w:next w:val="Normal"/>
    <w:semiHidden/>
    <w:rsid w:val="00BA236F"/>
    <w:pPr>
      <w:tabs>
        <w:tab w:val="right" w:leader="dot" w:pos="9072"/>
      </w:tabs>
      <w:ind w:left="970" w:hanging="403"/>
    </w:pPr>
    <w:rPr>
      <w:rFonts w:ascii="Times New Roman" w:hAnsi="Times New Roman"/>
      <w:b/>
    </w:rPr>
  </w:style>
  <w:style w:type="paragraph" w:styleId="ListNumber">
    <w:name w:val="List Number"/>
    <w:basedOn w:val="List"/>
    <w:rsid w:val="00BA236F"/>
    <w:pPr>
      <w:numPr>
        <w:numId w:val="16"/>
      </w:numPr>
      <w:tabs>
        <w:tab w:val="clear" w:pos="340"/>
      </w:tabs>
    </w:pPr>
  </w:style>
  <w:style w:type="character" w:customStyle="1" w:styleId="WingdingSymbols">
    <w:name w:val="Wingding Symbols"/>
    <w:rsid w:val="00BA236F"/>
    <w:rPr>
      <w:rFonts w:ascii="Wingdings" w:hAnsi="Wingdings"/>
    </w:rPr>
  </w:style>
  <w:style w:type="paragraph" w:customStyle="1" w:styleId="TableHeading">
    <w:name w:val="Table Heading"/>
    <w:basedOn w:val="HeadingBase"/>
    <w:rsid w:val="00BA236F"/>
    <w:pPr>
      <w:keepLines/>
      <w:pBdr>
        <w:bottom w:val="single" w:sz="6" w:space="1" w:color="918585"/>
      </w:pBdr>
      <w:spacing w:before="240"/>
    </w:pPr>
  </w:style>
  <w:style w:type="character" w:customStyle="1" w:styleId="HotSpot">
    <w:name w:val="HotSpot"/>
    <w:rsid w:val="00BA236F"/>
    <w:rPr>
      <w:color w:val="0033CC"/>
      <w:u w:val="none"/>
    </w:rPr>
  </w:style>
  <w:style w:type="paragraph" w:customStyle="1" w:styleId="BodyTextRight">
    <w:name w:val="Body Text Right"/>
    <w:basedOn w:val="BodyText"/>
    <w:rsid w:val="00BA236F"/>
    <w:pPr>
      <w:spacing w:before="0" w:after="0"/>
      <w:jc w:val="right"/>
    </w:pPr>
  </w:style>
  <w:style w:type="paragraph" w:styleId="Index3">
    <w:name w:val="index 3"/>
    <w:basedOn w:val="ListNumber2"/>
    <w:next w:val="Normal"/>
    <w:semiHidden/>
    <w:rsid w:val="00BA236F"/>
    <w:pPr>
      <w:numPr>
        <w:numId w:val="0"/>
      </w:numPr>
      <w:tabs>
        <w:tab w:val="right" w:leader="dot" w:pos="4176"/>
      </w:tabs>
    </w:pPr>
  </w:style>
  <w:style w:type="paragraph" w:styleId="ListNumber2">
    <w:name w:val="List Number 2"/>
    <w:basedOn w:val="List2"/>
    <w:rsid w:val="00BA236F"/>
    <w:pPr>
      <w:numPr>
        <w:numId w:val="11"/>
      </w:numPr>
      <w:tabs>
        <w:tab w:val="clear" w:pos="1060"/>
      </w:tabs>
    </w:pPr>
  </w:style>
  <w:style w:type="paragraph" w:customStyle="1" w:styleId="MarginNote">
    <w:name w:val="Margin Note"/>
    <w:basedOn w:val="BodyText"/>
    <w:rsid w:val="00BA2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36F"/>
    <w:rPr>
      <w:sz w:val="32"/>
    </w:rPr>
  </w:style>
  <w:style w:type="paragraph" w:customStyle="1" w:styleId="HeadingProcedure">
    <w:name w:val="Heading Procedure"/>
    <w:basedOn w:val="HeadingBase"/>
    <w:next w:val="Normal"/>
    <w:rsid w:val="00BA236F"/>
    <w:pPr>
      <w:tabs>
        <w:tab w:val="left" w:pos="0"/>
      </w:tabs>
      <w:spacing w:before="120" w:after="60"/>
    </w:pPr>
    <w:rPr>
      <w:i/>
      <w:color w:val="918585"/>
      <w:sz w:val="22"/>
    </w:rPr>
  </w:style>
  <w:style w:type="paragraph" w:customStyle="1" w:styleId="TableBodyText">
    <w:name w:val="Table Body Text"/>
    <w:basedOn w:val="BodyText"/>
    <w:rsid w:val="00BA236F"/>
    <w:pPr>
      <w:spacing w:before="60" w:after="60"/>
    </w:pPr>
  </w:style>
  <w:style w:type="paragraph" w:styleId="ListContinue">
    <w:name w:val="List Continue"/>
    <w:basedOn w:val="List"/>
    <w:rsid w:val="00BA236F"/>
    <w:pPr>
      <w:ind w:firstLine="0"/>
    </w:pPr>
  </w:style>
  <w:style w:type="paragraph" w:customStyle="1" w:styleId="ListNote">
    <w:name w:val="List Note"/>
    <w:basedOn w:val="List"/>
    <w:rsid w:val="00BA236F"/>
    <w:pPr>
      <w:pBdr>
        <w:top w:val="single" w:sz="6" w:space="2" w:color="918585"/>
        <w:bottom w:val="single" w:sz="6" w:space="2" w:color="918585"/>
      </w:pBdr>
      <w:tabs>
        <w:tab w:val="left" w:pos="1021"/>
      </w:tabs>
      <w:ind w:firstLine="0"/>
    </w:pPr>
  </w:style>
  <w:style w:type="paragraph" w:customStyle="1" w:styleId="Warning">
    <w:name w:val="Warning"/>
    <w:basedOn w:val="BodyText"/>
    <w:rsid w:val="00BA236F"/>
    <w:pPr>
      <w:shd w:val="clear" w:color="auto" w:fill="D9D9D9"/>
      <w:tabs>
        <w:tab w:val="left" w:pos="992"/>
      </w:tabs>
      <w:ind w:left="119" w:right="119"/>
    </w:pPr>
    <w:rPr>
      <w:sz w:val="20"/>
    </w:rPr>
  </w:style>
  <w:style w:type="paragraph" w:customStyle="1" w:styleId="MarginIcons">
    <w:name w:val="Margin Icons"/>
    <w:basedOn w:val="BodyText"/>
    <w:rsid w:val="00BA2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36F"/>
    <w:rPr>
      <w:rFonts w:ascii="Courier New" w:hAnsi="Courier New"/>
    </w:rPr>
  </w:style>
  <w:style w:type="paragraph" w:customStyle="1" w:styleId="NoteBullet">
    <w:name w:val="Note Bullet"/>
    <w:basedOn w:val="Note"/>
    <w:rsid w:val="00BA236F"/>
    <w:pPr>
      <w:tabs>
        <w:tab w:val="clear" w:pos="680"/>
      </w:tabs>
      <w:spacing w:before="60" w:after="60"/>
    </w:pPr>
  </w:style>
  <w:style w:type="paragraph" w:customStyle="1" w:styleId="SubHeading2">
    <w:name w:val="SubHeading2"/>
    <w:basedOn w:val="HeadingBase"/>
    <w:rsid w:val="00BA236F"/>
    <w:pPr>
      <w:spacing w:before="240" w:after="60"/>
    </w:pPr>
    <w:rPr>
      <w:sz w:val="20"/>
    </w:rPr>
  </w:style>
  <w:style w:type="paragraph" w:customStyle="1" w:styleId="SubHeading1">
    <w:name w:val="SubHeading1"/>
    <w:basedOn w:val="HeadingBase"/>
    <w:rsid w:val="00BA236F"/>
    <w:pPr>
      <w:spacing w:before="240" w:after="60"/>
    </w:pPr>
    <w:rPr>
      <w:color w:val="918585"/>
      <w:sz w:val="22"/>
    </w:rPr>
  </w:style>
  <w:style w:type="paragraph" w:customStyle="1" w:styleId="SideHeading">
    <w:name w:val="Side Heading"/>
    <w:basedOn w:val="HeadingBase"/>
    <w:rsid w:val="00BA2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36F"/>
    <w:pPr>
      <w:numPr>
        <w:numId w:val="12"/>
      </w:numPr>
    </w:pPr>
  </w:style>
  <w:style w:type="paragraph" w:styleId="PlainText">
    <w:name w:val="Plain Text"/>
    <w:basedOn w:val="Normal"/>
    <w:link w:val="PlainTextChar"/>
    <w:rsid w:val="00BA236F"/>
    <w:rPr>
      <w:sz w:val="20"/>
    </w:rPr>
  </w:style>
  <w:style w:type="character" w:customStyle="1" w:styleId="PlainTextChar">
    <w:name w:val="Plain Text Char"/>
    <w:basedOn w:val="DefaultParagraphFont"/>
    <w:link w:val="PlainText"/>
    <w:rsid w:val="00BA236F"/>
    <w:rPr>
      <w:rFonts w:ascii="Courier New" w:eastAsia="Times New Roman" w:hAnsi="Courier New" w:cs="Times New Roman"/>
      <w:sz w:val="20"/>
      <w:szCs w:val="20"/>
      <w:lang w:eastAsia="en-US"/>
    </w:rPr>
  </w:style>
  <w:style w:type="character" w:customStyle="1" w:styleId="MenuOption">
    <w:name w:val="Menu Option"/>
    <w:basedOn w:val="DefaultParagraphFont"/>
    <w:rsid w:val="00BA236F"/>
    <w:rPr>
      <w:b/>
      <w:smallCaps/>
    </w:rPr>
  </w:style>
  <w:style w:type="paragraph" w:customStyle="1" w:styleId="TableListNumber">
    <w:name w:val="Table List Number"/>
    <w:basedOn w:val="ListNumber"/>
    <w:rsid w:val="00BA236F"/>
    <w:pPr>
      <w:numPr>
        <w:numId w:val="0"/>
      </w:numPr>
    </w:pPr>
  </w:style>
  <w:style w:type="paragraph" w:styleId="TOC4">
    <w:name w:val="toc 4"/>
    <w:basedOn w:val="TOCBase"/>
    <w:next w:val="Normal"/>
    <w:semiHidden/>
    <w:rsid w:val="00BA236F"/>
    <w:pPr>
      <w:tabs>
        <w:tab w:val="right" w:leader="dot" w:pos="9071"/>
      </w:tabs>
      <w:ind w:left="1701"/>
    </w:pPr>
  </w:style>
  <w:style w:type="paragraph" w:customStyle="1" w:styleId="ListAlpha">
    <w:name w:val="List Alpha"/>
    <w:basedOn w:val="List"/>
    <w:rsid w:val="00BA236F"/>
    <w:pPr>
      <w:numPr>
        <w:numId w:val="10"/>
      </w:numPr>
    </w:pPr>
  </w:style>
  <w:style w:type="paragraph" w:customStyle="1" w:styleId="ListAlpha2">
    <w:name w:val="List Alpha 2"/>
    <w:basedOn w:val="List2"/>
    <w:rsid w:val="00BA236F"/>
    <w:pPr>
      <w:numPr>
        <w:numId w:val="9"/>
      </w:numPr>
    </w:pPr>
  </w:style>
  <w:style w:type="paragraph" w:styleId="List2">
    <w:name w:val="List 2"/>
    <w:basedOn w:val="BodyText"/>
    <w:rsid w:val="00BA236F"/>
    <w:pPr>
      <w:tabs>
        <w:tab w:val="left" w:pos="680"/>
      </w:tabs>
      <w:spacing w:before="60" w:after="60"/>
      <w:ind w:left="680" w:hanging="340"/>
    </w:pPr>
  </w:style>
  <w:style w:type="paragraph" w:styleId="List3">
    <w:name w:val="List 3"/>
    <w:basedOn w:val="BodyText"/>
    <w:rsid w:val="00BA236F"/>
    <w:pPr>
      <w:tabs>
        <w:tab w:val="left" w:pos="1021"/>
      </w:tabs>
      <w:spacing w:before="60" w:after="60"/>
      <w:ind w:left="1020" w:hanging="340"/>
    </w:pPr>
  </w:style>
  <w:style w:type="paragraph" w:styleId="List4">
    <w:name w:val="List 4"/>
    <w:basedOn w:val="BodyText"/>
    <w:rsid w:val="00BA236F"/>
    <w:pPr>
      <w:tabs>
        <w:tab w:val="left" w:pos="1361"/>
      </w:tabs>
      <w:spacing w:before="60" w:after="60"/>
      <w:ind w:left="1361" w:hanging="340"/>
    </w:pPr>
  </w:style>
  <w:style w:type="paragraph" w:styleId="List5">
    <w:name w:val="List 5"/>
    <w:basedOn w:val="BodyText"/>
    <w:rsid w:val="00BA236F"/>
    <w:pPr>
      <w:tabs>
        <w:tab w:val="left" w:pos="1701"/>
      </w:tabs>
      <w:spacing w:before="60" w:after="60"/>
      <w:ind w:left="1701" w:hanging="340"/>
    </w:pPr>
  </w:style>
  <w:style w:type="paragraph" w:styleId="ListBullet4">
    <w:name w:val="List Bullet 4"/>
    <w:basedOn w:val="List4"/>
    <w:rsid w:val="00BA236F"/>
    <w:pPr>
      <w:numPr>
        <w:numId w:val="4"/>
      </w:numPr>
      <w:tabs>
        <w:tab w:val="clear" w:pos="1361"/>
      </w:tabs>
    </w:pPr>
  </w:style>
  <w:style w:type="paragraph" w:styleId="ListBullet5">
    <w:name w:val="List Bullet 5"/>
    <w:basedOn w:val="List5"/>
    <w:rsid w:val="00BA236F"/>
    <w:pPr>
      <w:numPr>
        <w:numId w:val="5"/>
      </w:numPr>
    </w:pPr>
  </w:style>
  <w:style w:type="paragraph" w:styleId="ListContinue2">
    <w:name w:val="List Continue 2"/>
    <w:basedOn w:val="List2"/>
    <w:rsid w:val="00BA236F"/>
    <w:pPr>
      <w:ind w:firstLine="0"/>
    </w:pPr>
  </w:style>
  <w:style w:type="paragraph" w:styleId="ListContinue3">
    <w:name w:val="List Continue 3"/>
    <w:basedOn w:val="List3"/>
    <w:rsid w:val="00BA236F"/>
    <w:pPr>
      <w:ind w:left="1021" w:firstLine="0"/>
    </w:pPr>
  </w:style>
  <w:style w:type="paragraph" w:styleId="ListContinue4">
    <w:name w:val="List Continue 4"/>
    <w:basedOn w:val="List4"/>
    <w:rsid w:val="00BA236F"/>
    <w:pPr>
      <w:ind w:firstLine="0"/>
    </w:pPr>
  </w:style>
  <w:style w:type="paragraph" w:styleId="ListContinue5">
    <w:name w:val="List Continue 5"/>
    <w:basedOn w:val="List5"/>
    <w:rsid w:val="00BA236F"/>
    <w:pPr>
      <w:ind w:firstLine="0"/>
    </w:pPr>
  </w:style>
  <w:style w:type="paragraph" w:styleId="ListNumber3">
    <w:name w:val="List Number 3"/>
    <w:basedOn w:val="List3"/>
    <w:rsid w:val="00BA236F"/>
    <w:pPr>
      <w:numPr>
        <w:numId w:val="6"/>
      </w:numPr>
    </w:pPr>
  </w:style>
  <w:style w:type="paragraph" w:styleId="ListNumber4">
    <w:name w:val="List Number 4"/>
    <w:basedOn w:val="List4"/>
    <w:rsid w:val="00BA236F"/>
    <w:pPr>
      <w:numPr>
        <w:numId w:val="7"/>
      </w:numPr>
    </w:pPr>
  </w:style>
  <w:style w:type="paragraph" w:styleId="ListNumber5">
    <w:name w:val="List Number 5"/>
    <w:basedOn w:val="List5"/>
    <w:rsid w:val="00BA236F"/>
    <w:pPr>
      <w:numPr>
        <w:numId w:val="8"/>
      </w:numPr>
    </w:pPr>
  </w:style>
  <w:style w:type="paragraph" w:styleId="BlockText">
    <w:name w:val="Block Text"/>
    <w:basedOn w:val="Normal"/>
    <w:rsid w:val="00BA236F"/>
    <w:pPr>
      <w:spacing w:after="120"/>
      <w:ind w:left="1440" w:right="1440"/>
    </w:pPr>
  </w:style>
  <w:style w:type="character" w:customStyle="1" w:styleId="Subscript">
    <w:name w:val="Subscript"/>
    <w:basedOn w:val="DefaultParagraphFont"/>
    <w:rsid w:val="00BA236F"/>
    <w:rPr>
      <w:sz w:val="16"/>
      <w:vertAlign w:val="subscript"/>
    </w:rPr>
  </w:style>
  <w:style w:type="character" w:customStyle="1" w:styleId="Superscript">
    <w:name w:val="Superscript"/>
    <w:basedOn w:val="DefaultParagraphFont"/>
    <w:rsid w:val="00BA236F"/>
    <w:rPr>
      <w:sz w:val="16"/>
      <w:vertAlign w:val="superscript"/>
    </w:rPr>
  </w:style>
  <w:style w:type="character" w:customStyle="1" w:styleId="Symbols">
    <w:name w:val="Symbols"/>
    <w:basedOn w:val="DefaultParagraphFont"/>
    <w:rsid w:val="00BA236F"/>
    <w:rPr>
      <w:rFonts w:ascii="Symbol" w:hAnsi="Symbol"/>
    </w:rPr>
  </w:style>
  <w:style w:type="character" w:customStyle="1" w:styleId="MenuOptions">
    <w:name w:val="Menu Options"/>
    <w:basedOn w:val="DefaultParagraphFont"/>
    <w:rsid w:val="00BA236F"/>
    <w:rPr>
      <w:rFonts w:ascii="Arial Narrow" w:hAnsi="Arial Narrow"/>
      <w:smallCaps/>
    </w:rPr>
  </w:style>
  <w:style w:type="character" w:customStyle="1" w:styleId="Buttons">
    <w:name w:val="Buttons"/>
    <w:basedOn w:val="DefaultParagraphFont"/>
    <w:rsid w:val="00BA236F"/>
    <w:rPr>
      <w:b/>
    </w:rPr>
  </w:style>
  <w:style w:type="character" w:customStyle="1" w:styleId="Underlined">
    <w:name w:val="Underlined"/>
    <w:basedOn w:val="DefaultParagraphFont"/>
    <w:rsid w:val="00BA236F"/>
    <w:rPr>
      <w:u w:val="single"/>
    </w:rPr>
  </w:style>
  <w:style w:type="paragraph" w:customStyle="1" w:styleId="TableBodyTextRight">
    <w:name w:val="Table Body Text Right"/>
    <w:basedOn w:val="TableBodyText"/>
    <w:rsid w:val="00BA236F"/>
    <w:pPr>
      <w:widowControl w:val="0"/>
      <w:autoSpaceDE w:val="0"/>
      <w:autoSpaceDN w:val="0"/>
      <w:adjustRightInd w:val="0"/>
      <w:jc w:val="right"/>
    </w:pPr>
    <w:rPr>
      <w:rFonts w:cs="Arial"/>
      <w:szCs w:val="18"/>
    </w:rPr>
  </w:style>
  <w:style w:type="paragraph" w:customStyle="1" w:styleId="CopyrightText">
    <w:name w:val="Copyright Text"/>
    <w:basedOn w:val="BodyText"/>
    <w:rsid w:val="00BA236F"/>
    <w:rPr>
      <w:sz w:val="18"/>
    </w:rPr>
  </w:style>
  <w:style w:type="paragraph" w:customStyle="1" w:styleId="BodySmallRight">
    <w:name w:val="Body Small Right"/>
    <w:basedOn w:val="BodyTextRight"/>
    <w:rsid w:val="00BA236F"/>
    <w:rPr>
      <w:sz w:val="18"/>
      <w:szCs w:val="18"/>
    </w:rPr>
  </w:style>
  <w:style w:type="paragraph" w:customStyle="1" w:styleId="MarginEdition">
    <w:name w:val="Margin Edition"/>
    <w:basedOn w:val="MarginNote"/>
    <w:rsid w:val="00BA236F"/>
    <w:pPr>
      <w:spacing w:before="0" w:after="0"/>
    </w:pPr>
    <w:rPr>
      <w:rFonts w:ascii="Times New Roman" w:hAnsi="Times New Roman"/>
      <w:color w:val="999999"/>
    </w:rPr>
  </w:style>
  <w:style w:type="paragraph" w:customStyle="1" w:styleId="Spacer">
    <w:name w:val="Spacer"/>
    <w:basedOn w:val="Normal"/>
    <w:rsid w:val="00BA236F"/>
    <w:rPr>
      <w:sz w:val="2"/>
      <w:szCs w:val="2"/>
    </w:rPr>
  </w:style>
  <w:style w:type="character" w:customStyle="1" w:styleId="Small">
    <w:name w:val="Small"/>
    <w:basedOn w:val="DefaultParagraphFont"/>
    <w:rsid w:val="00BA236F"/>
    <w:rPr>
      <w:sz w:val="16"/>
    </w:rPr>
  </w:style>
  <w:style w:type="paragraph" w:customStyle="1" w:styleId="WideTable">
    <w:name w:val="Wide Table"/>
    <w:basedOn w:val="Normal"/>
    <w:rsid w:val="00BA236F"/>
    <w:pPr>
      <w:ind w:left="-1418"/>
    </w:pPr>
    <w:rPr>
      <w:sz w:val="2"/>
      <w:szCs w:val="2"/>
    </w:rPr>
  </w:style>
  <w:style w:type="character" w:styleId="PageNumber">
    <w:name w:val="page number"/>
    <w:basedOn w:val="DefaultParagraphFont"/>
    <w:rsid w:val="00BA236F"/>
  </w:style>
  <w:style w:type="paragraph" w:styleId="Quote">
    <w:name w:val="Quote"/>
    <w:basedOn w:val="Heading1"/>
    <w:link w:val="QuoteChar"/>
    <w:qFormat/>
    <w:rsid w:val="00BA236F"/>
    <w:rPr>
      <w:b w:val="0"/>
      <w:sz w:val="72"/>
      <w:szCs w:val="72"/>
      <w:lang w:val="en-NZ"/>
    </w:rPr>
  </w:style>
  <w:style w:type="character" w:customStyle="1" w:styleId="QuoteChar">
    <w:name w:val="Quote Char"/>
    <w:basedOn w:val="DefaultParagraphFont"/>
    <w:link w:val="Quote"/>
    <w:rsid w:val="00BA2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36F"/>
    <w:pPr>
      <w:pageBreakBefore/>
    </w:pPr>
  </w:style>
  <w:style w:type="paragraph" w:customStyle="1" w:styleId="Border">
    <w:name w:val="Border"/>
    <w:basedOn w:val="Normal"/>
    <w:qFormat/>
    <w:rsid w:val="00BA2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36F"/>
    <w:rPr>
      <w:b/>
      <w:bCs/>
      <w:i/>
      <w:iCs/>
      <w:color w:val="auto"/>
    </w:rPr>
  </w:style>
  <w:style w:type="paragraph" w:styleId="IntenseQuote">
    <w:name w:val="Intense Quote"/>
    <w:basedOn w:val="Normal"/>
    <w:next w:val="Normal"/>
    <w:link w:val="IntenseQuoteChar"/>
    <w:uiPriority w:val="30"/>
    <w:qFormat/>
    <w:rsid w:val="00BA2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36F"/>
    <w:rPr>
      <w:smallCaps/>
      <w:color w:val="auto"/>
      <w:u w:val="single"/>
    </w:rPr>
  </w:style>
  <w:style w:type="character" w:styleId="IntenseReference">
    <w:name w:val="Intense Reference"/>
    <w:basedOn w:val="DefaultParagraphFont"/>
    <w:uiPriority w:val="32"/>
    <w:qFormat/>
    <w:rsid w:val="00BA236F"/>
    <w:rPr>
      <w:b/>
      <w:bCs/>
      <w:smallCaps/>
      <w:color w:val="auto"/>
      <w:spacing w:val="5"/>
      <w:u w:val="single"/>
    </w:rPr>
  </w:style>
  <w:style w:type="paragraph" w:customStyle="1" w:styleId="2ColumnHeading">
    <w:name w:val="2Column Heading"/>
    <w:basedOn w:val="BodyText"/>
    <w:qFormat/>
    <w:rsid w:val="00BA236F"/>
    <w:pPr>
      <w:spacing w:after="60"/>
      <w:ind w:left="-2268"/>
    </w:pPr>
    <w:rPr>
      <w:b/>
    </w:rPr>
  </w:style>
  <w:style w:type="paragraph" w:customStyle="1" w:styleId="Heading1TOC">
    <w:name w:val="Heading1 TOC"/>
    <w:basedOn w:val="Normal"/>
    <w:qFormat/>
    <w:rsid w:val="00BA236F"/>
    <w:pPr>
      <w:spacing w:before="240" w:after="120"/>
    </w:pPr>
    <w:rPr>
      <w:rFonts w:ascii="Times New Roman" w:hAnsi="Times New Roman"/>
      <w:b/>
      <w:sz w:val="32"/>
    </w:rPr>
  </w:style>
  <w:style w:type="paragraph" w:customStyle="1" w:styleId="Heading2TOC">
    <w:name w:val="Heading2 TOC"/>
    <w:basedOn w:val="Normal"/>
    <w:qFormat/>
    <w:rsid w:val="00BA236F"/>
    <w:pPr>
      <w:spacing w:before="240" w:after="60"/>
    </w:pPr>
    <w:rPr>
      <w:rFonts w:ascii="Times New Roman" w:hAnsi="Times New Roman"/>
      <w:b/>
      <w:sz w:val="28"/>
    </w:rPr>
  </w:style>
  <w:style w:type="character" w:customStyle="1" w:styleId="Underline">
    <w:name w:val="Underline"/>
    <w:basedOn w:val="DefaultParagraphFont"/>
    <w:qFormat/>
    <w:rsid w:val="00BA236F"/>
    <w:rPr>
      <w:u w:val="single"/>
    </w:rPr>
  </w:style>
  <w:style w:type="character" w:customStyle="1" w:styleId="BoldandItalics">
    <w:name w:val="Bold and Italics"/>
    <w:qFormat/>
    <w:rsid w:val="00BA236F"/>
    <w:rPr>
      <w:b/>
      <w:i/>
      <w:u w:val="none"/>
    </w:rPr>
  </w:style>
  <w:style w:type="paragraph" w:styleId="BalloonText">
    <w:name w:val="Balloon Text"/>
    <w:basedOn w:val="Normal"/>
    <w:link w:val="BalloonTextChar"/>
    <w:rsid w:val="00BA236F"/>
    <w:rPr>
      <w:rFonts w:ascii="Tahoma" w:hAnsi="Tahoma" w:cs="Tahoma"/>
      <w:sz w:val="16"/>
      <w:szCs w:val="16"/>
    </w:rPr>
  </w:style>
  <w:style w:type="character" w:customStyle="1" w:styleId="BalloonTextChar">
    <w:name w:val="Balloon Text Char"/>
    <w:basedOn w:val="DefaultParagraphFont"/>
    <w:link w:val="BalloonText"/>
    <w:rsid w:val="00BA2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36F"/>
    <w:rPr>
      <w:b/>
      <w:color w:val="660033"/>
      <w:spacing w:val="0"/>
    </w:rPr>
  </w:style>
  <w:style w:type="paragraph" w:customStyle="1" w:styleId="Nameditemlist">
    <w:name w:val="Named item list"/>
    <w:basedOn w:val="BodyText"/>
    <w:qFormat/>
    <w:rsid w:val="00BA236F"/>
    <w:pPr>
      <w:tabs>
        <w:tab w:val="left" w:pos="2835"/>
      </w:tabs>
      <w:ind w:left="2835" w:hanging="2835"/>
    </w:pPr>
  </w:style>
  <w:style w:type="paragraph" w:customStyle="1" w:styleId="BodyTextnopadding">
    <w:name w:val="Body Text no padding"/>
    <w:basedOn w:val="BodyText"/>
    <w:qFormat/>
    <w:rsid w:val="00BA236F"/>
    <w:pPr>
      <w:spacing w:before="0" w:after="0"/>
    </w:pPr>
  </w:style>
  <w:style w:type="paragraph" w:customStyle="1" w:styleId="BodyTextBold">
    <w:name w:val="Body Text Bold"/>
    <w:basedOn w:val="BodyText"/>
    <w:qFormat/>
    <w:rsid w:val="00BA236F"/>
    <w:rPr>
      <w:b/>
    </w:rPr>
  </w:style>
  <w:style w:type="character" w:styleId="Hyperlink">
    <w:name w:val="Hyperlink"/>
    <w:basedOn w:val="DefaultParagraphFont"/>
    <w:uiPriority w:val="99"/>
    <w:unhideWhenUsed/>
    <w:rsid w:val="00F05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6022</Characters>
  <Application>Microsoft Office Word</Application>
  <DocSecurity>0</DocSecurity>
  <Lines>143</Lines>
  <Paragraphs>114</Paragraphs>
  <ScaleCrop>false</ScaleCrop>
  <Company>Author-it Software Corporation Ltd.</Company>
  <LinksUpToDate>false</LinksUpToDate>
  <CharactersWithSpaces>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MEA351 Maintain airframe systems of basic light fixed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