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F31" w:rsidP="00F71F31">
      <w:pPr>
        <w:pStyle w:val="Title"/>
      </w:pPr>
      <w:r>
        <w:fldChar w:fldCharType="begin"/>
      </w:r>
      <w:r>
        <w:instrText xml:space="preserve"> TITLE   \* MERGEFORMAT </w:instrText>
      </w:r>
      <w:r>
        <w:fldChar w:fldCharType="separate"/>
      </w:r>
      <w:r>
        <w:t>MEA325 Weigh aircraft and perform aircraft weight and balance calculations as a result of modifications</w:t>
      </w:r>
      <w:r>
        <w:fldChar w:fldCharType="end"/>
      </w:r>
    </w:p>
    <w:p w:rsidR="00F71F31" w:rsidP="00F71F31">
      <w:pPr>
        <w:pStyle w:val="Version"/>
        <w:sectPr w:rsidSect="00BE3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490" w:rsidP="00BE3490">
      <w:pPr>
        <w:pStyle w:val="SuperHeading"/>
      </w:pPr>
      <w:r w:rsidRPr="00BE3490">
        <w:t>MEA325 Weigh aircraft and perform aircraft weight and balance calculations as a result of modifications</w:t>
      </w:r>
    </w:p>
    <w:p w:rsidR="00000000" w:rsidRPr="00BE3490" w:rsidP="00BE3490">
      <w:pPr>
        <w:pStyle w:val="Heading1"/>
      </w:pPr>
      <w:bookmarkStart w:id="1" w:name="O_721794"/>
      <w:bookmarkEnd w:id="1"/>
      <w:r w:rsidRPr="00BE3490">
        <w:t>Modification History</w:t>
      </w:r>
    </w:p>
    <w:p w:rsidR="00000000" w:rsidRPr="00BE3490" w:rsidP="00F71F31">
      <w:pPr>
        <w:pStyle w:val="BodyText"/>
      </w:pPr>
      <w:r w:rsidRPr="00BE3490">
        <w:t>Release 1 - New unit of competency</w:t>
      </w:r>
    </w:p>
    <w:p w:rsidR="00000000" w:rsidRPr="00BE3490" w:rsidP="00BE3490">
      <w:pPr>
        <w:pStyle w:val="Heading1"/>
      </w:pPr>
      <w:bookmarkStart w:id="2" w:name="O_721802"/>
      <w:bookmarkEnd w:id="2"/>
      <w:r w:rsidRPr="00BE3490">
        <w:t>Application</w:t>
      </w:r>
    </w:p>
    <w:p w:rsidR="00000000" w:rsidRPr="00BE3490" w:rsidP="00F71F31">
      <w:pPr>
        <w:pStyle w:val="BodyText"/>
      </w:pPr>
      <w:r w:rsidRPr="00BE3490">
        <w:t>This unit of competency requires application of knowledge regarding aircraft weighing and the use of relevant maintenance publications and modification data (where applicable) to weigh a fixed and rotary wing aircraft and use the results to calculate centr</w:t>
      </w:r>
      <w:r w:rsidRPr="00BE3490">
        <w:t>e of gravity and confirm that it is within limits. Weighing may be performed during scheduled or unscheduled maintenance and involve individual activities and the supervision of other personnel.</w:t>
      </w:r>
    </w:p>
    <w:p w:rsidR="00000000" w:rsidRPr="00BE3490" w:rsidP="00F71F31">
      <w:pPr>
        <w:pStyle w:val="BodyText"/>
      </w:pPr>
      <w:r w:rsidRPr="00BE3490">
        <w:t>The unit covers competencies required to progress from an Ai</w:t>
      </w:r>
      <w:r w:rsidRPr="00BE3490">
        <w:t>rcraft Maintenance Engineer (AME) at Certificate IV to the granting of a chosen maintenance certification licence under Civil Aviation Safety Regulation (CASR) Part 66, in accordance with the licensing provisions in the Companion Volume Implementation Guid</w:t>
      </w:r>
      <w:r w:rsidRPr="00BE3490">
        <w:t>e and the Companion Volume CASA Interface.</w:t>
      </w:r>
    </w:p>
    <w:p w:rsidR="00000000" w:rsidRPr="00BE3490" w:rsidP="00F71F31">
      <w:pPr>
        <w:pStyle w:val="BodyText"/>
      </w:pPr>
      <w:r w:rsidRPr="00BE3490">
        <w:t>The skills and knowledge covered by the units of competency listed in the MEA Aeroskills Training Package for Aircraft Maintenance Engineer (Avionics or Mechanical as applicable) at Certificate IV are prerequisit</w:t>
      </w:r>
      <w:r w:rsidRPr="00BE3490">
        <w:t>e to the attainment of the elements of competency specified in this unit. This includes full coverage of the CASR Part 66 Syllabus subjects/topics listed in the Companion Volume CASA Interface.</w:t>
      </w:r>
    </w:p>
    <w:p w:rsidR="00000000" w:rsidRPr="00BE3490" w:rsidP="00BE3490">
      <w:pPr>
        <w:pStyle w:val="Heading1"/>
      </w:pPr>
      <w:bookmarkStart w:id="3" w:name="O_721801"/>
      <w:bookmarkEnd w:id="3"/>
      <w:r w:rsidRPr="00BE3490">
        <w:t>Pre-requisite Unit</w:t>
      </w:r>
    </w:p>
    <w:p w:rsidR="00000000" w:rsidRPr="00BE3490" w:rsidP="00BE3490">
      <w:pPr>
        <w:pStyle w:val="Heading1"/>
      </w:pPr>
      <w:bookmarkStart w:id="4" w:name="O_721800"/>
      <w:bookmarkEnd w:id="4"/>
      <w:r w:rsidRPr="00BE3490">
        <w:t>Competency</w:t>
      </w:r>
      <w:r w:rsidRPr="00BE3490">
        <w:t xml:space="preserve"> Field</w:t>
      </w:r>
    </w:p>
    <w:p w:rsidR="00000000" w:rsidRPr="00BE3490" w:rsidP="00F71F31">
      <w:pPr>
        <w:pStyle w:val="BodyText"/>
      </w:pPr>
      <w:r w:rsidRPr="00BE3490">
        <w:t>Aviation maintenance</w:t>
      </w:r>
    </w:p>
    <w:p w:rsidR="00000000" w:rsidRPr="00BE3490" w:rsidP="00BE3490">
      <w:pPr>
        <w:pStyle w:val="Heading1"/>
      </w:pPr>
      <w:bookmarkStart w:id="5" w:name="O_721799"/>
      <w:bookmarkEnd w:id="5"/>
      <w:r w:rsidRPr="00BE3490">
        <w:t>Unit Sector</w:t>
      </w:r>
    </w:p>
    <w:p w:rsidR="00000000" w:rsidRPr="00BE3490" w:rsidP="00BE3490">
      <w:pPr>
        <w:pStyle w:val="Heading1"/>
      </w:pPr>
      <w:bookmarkStart w:id="6" w:name="O_721798"/>
      <w:bookmarkEnd w:id="6"/>
      <w:r w:rsidRPr="00BE3490">
        <w:t>Elements and Performance Criteria</w:t>
      </w:r>
    </w:p>
    <w:tbl>
      <w:tblPr>
        <w:tblW w:w="0" w:type="auto"/>
        <w:tblLayout w:type="fixed"/>
        <w:tblCellMar>
          <w:left w:w="62" w:type="dxa"/>
          <w:right w:w="62" w:type="dxa"/>
        </w:tblCellMar>
        <w:tblLook w:val="0000"/>
      </w:tblPr>
      <w:tblGrid>
        <w:gridCol w:w="577"/>
        <w:gridCol w:w="2286"/>
        <w:gridCol w:w="725"/>
        <w:gridCol w:w="5592"/>
      </w:tblGrid>
      <w:tr w:rsidTr="00BE3490">
        <w:tblPrEx>
          <w:tblW w:w="0" w:type="auto"/>
          <w:tblLayout w:type="fixed"/>
          <w:tblCellMar>
            <w:left w:w="62" w:type="dxa"/>
            <w:right w:w="62" w:type="dxa"/>
          </w:tblCellMar>
          <w:tblLook w:val="0000"/>
        </w:tblPrEx>
        <w:tc>
          <w:tcPr>
            <w:tcW w:w="2863" w:type="dxa"/>
            <w:gridSpan w:val="2"/>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Elements describe the essential outcomes.</w:t>
            </w:r>
          </w:p>
        </w:tc>
        <w:tc>
          <w:tcPr>
            <w:tcW w:w="6317" w:type="dxa"/>
            <w:gridSpan w:val="2"/>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 xml:space="preserve">Performance criteria describe the performance needed to demonstrate achievement of the element. </w:t>
            </w:r>
          </w:p>
        </w:tc>
      </w:tr>
      <w:tr w:rsidTr="00BE3490">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1.</w:t>
            </w:r>
          </w:p>
        </w:tc>
        <w:tc>
          <w:tcPr>
            <w:tcW w:w="2286"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Weigh aircraft</w:t>
            </w:r>
          </w:p>
        </w:tc>
        <w:tc>
          <w:tcPr>
            <w:tcW w:w="725"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1.1</w:t>
            </w:r>
          </w:p>
        </w:tc>
        <w:tc>
          <w:tcPr>
            <w:tcW w:w="5592"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The requirement for aircraft weighing is determined</w:t>
            </w:r>
          </w:p>
        </w:tc>
      </w:tr>
      <w:tr w:rsidTr="00BE3490">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1.1</w:t>
            </w:r>
          </w:p>
        </w:tc>
        <w:tc>
          <w:tcPr>
            <w:tcW w:w="5592"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Aircraft is weighed in accordance with the specified procedure while observing all relevant work health and safety (WHS) requirements</w:t>
            </w:r>
          </w:p>
        </w:tc>
      </w:tr>
      <w:tr w:rsidTr="00BE3490">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1.3</w:t>
            </w:r>
          </w:p>
        </w:tc>
        <w:tc>
          <w:tcPr>
            <w:tcW w:w="5592"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Aircraft weighing results are provide</w:t>
            </w:r>
            <w:r w:rsidRPr="00BE3490">
              <w:t>d to the Continuing Airworthiness Management Organisation (CAMO)</w:t>
            </w:r>
          </w:p>
        </w:tc>
      </w:tr>
      <w:tr w:rsidTr="00BE3490">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2.</w:t>
            </w:r>
          </w:p>
        </w:tc>
        <w:tc>
          <w:tcPr>
            <w:tcW w:w="2286"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Calculate the weight and balance impact of a modification</w:t>
            </w:r>
          </w:p>
        </w:tc>
        <w:tc>
          <w:tcPr>
            <w:tcW w:w="725"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2.1</w:t>
            </w:r>
          </w:p>
        </w:tc>
        <w:tc>
          <w:tcPr>
            <w:tcW w:w="5592"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The new empty weight of the aircraft is determined and it is ensured that the weight is within the predetermined limits set by the CAMO</w:t>
            </w:r>
          </w:p>
        </w:tc>
      </w:tr>
      <w:tr w:rsidTr="00BE3490">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2.2</w:t>
            </w:r>
          </w:p>
        </w:tc>
        <w:tc>
          <w:tcPr>
            <w:tcW w:w="5592"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The new empty weight centre of gravity of the aircraft is calculated and it is ensured that the centre of gravity</w:t>
            </w:r>
            <w:r w:rsidRPr="00BE3490">
              <w:t xml:space="preserve"> is within the predetermined limits set by the CAMO</w:t>
            </w:r>
          </w:p>
        </w:tc>
      </w:tr>
      <w:tr w:rsidTr="00BE3490">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2.3</w:t>
            </w:r>
          </w:p>
        </w:tc>
        <w:tc>
          <w:tcPr>
            <w:tcW w:w="5592" w:type="dxa"/>
            <w:tcBorders>
              <w:top w:val="nil"/>
              <w:left w:val="nil"/>
              <w:bottom w:val="nil"/>
              <w:right w:val="nil"/>
            </w:tcBorders>
            <w:tcMar>
              <w:top w:w="0" w:type="dxa"/>
              <w:left w:w="62" w:type="dxa"/>
              <w:bottom w:w="0" w:type="dxa"/>
              <w:right w:w="62" w:type="dxa"/>
            </w:tcMar>
          </w:tcPr>
          <w:p w:rsidR="00000000" w:rsidRPr="00BE3490" w:rsidP="00BE3490">
            <w:pPr>
              <w:pStyle w:val="BodyText"/>
            </w:pPr>
            <w:r w:rsidRPr="00BE3490">
              <w:t>Maintenance records are updated with new figures</w:t>
            </w:r>
          </w:p>
        </w:tc>
      </w:tr>
    </w:tbl>
    <w:p w:rsidR="00000000" w:rsidRPr="00BE3490" w:rsidP="00BE3490">
      <w:pPr>
        <w:pStyle w:val="BodyText"/>
      </w:pPr>
    </w:p>
    <w:p w:rsidR="00000000" w:rsidRPr="00BE3490" w:rsidP="00BE3490">
      <w:pPr>
        <w:pStyle w:val="AllowPageBreak"/>
      </w:pPr>
    </w:p>
    <w:p w:rsidR="00000000" w:rsidRPr="00BE3490" w:rsidP="00BE3490">
      <w:pPr>
        <w:pStyle w:val="Heading1"/>
      </w:pPr>
      <w:bookmarkStart w:id="7" w:name="O_721797"/>
      <w:bookmarkEnd w:id="7"/>
      <w:r w:rsidRPr="00BE3490">
        <w:t>Foundation Skills</w:t>
      </w:r>
    </w:p>
    <w:p w:rsidR="00000000" w:rsidRPr="00BE3490" w:rsidP="00F71F31">
      <w:pPr>
        <w:pStyle w:val="BodyText"/>
      </w:pPr>
      <w:r w:rsidRPr="00BE3490">
        <w:t>Foundation skills essential to performance are explicit in the performance criteria of this unit of competency.</w:t>
      </w:r>
    </w:p>
    <w:p w:rsidR="00000000" w:rsidRPr="00BE3490" w:rsidP="00BE3490">
      <w:pPr>
        <w:pStyle w:val="Heading1"/>
      </w:pPr>
      <w:bookmarkStart w:id="8" w:name="O_721796"/>
      <w:bookmarkEnd w:id="8"/>
      <w:r w:rsidRPr="00BE3490">
        <w:t>Range of Conditions</w:t>
      </w:r>
    </w:p>
    <w:tbl>
      <w:tblPr>
        <w:tblW w:w="0" w:type="auto"/>
        <w:tblLayout w:type="fixed"/>
        <w:tblCellMar>
          <w:left w:w="62" w:type="dxa"/>
          <w:right w:w="62" w:type="dxa"/>
        </w:tblCellMar>
        <w:tblLook w:val="0000"/>
      </w:tblPr>
      <w:tblGrid>
        <w:gridCol w:w="3060"/>
        <w:gridCol w:w="6012"/>
      </w:tblGrid>
      <w:tr w:rsidTr="00BE34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t xml:space="preserve">This field allows for different work environments and conditions that may affect performance. Essential operating conditions that may be present (depending </w:t>
            </w:r>
            <w:r w:rsidRPr="00BE3490">
              <w:t>on the work situation, needs of the candidate, accessibility of the item, and local industry and regional contexts) are included.</w:t>
            </w:r>
          </w:p>
        </w:tc>
      </w:tr>
      <w:tr w:rsidTr="00BE34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rPr>
                <w:rStyle w:val="SpecialBold"/>
              </w:rPr>
              <w:t>Centre of gravity of the aircraft is calculated:</w:t>
            </w:r>
          </w:p>
        </w:tc>
        <w:tc>
          <w:tcPr>
            <w:tcW w:w="6012" w:type="dxa"/>
            <w:tcBorders>
              <w:top w:val="nil"/>
              <w:left w:val="nil"/>
              <w:bottom w:val="nil"/>
              <w:right w:val="nil"/>
            </w:tcBorders>
            <w:tcMar>
              <w:top w:w="0" w:type="dxa"/>
              <w:left w:w="62" w:type="dxa"/>
              <w:bottom w:w="0" w:type="dxa"/>
              <w:right w:w="62" w:type="dxa"/>
            </w:tcMar>
          </w:tcPr>
          <w:p w:rsidR="00000000" w:rsidRPr="00BE3490" w:rsidP="00BE3490">
            <w:pPr>
              <w:pStyle w:val="ListBullet"/>
            </w:pPr>
            <w:r w:rsidRPr="00BE3490">
              <w:t>Using the results obtained by weighing an aircraft</w:t>
            </w:r>
          </w:p>
          <w:p w:rsidR="00000000" w:rsidP="00BE3490">
            <w:pPr>
              <w:pStyle w:val="ListBullet"/>
              <w:rPr>
                <w:lang w:val="en-NZ"/>
              </w:rPr>
            </w:pPr>
            <w:r w:rsidRPr="00BE3490">
              <w:t>Using the weight and mo</w:t>
            </w:r>
            <w:r w:rsidRPr="00BE3490">
              <w:t>ment arm data for a modification</w:t>
            </w:r>
          </w:p>
        </w:tc>
      </w:tr>
      <w:tr w:rsidTr="00BE349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E3490">
            <w:pPr>
              <w:pStyle w:val="BodyText"/>
              <w:rPr>
                <w:lang w:val="en-NZ"/>
              </w:rPr>
            </w:pPr>
            <w:r w:rsidRPr="00BE349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E3490" w:rsidP="00BE3490">
            <w:pPr>
              <w:pStyle w:val="ListBullet"/>
            </w:pPr>
            <w:r w:rsidRPr="00BE3490">
              <w:t>Industry standard procedures specified by manufacturers, regulatory authorities or the enterprise</w:t>
            </w:r>
          </w:p>
        </w:tc>
      </w:tr>
    </w:tbl>
    <w:p w:rsidR="00000000" w:rsidRPr="00BE3490" w:rsidP="00BE3490">
      <w:pPr>
        <w:pStyle w:val="BodyText"/>
      </w:pPr>
    </w:p>
    <w:p w:rsidR="00000000" w:rsidRPr="00BE3490" w:rsidP="00BE3490">
      <w:pPr>
        <w:pStyle w:val="AllowPageBreak"/>
      </w:pPr>
    </w:p>
    <w:p w:rsidR="00000000" w:rsidRPr="00BE3490" w:rsidP="00BE3490">
      <w:pPr>
        <w:pStyle w:val="Heading1"/>
      </w:pPr>
      <w:bookmarkStart w:id="9" w:name="O_721795"/>
      <w:bookmarkEnd w:id="9"/>
      <w:r w:rsidRPr="00BE3490">
        <w:t>Unit Mapping Information</w:t>
      </w:r>
    </w:p>
    <w:p w:rsidR="00000000" w:rsidRPr="00BE3490" w:rsidP="00F71F31">
      <w:pPr>
        <w:pStyle w:val="BodyText"/>
      </w:pPr>
      <w:r w:rsidRPr="00BE3490">
        <w:t>Release 1 –</w:t>
      </w:r>
      <w:r w:rsidRPr="00BE3490">
        <w:t xml:space="preserve"> equivalent to MEA325B Weigh aircraft and perform aircraft weight and balance calculations as a result of modifications</w:t>
      </w:r>
    </w:p>
    <w:p w:rsidR="00000000" w:rsidRPr="00BE3490" w:rsidP="00BE3490">
      <w:pPr>
        <w:pStyle w:val="Heading1"/>
      </w:pPr>
      <w:bookmarkStart w:id="10" w:name="O_721788"/>
      <w:bookmarkEnd w:id="10"/>
      <w:r w:rsidRPr="00BE3490">
        <w:t>Links</w:t>
      </w:r>
    </w:p>
    <w:p w:rsidR="00000000" w:rsidRPr="00BE3490" w:rsidP="00F71F31">
      <w:pPr>
        <w:pStyle w:val="BodyText"/>
      </w:pPr>
      <w:r w:rsidRPr="00BE349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743DB">
        <w:rPr>
          <w:rStyle w:val="Hyperlink"/>
        </w:rPr>
        <w:t>https://vetnet.gov.au/Pages/TrainingDocs.aspx?q=ce216c9c-04d5-4b3b-9bcf-4e81d0950371</w:t>
      </w:r>
      <w:r>
        <w:fldChar w:fldCharType="end"/>
      </w:r>
    </w:p>
    <w:p w:rsidR="00000000" w:rsidRPr="00BE3490" w:rsidP="00F71F31">
      <w:pPr>
        <w:pStyle w:val="BodyText"/>
        <w:sectPr w:rsidSect="00BE3490">
          <w:headerReference w:type="default" r:id="rId10"/>
          <w:footerReference w:type="default" r:id="rId11"/>
          <w:pgSz w:w="11908" w:h="16833"/>
          <w:pgMar w:top="1702" w:right="1418" w:bottom="1702" w:left="1418" w:header="992" w:footer="992" w:gutter="0"/>
          <w:cols w:space="720"/>
          <w:noEndnote/>
          <w:docGrid w:linePitch="299"/>
        </w:sectPr>
      </w:pPr>
    </w:p>
    <w:p w:rsidR="00000000" w:rsidRPr="00BE3490" w:rsidP="00BE3490">
      <w:pPr>
        <w:pStyle w:val="SuperHeading"/>
      </w:pPr>
      <w:r w:rsidRPr="00BE3490">
        <w:t>Assessment Requirements for MEA325 Weigh aircraft and perform aircraft weight and balance calculations as a result of modifications</w:t>
      </w:r>
    </w:p>
    <w:p w:rsidR="00000000" w:rsidRPr="00BE3490" w:rsidP="00BE3490">
      <w:pPr>
        <w:pStyle w:val="Heading1"/>
      </w:pPr>
      <w:bookmarkStart w:id="11" w:name="O_721790"/>
      <w:bookmarkEnd w:id="11"/>
      <w:r w:rsidRPr="00BE3490">
        <w:t>Modification History</w:t>
      </w:r>
    </w:p>
    <w:p w:rsidR="00000000" w:rsidRPr="00BE3490" w:rsidP="00F71F31">
      <w:pPr>
        <w:pStyle w:val="BodyText"/>
      </w:pPr>
      <w:r w:rsidRPr="00BE3490">
        <w:t>Release 1 - New unit of competency</w:t>
      </w:r>
    </w:p>
    <w:p w:rsidR="00000000" w:rsidRPr="00BE3490" w:rsidP="00BE3490">
      <w:pPr>
        <w:pStyle w:val="Heading1"/>
      </w:pPr>
      <w:bookmarkStart w:id="12" w:name="O_721793"/>
      <w:bookmarkEnd w:id="12"/>
      <w:r w:rsidRPr="00BE3490">
        <w:t>Performance Evidence</w:t>
      </w:r>
    </w:p>
    <w:p w:rsidR="00000000" w:rsidRPr="00BE3490" w:rsidP="00F71F31">
      <w:pPr>
        <w:pStyle w:val="BodyText"/>
      </w:pPr>
      <w:r w:rsidRPr="00BE3490">
        <w:t>Evidence required to demonstrate competency in this unit must be relevant to and satisfy all of the requirements of the elements and performance criteria under the specified condition</w:t>
      </w:r>
      <w:r w:rsidRPr="00BE3490">
        <w:t>s of assessment, and must include:</w:t>
      </w:r>
    </w:p>
    <w:p w:rsidR="00000000" w:rsidRPr="00BE3490" w:rsidP="00BE3490">
      <w:pPr>
        <w:pStyle w:val="ListBullet"/>
      </w:pPr>
      <w:r w:rsidRPr="00BE3490">
        <w:t>applying relevant WHS procedures</w:t>
      </w:r>
    </w:p>
    <w:p w:rsidR="00000000" w:rsidRPr="00BE3490" w:rsidP="00BE3490">
      <w:pPr>
        <w:pStyle w:val="ListBullet"/>
      </w:pPr>
      <w:r w:rsidRPr="00BE3490">
        <w:t>configuring aircraft for weighing</w:t>
      </w:r>
    </w:p>
    <w:p w:rsidR="00000000" w:rsidRPr="00BE3490" w:rsidP="00BE3490">
      <w:pPr>
        <w:pStyle w:val="ListBullet"/>
      </w:pPr>
      <w:r w:rsidRPr="00BE3490">
        <w:t>weighing aircraft</w:t>
      </w:r>
    </w:p>
    <w:p w:rsidR="00000000" w:rsidRPr="00BE3490" w:rsidP="00BE3490">
      <w:pPr>
        <w:pStyle w:val="ListBullet"/>
      </w:pPr>
      <w:r w:rsidRPr="00BE3490">
        <w:t>using weighing results to calculate centre of gravity.</w:t>
      </w:r>
    </w:p>
    <w:p w:rsidR="00000000" w:rsidRPr="00BE3490" w:rsidP="00F71F31">
      <w:pPr>
        <w:pStyle w:val="BodyText"/>
      </w:pPr>
      <w:r w:rsidRPr="00BE3490">
        <w:t>The underlying skills inherent in this unit should be transferable across a rang</w:t>
      </w:r>
      <w:r w:rsidRPr="00BE3490">
        <w:t>e of aircraft types. Ability to interpret the instructions for configuring and weighing aircraft is critical.</w:t>
      </w:r>
    </w:p>
    <w:p w:rsidR="00000000" w:rsidRPr="00BE3490" w:rsidP="00F71F31">
      <w:pPr>
        <w:pStyle w:val="BodyText"/>
      </w:pPr>
      <w:r w:rsidRPr="00BE3490">
        <w:t>Evidence of transferability of skills and knowledge related to weighing of aircraft and calculation of centre of gravity is essential.</w:t>
      </w:r>
    </w:p>
    <w:p w:rsidR="00000000" w:rsidRPr="00BE3490" w:rsidP="00BE3490">
      <w:pPr>
        <w:pStyle w:val="Heading1"/>
      </w:pPr>
      <w:bookmarkStart w:id="13" w:name="O_721792"/>
      <w:bookmarkEnd w:id="13"/>
      <w:r w:rsidRPr="00BE3490">
        <w:t>Knowledge Evidence</w:t>
      </w:r>
    </w:p>
    <w:p w:rsidR="00000000" w:rsidRPr="00BE3490" w:rsidP="00F71F31">
      <w:pPr>
        <w:pStyle w:val="BodyText"/>
      </w:pPr>
      <w:r w:rsidRPr="00BE3490">
        <w:t>Evidence required to demonstrate competency in this unit must be relevant to and satisfy all of the requirements of the elements and performance criteria and include knowledge of:</w:t>
      </w:r>
    </w:p>
    <w:p w:rsidR="00000000" w:rsidRPr="00BE3490" w:rsidP="00BE3490">
      <w:pPr>
        <w:pStyle w:val="ListBullet"/>
      </w:pPr>
      <w:r w:rsidRPr="00BE3490">
        <w:t>types of weighing equipment used to weigh aircraft</w:t>
      </w:r>
      <w:r w:rsidRPr="00BE3490">
        <w:t xml:space="preserve"> and associated safety precautions:</w:t>
      </w:r>
    </w:p>
    <w:p w:rsidR="00000000" w:rsidRPr="00BE3490" w:rsidP="00BE3490">
      <w:pPr>
        <w:pStyle w:val="ListBullet2"/>
      </w:pPr>
      <w:r w:rsidRPr="00BE3490">
        <w:t>mechanical platform scales</w:t>
      </w:r>
    </w:p>
    <w:p w:rsidR="00000000" w:rsidRPr="00BE3490" w:rsidP="00BE3490">
      <w:pPr>
        <w:pStyle w:val="ListBullet2"/>
      </w:pPr>
      <w:r w:rsidRPr="00BE3490">
        <w:t>electronic platform scales</w:t>
      </w:r>
    </w:p>
    <w:p w:rsidR="00000000" w:rsidRPr="00BE3490" w:rsidP="00BE3490">
      <w:pPr>
        <w:pStyle w:val="ListBullet2"/>
      </w:pPr>
      <w:r w:rsidRPr="00BE3490">
        <w:t>electronic load pots</w:t>
      </w:r>
    </w:p>
    <w:p w:rsidR="00000000" w:rsidRPr="00BE3490" w:rsidP="00BE3490">
      <w:pPr>
        <w:pStyle w:val="ListBullet"/>
      </w:pPr>
      <w:r w:rsidRPr="00BE3490">
        <w:t>methods used to level aircraft for weighing</w:t>
      </w:r>
    </w:p>
    <w:p w:rsidR="00000000" w:rsidRPr="00BE3490" w:rsidP="00BE3490">
      <w:pPr>
        <w:pStyle w:val="ListBullet"/>
      </w:pPr>
      <w:r w:rsidRPr="00BE3490">
        <w:t>the importance of correctly configuring aircraft for weighing</w:t>
      </w:r>
    </w:p>
    <w:p w:rsidR="00000000" w:rsidRPr="00BE3490" w:rsidP="00BE3490">
      <w:pPr>
        <w:pStyle w:val="ListBullet"/>
      </w:pPr>
      <w:r w:rsidRPr="00BE3490">
        <w:t>mathematical formulae used to calculate centre of gravity.</w:t>
      </w:r>
    </w:p>
    <w:p w:rsidR="00000000" w:rsidRPr="00BE3490" w:rsidP="00BE3490">
      <w:pPr>
        <w:pStyle w:val="AllowPageBreak"/>
      </w:pPr>
    </w:p>
    <w:p w:rsidR="00000000" w:rsidRPr="00BE3490" w:rsidP="00BE3490">
      <w:pPr>
        <w:pStyle w:val="Heading1"/>
      </w:pPr>
      <w:bookmarkStart w:id="14" w:name="O_721791"/>
      <w:bookmarkEnd w:id="14"/>
      <w:r w:rsidRPr="00BE3490">
        <w:t>Assessment Conditions</w:t>
      </w:r>
    </w:p>
    <w:p w:rsidR="00000000" w:rsidRPr="00BE3490" w:rsidP="00BE3490">
      <w:pPr>
        <w:pStyle w:val="ListBullet"/>
      </w:pPr>
      <w:r w:rsidRPr="00BE3490">
        <w:t>Competency may be assessed in the workplace or in the training environment. The aircraft weighing work plan should take account of applicable safety and qual</w:t>
      </w:r>
      <w:r w:rsidRPr="00BE3490">
        <w:t>ity requirements in accordance with the industry and regulatory standards, especially in relation to aircraft jacking and levelling.</w:t>
      </w:r>
    </w:p>
    <w:p w:rsidR="00000000" w:rsidRPr="00BE3490" w:rsidP="00BE3490">
      <w:pPr>
        <w:pStyle w:val="ListBullet"/>
      </w:pPr>
      <w:r w:rsidRPr="00BE3490">
        <w:t>The following conditions of assessment represent the requirements of CASA and must be rigorously observed.</w:t>
      </w:r>
    </w:p>
    <w:p w:rsidR="00000000" w:rsidRPr="00BE3490" w:rsidP="00BE3490">
      <w:pPr>
        <w:pStyle w:val="ListBullet"/>
      </w:pPr>
      <w:r w:rsidRPr="00BE3490">
        <w:t xml:space="preserve">A person cannot </w:t>
      </w:r>
      <w:r w:rsidRPr="00BE3490">
        <w:t>be assessed as competent until it can be demonstrated to the satisfaction of the workplace assessor that the relevant elements and performance criteria of the unit of competency are being achieved under supervision without intervention. This shall be estab</w:t>
      </w:r>
      <w:r w:rsidRPr="00BE3490">
        <w:t>lished via simulated activities at the CASR Part 147 Maintenance Training Organisation and performance during observed workplace activities.</w:t>
      </w:r>
    </w:p>
    <w:p w:rsidR="00000000" w:rsidRPr="00BE3490" w:rsidP="00BE3490">
      <w:pPr>
        <w:pStyle w:val="ListBullet"/>
      </w:pPr>
      <w:r w:rsidRPr="00BE3490">
        <w:t>The Assessor must meet the criteria specified in the CASR Part 147 Manual of Standards.</w:t>
      </w:r>
    </w:p>
    <w:p w:rsidR="00000000" w:rsidRPr="00BE3490" w:rsidP="00BE3490">
      <w:pPr>
        <w:pStyle w:val="AllowPageBreak"/>
      </w:pPr>
    </w:p>
    <w:p w:rsidR="00000000" w:rsidRPr="00BE3490" w:rsidP="00BE3490">
      <w:pPr>
        <w:pStyle w:val="Heading1"/>
      </w:pPr>
      <w:bookmarkStart w:id="15" w:name="O_721789"/>
      <w:bookmarkEnd w:id="15"/>
      <w:r w:rsidRPr="00BE3490">
        <w:t>Links</w:t>
      </w:r>
    </w:p>
    <w:p w:rsidR="00000000" w:rsidRPr="00BE3490" w:rsidP="00F71F31">
      <w:pPr>
        <w:pStyle w:val="BodyText"/>
      </w:pPr>
      <w:r w:rsidRPr="00BE3490">
        <w:t>Co</w:t>
      </w:r>
      <w:r w:rsidRPr="00BE3490">
        <w:t xml:space="preserve">mpanion Volume implementation guides are found in VETNet - </w:t>
      </w:r>
      <w:r>
        <w:fldChar w:fldCharType="begin"/>
      </w:r>
      <w:r>
        <w:instrText xml:space="preserve"> HYPERLINK "https://vetnet.gov.au/Pages/TrainingDocs.aspx?q=ce216c9c-04d5-4b3b-9bcf-4e81d0950371" </w:instrText>
      </w:r>
      <w:r>
        <w:fldChar w:fldCharType="separate"/>
      </w:r>
      <w:r w:rsidRPr="009743DB">
        <w:rPr>
          <w:rStyle w:val="Hyperlink"/>
        </w:rPr>
        <w:t>https://vetnet.gov.au/Pages/TrainingDocs.aspx?q=ce216c9c-04d5-4b3b-9bcf-4e81d0950371</w:t>
      </w:r>
      <w:r>
        <w:fldChar w:fldCharType="end"/>
      </w:r>
    </w:p>
    <w:p w:rsidR="00000000" w:rsidRPr="00BE3490" w:rsidP="00BE3490"/>
    <w:sectPr w:rsidSect="00BE34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rsidRPr="00F71F31" w:rsidP="00F71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31" w:rsidP="00BE3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F31" w:rsidP="00BE34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1F31" w:rsidP="00BE34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rsidP="00BE3490">
    <w:pPr>
      <w:pStyle w:val="Footer"/>
      <w:framePr w:wrap="around"/>
    </w:pPr>
    <w:r>
      <w:fldChar w:fldCharType="begin"/>
    </w:r>
    <w:r>
      <w:instrText xml:space="preserve"> DOCPROPERTY  Subject  \* MERGEFORMAT </w:instrText>
    </w:r>
    <w:r>
      <w:fldChar w:fldCharType="separate"/>
    </w:r>
    <w:r w:rsidR="00F71F31">
      <w:t>Approved</w:t>
    </w:r>
    <w:r w:rsidR="00F71F31">
      <w:fldChar w:fldCharType="end"/>
    </w:r>
    <w:r>
      <w:tab/>
      <w:t xml:space="preserve">Page </w:t>
    </w:r>
    <w:r>
      <w:fldChar w:fldCharType="begin"/>
    </w:r>
    <w:r>
      <w:instrText xml:space="preserve"> PAGE  \* Arabic  \* MERGEFORMAT </w:instrText>
    </w:r>
    <w:r>
      <w:fldChar w:fldCharType="separate"/>
    </w:r>
    <w:r w:rsidR="00F71F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F31">
      <w:rPr>
        <w:noProof/>
      </w:rPr>
      <w:t>4</w:t>
    </w:r>
    <w:r>
      <w:rPr>
        <w:noProof/>
      </w:rPr>
      <w:fldChar w:fldCharType="end"/>
    </w:r>
  </w:p>
  <w:p w:rsidR="00BE3490" w:rsidP="00BE3490">
    <w:pPr>
      <w:pStyle w:val="Footer"/>
      <w:framePr w:wrap="around"/>
    </w:pPr>
    <w:r>
      <w:t xml:space="preserve">© Commonwealth of Australia, </w:t>
    </w:r>
    <w:r>
      <w:fldChar w:fldCharType="begin"/>
    </w:r>
    <w:r>
      <w:instrText xml:space="preserve"> DATE  \@ "yyyy"  \* MERGEFORMAT </w:instrText>
    </w:r>
    <w:r>
      <w:fldChar w:fldCharType="separate"/>
    </w:r>
    <w:r w:rsidR="00F71F31">
      <w:rPr>
        <w:noProof/>
      </w:rPr>
      <w:t>2025</w:t>
    </w:r>
    <w:r>
      <w:fldChar w:fldCharType="end"/>
    </w:r>
    <w:r>
      <w:tab/>
    </w:r>
    <w:r>
      <w:fldChar w:fldCharType="begin"/>
    </w:r>
    <w:r>
      <w:instrText xml:space="preserve"> DOCPROPERTY  Author  \* MERGEFORMAT </w:instrText>
    </w:r>
    <w:r>
      <w:fldChar w:fldCharType="separate"/>
    </w:r>
    <w:r w:rsidR="00F71F31">
      <w:t>Manufacturing Industry Skills Alliance</w:t>
    </w:r>
    <w:r w:rsidR="00F71F31">
      <w:fldChar w:fldCharType="end"/>
    </w:r>
  </w:p>
  <w:p w:rsidR="00BE3490" w:rsidP="00BE3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490" w:rsidRPr="00F71F31" w:rsidP="00F71F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31" w:rsidRPr="002D2AF8" w:rsidP="00BE3490">
    <w:pPr>
      <w:pStyle w:val="Header"/>
      <w:framePr w:wrap="around"/>
    </w:pPr>
    <w:r>
      <w:fldChar w:fldCharType="begin"/>
    </w:r>
    <w:r>
      <w:instrText xml:space="preserve"> TITLE   \* MERGEFORMAT </w:instrText>
    </w:r>
    <w:r>
      <w:fldChar w:fldCharType="separate"/>
    </w:r>
    <w:r>
      <w:t>MEA325 Weigh aircraft and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F31" w:rsidP="00BE34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90" w:rsidRPr="002D2AF8" w:rsidP="00BE3490">
    <w:pPr>
      <w:pStyle w:val="Header"/>
      <w:framePr w:wrap="around"/>
    </w:pPr>
    <w:r>
      <w:fldChar w:fldCharType="begin"/>
    </w:r>
    <w:r>
      <w:instrText xml:space="preserve"> TITLE   \* MERGEFORMAT </w:instrText>
    </w:r>
    <w:r>
      <w:fldChar w:fldCharType="separate"/>
    </w:r>
    <w:r w:rsidR="00F71F31">
      <w:t>MEA325 Weigh aircraft and perform aircraft weight and balance calculations as a result of modifications</w:t>
    </w:r>
    <w:r w:rsidR="00F71F31">
      <w:fldChar w:fldCharType="end"/>
    </w:r>
    <w:r>
      <w:tab/>
      <w:t xml:space="preserve">Date this document was generated: </w:t>
    </w:r>
    <w:r>
      <w:fldChar w:fldCharType="begin"/>
    </w:r>
    <w:r>
      <w:instrText xml:space="preserve"> CREATEDATE  \@ "d MMMM yyyy"  \* MERGEFORMAT </w:instrText>
    </w:r>
    <w:r>
      <w:fldChar w:fldCharType="separate"/>
    </w:r>
    <w:r w:rsidR="00F71F31">
      <w:rPr>
        <w:noProof/>
      </w:rPr>
      <w:t>2 March 2025</w:t>
    </w:r>
    <w:r>
      <w:fldChar w:fldCharType="end"/>
    </w:r>
  </w:p>
  <w:p w:rsidR="00BE3490" w:rsidP="00BE3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85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A5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42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490"/>
    <w:pPr>
      <w:spacing w:before="360" w:after="60"/>
      <w:outlineLvl w:val="0"/>
    </w:pPr>
    <w:rPr>
      <w:sz w:val="32"/>
    </w:rPr>
  </w:style>
  <w:style w:type="paragraph" w:styleId="Heading2">
    <w:name w:val="heading 2"/>
    <w:basedOn w:val="HeadingBase"/>
    <w:next w:val="BodyText"/>
    <w:link w:val="Heading2Char"/>
    <w:qFormat/>
    <w:rsid w:val="00BE3490"/>
    <w:pPr>
      <w:keepLines/>
      <w:spacing w:before="240" w:after="120"/>
      <w:outlineLvl w:val="1"/>
    </w:pPr>
    <w:rPr>
      <w:sz w:val="28"/>
      <w:szCs w:val="40"/>
    </w:rPr>
  </w:style>
  <w:style w:type="paragraph" w:styleId="Heading3">
    <w:name w:val="heading 3"/>
    <w:basedOn w:val="HeadingBase"/>
    <w:next w:val="BodyText"/>
    <w:link w:val="Heading3Char"/>
    <w:qFormat/>
    <w:rsid w:val="00BE3490"/>
    <w:pPr>
      <w:spacing w:before="180" w:after="120"/>
      <w:outlineLvl w:val="2"/>
    </w:pPr>
    <w:rPr>
      <w:spacing w:val="-10"/>
      <w:kern w:val="32"/>
    </w:rPr>
  </w:style>
  <w:style w:type="paragraph" w:styleId="Heading4">
    <w:name w:val="heading 4"/>
    <w:basedOn w:val="HeadingBase"/>
    <w:next w:val="BodyText"/>
    <w:link w:val="Heading4Char"/>
    <w:qFormat/>
    <w:rsid w:val="00BE3490"/>
    <w:pPr>
      <w:spacing w:before="160" w:after="120"/>
      <w:outlineLvl w:val="3"/>
    </w:pPr>
    <w:rPr>
      <w:sz w:val="22"/>
    </w:rPr>
  </w:style>
  <w:style w:type="paragraph" w:styleId="Heading5">
    <w:name w:val="heading 5"/>
    <w:basedOn w:val="HeadingBase"/>
    <w:next w:val="Normal"/>
    <w:link w:val="Heading5Char"/>
    <w:qFormat/>
    <w:rsid w:val="00BE3490"/>
    <w:pPr>
      <w:spacing w:before="80"/>
      <w:outlineLvl w:val="4"/>
    </w:pPr>
    <w:rPr>
      <w:color w:val="918585"/>
      <w:sz w:val="20"/>
    </w:rPr>
  </w:style>
  <w:style w:type="paragraph" w:styleId="Heading6">
    <w:name w:val="heading 6"/>
    <w:basedOn w:val="HeadingBase"/>
    <w:next w:val="Normal"/>
    <w:link w:val="Heading6Char"/>
    <w:qFormat/>
    <w:rsid w:val="00BE3490"/>
    <w:pPr>
      <w:spacing w:before="60"/>
      <w:outlineLvl w:val="5"/>
    </w:pPr>
    <w:rPr>
      <w:color w:val="918585"/>
      <w:sz w:val="20"/>
    </w:rPr>
  </w:style>
  <w:style w:type="paragraph" w:styleId="Heading7">
    <w:name w:val="heading 7"/>
    <w:basedOn w:val="Normal"/>
    <w:next w:val="Normal"/>
    <w:link w:val="Heading7Char"/>
    <w:qFormat/>
    <w:rsid w:val="00BE3490"/>
    <w:pPr>
      <w:ind w:left="720"/>
      <w:outlineLvl w:val="6"/>
    </w:pPr>
    <w:rPr>
      <w:i/>
    </w:rPr>
  </w:style>
  <w:style w:type="paragraph" w:styleId="Heading8">
    <w:name w:val="heading 8"/>
    <w:basedOn w:val="Normal"/>
    <w:next w:val="Normal"/>
    <w:link w:val="Heading8Char"/>
    <w:qFormat/>
    <w:rsid w:val="00BE3490"/>
    <w:pPr>
      <w:ind w:left="720"/>
      <w:outlineLvl w:val="7"/>
    </w:pPr>
    <w:rPr>
      <w:i/>
    </w:rPr>
  </w:style>
  <w:style w:type="paragraph" w:styleId="Heading9">
    <w:name w:val="heading 9"/>
    <w:basedOn w:val="Normal"/>
    <w:next w:val="Normal"/>
    <w:link w:val="Heading9Char"/>
    <w:qFormat/>
    <w:rsid w:val="00BE3490"/>
    <w:pPr>
      <w:ind w:left="720"/>
      <w:outlineLvl w:val="8"/>
    </w:pPr>
    <w:rPr>
      <w:i/>
    </w:rPr>
  </w:style>
  <w:style w:type="character" w:default="1" w:styleId="DefaultParagraphFont">
    <w:name w:val="Default Paragraph Font"/>
    <w:uiPriority w:val="1"/>
    <w:unhideWhenUsed/>
    <w:rsid w:val="00BE3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490"/>
  </w:style>
  <w:style w:type="character" w:customStyle="1" w:styleId="Heading1Char">
    <w:name w:val="Heading 1 Char"/>
    <w:basedOn w:val="DefaultParagraphFont"/>
    <w:link w:val="Heading1"/>
    <w:rsid w:val="00BE3490"/>
    <w:rPr>
      <w:rFonts w:ascii="Times New Roman" w:eastAsia="Times New Roman" w:hAnsi="Times New Roman" w:cs="Times New Roman"/>
      <w:b/>
      <w:sz w:val="32"/>
      <w:szCs w:val="20"/>
      <w:lang w:eastAsia="en-US"/>
    </w:rPr>
  </w:style>
  <w:style w:type="paragraph" w:styleId="BodyText">
    <w:name w:val="Body Text"/>
    <w:basedOn w:val="Normal"/>
    <w:link w:val="BodyTextChar"/>
    <w:rsid w:val="00BE3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490"/>
    <w:rPr>
      <w:rFonts w:ascii="Times New Roman" w:eastAsia="Times New Roman" w:hAnsi="Times New Roman" w:cs="Times New Roman"/>
      <w:sz w:val="24"/>
      <w:lang w:eastAsia="en-US"/>
    </w:rPr>
  </w:style>
  <w:style w:type="paragraph" w:styleId="ListBullet">
    <w:name w:val="List Bullet"/>
    <w:basedOn w:val="List"/>
    <w:rsid w:val="00BE3490"/>
    <w:pPr>
      <w:numPr>
        <w:numId w:val="12"/>
      </w:numPr>
      <w:tabs>
        <w:tab w:val="clear" w:pos="340"/>
      </w:tabs>
      <w:spacing w:before="40" w:after="40"/>
    </w:pPr>
  </w:style>
  <w:style w:type="character" w:customStyle="1" w:styleId="SpecialBold">
    <w:name w:val="Special Bold"/>
    <w:basedOn w:val="DefaultParagraphFont"/>
    <w:rsid w:val="00BE3490"/>
    <w:rPr>
      <w:b/>
      <w:spacing w:val="0"/>
    </w:rPr>
  </w:style>
  <w:style w:type="paragraph" w:styleId="ListBullet2">
    <w:name w:val="List Bullet 2"/>
    <w:basedOn w:val="List2"/>
    <w:rsid w:val="00BE3490"/>
    <w:pPr>
      <w:numPr>
        <w:numId w:val="13"/>
      </w:numPr>
      <w:tabs>
        <w:tab w:val="clear" w:pos="680"/>
      </w:tabs>
    </w:pPr>
  </w:style>
  <w:style w:type="paragraph" w:customStyle="1" w:styleId="SuperHeading">
    <w:name w:val="SuperHeading"/>
    <w:basedOn w:val="Normal"/>
    <w:rsid w:val="00BE3490"/>
    <w:pPr>
      <w:spacing w:before="240" w:after="120"/>
      <w:outlineLvl w:val="0"/>
    </w:pPr>
    <w:rPr>
      <w:rFonts w:ascii="Times New Roman" w:hAnsi="Times New Roman"/>
      <w:b/>
      <w:sz w:val="32"/>
    </w:rPr>
  </w:style>
  <w:style w:type="paragraph" w:customStyle="1" w:styleId="AllowPageBreak">
    <w:name w:val="AllowPageBreak"/>
    <w:rsid w:val="00BE3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490"/>
    <w:rPr>
      <w:rFonts w:ascii="Courier New" w:eastAsia="Times New Roman" w:hAnsi="Courier New" w:cs="Times New Roman"/>
      <w:i/>
      <w:szCs w:val="20"/>
      <w:lang w:eastAsia="en-US"/>
    </w:rPr>
  </w:style>
  <w:style w:type="paragraph" w:customStyle="1" w:styleId="HeadingBase">
    <w:name w:val="Heading Base"/>
    <w:rsid w:val="00BE3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490"/>
    <w:pPr>
      <w:tabs>
        <w:tab w:val="right" w:leader="dot" w:pos="9072"/>
      </w:tabs>
      <w:ind w:left="567"/>
    </w:pPr>
    <w:rPr>
      <w:szCs w:val="22"/>
    </w:rPr>
  </w:style>
  <w:style w:type="paragraph" w:customStyle="1" w:styleId="TOCBase">
    <w:name w:val="TOC Base"/>
    <w:rsid w:val="00BE3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490"/>
    <w:pPr>
      <w:tabs>
        <w:tab w:val="right" w:leader="dot" w:pos="9072"/>
      </w:tabs>
      <w:spacing w:before="40" w:after="40"/>
      <w:ind w:left="284"/>
    </w:pPr>
    <w:rPr>
      <w:rFonts w:ascii="Times New Roman" w:hAnsi="Times New Roman"/>
    </w:rPr>
  </w:style>
  <w:style w:type="paragraph" w:styleId="TOC1">
    <w:name w:val="toc 1"/>
    <w:basedOn w:val="TOCBase"/>
    <w:next w:val="Normal"/>
    <w:rsid w:val="00BE3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490"/>
    <w:rPr>
      <w:rFonts w:ascii="Times New Roman" w:eastAsia="Times New Roman" w:hAnsi="Times New Roman" w:cs="Times New Roman"/>
      <w:sz w:val="16"/>
      <w:lang w:eastAsia="en-US"/>
    </w:rPr>
  </w:style>
  <w:style w:type="paragraph" w:styleId="Title">
    <w:name w:val="Title"/>
    <w:basedOn w:val="HeadingBase"/>
    <w:link w:val="TitleChar"/>
    <w:qFormat/>
    <w:rsid w:val="00BE3490"/>
    <w:pPr>
      <w:spacing w:before="5040"/>
      <w:jc w:val="center"/>
    </w:pPr>
    <w:rPr>
      <w:sz w:val="48"/>
      <w:szCs w:val="72"/>
      <w:lang w:val="en-US"/>
    </w:rPr>
  </w:style>
  <w:style w:type="character" w:customStyle="1" w:styleId="TitleChar">
    <w:name w:val="Title Char"/>
    <w:basedOn w:val="DefaultParagraphFont"/>
    <w:link w:val="Title"/>
    <w:rsid w:val="00BE3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490"/>
    <w:pPr>
      <w:tabs>
        <w:tab w:val="left" w:pos="3600"/>
        <w:tab w:val="left" w:pos="3958"/>
      </w:tabs>
    </w:pPr>
  </w:style>
  <w:style w:type="paragraph" w:styleId="List">
    <w:name w:val="List"/>
    <w:basedOn w:val="BodyText"/>
    <w:next w:val="BodyText"/>
    <w:rsid w:val="00BE3490"/>
    <w:pPr>
      <w:tabs>
        <w:tab w:val="left" w:pos="340"/>
      </w:tabs>
      <w:spacing w:before="60" w:after="60"/>
      <w:ind w:left="340" w:hanging="340"/>
    </w:pPr>
  </w:style>
  <w:style w:type="paragraph" w:customStyle="1" w:styleId="Note">
    <w:name w:val="Note"/>
    <w:basedOn w:val="BodyText"/>
    <w:rsid w:val="00BE3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490"/>
    <w:pPr>
      <w:framePr w:wrap="auto" w:hAnchor="text" w:y="6049"/>
    </w:pPr>
    <w:rPr>
      <w:color w:val="000000"/>
      <w:sz w:val="40"/>
    </w:rPr>
  </w:style>
  <w:style w:type="paragraph" w:customStyle="1" w:styleId="TOCTitle">
    <w:name w:val="TOCTitle"/>
    <w:basedOn w:val="Heading1"/>
    <w:rsid w:val="00BE3490"/>
    <w:pPr>
      <w:spacing w:after="240"/>
      <w:jc w:val="center"/>
      <w:outlineLvl w:val="9"/>
    </w:pPr>
    <w:rPr>
      <w:caps/>
    </w:rPr>
  </w:style>
  <w:style w:type="paragraph" w:customStyle="1" w:styleId="Version">
    <w:name w:val="Version"/>
    <w:rsid w:val="00BE3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490"/>
    <w:pPr>
      <w:keepNext w:val="0"/>
      <w:tabs>
        <w:tab w:val="right" w:pos="4176"/>
      </w:tabs>
      <w:ind w:left="198" w:hanging="198"/>
    </w:pPr>
    <w:rPr>
      <w:rFonts w:ascii="Garamond" w:hAnsi="Garamond"/>
    </w:rPr>
  </w:style>
  <w:style w:type="paragraph" w:styleId="IndexHeading">
    <w:name w:val="index heading"/>
    <w:basedOn w:val="Normal"/>
    <w:next w:val="Index1"/>
    <w:semiHidden/>
    <w:rsid w:val="00BE3490"/>
    <w:pPr>
      <w:spacing w:before="120" w:after="120"/>
    </w:pPr>
    <w:rPr>
      <w:rFonts w:ascii="Arial" w:hAnsi="Arial"/>
      <w:b/>
      <w:color w:val="918585"/>
      <w:sz w:val="24"/>
    </w:rPr>
  </w:style>
  <w:style w:type="paragraph" w:styleId="Header">
    <w:name w:val="header"/>
    <w:basedOn w:val="Normal"/>
    <w:link w:val="HeaderChar"/>
    <w:rsid w:val="00BE3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490"/>
    <w:rPr>
      <w:rFonts w:ascii="Times New Roman" w:eastAsia="Times New Roman" w:hAnsi="Times New Roman" w:cs="Times New Roman"/>
      <w:sz w:val="16"/>
      <w:szCs w:val="20"/>
      <w:lang w:val="en-GB" w:eastAsia="en-US"/>
    </w:rPr>
  </w:style>
  <w:style w:type="paragraph" w:customStyle="1" w:styleId="Chapter">
    <w:name w:val="Chapter"/>
    <w:basedOn w:val="Normal"/>
    <w:rsid w:val="00BE3490"/>
    <w:pPr>
      <w:spacing w:before="240"/>
    </w:pPr>
    <w:rPr>
      <w:rFonts w:ascii="Times New Roman" w:hAnsi="Times New Roman"/>
      <w:smallCaps/>
      <w:spacing w:val="80"/>
      <w:sz w:val="28"/>
    </w:rPr>
  </w:style>
  <w:style w:type="paragraph" w:customStyle="1" w:styleId="InChapter">
    <w:name w:val="InChapter"/>
    <w:basedOn w:val="Heading3"/>
    <w:rsid w:val="00BE3490"/>
    <w:pPr>
      <w:spacing w:after="240"/>
      <w:outlineLvl w:val="9"/>
    </w:pPr>
    <w:rPr>
      <w:noProof/>
    </w:rPr>
  </w:style>
  <w:style w:type="paragraph" w:styleId="Index2">
    <w:name w:val="index 2"/>
    <w:basedOn w:val="Normal"/>
    <w:next w:val="Normal"/>
    <w:semiHidden/>
    <w:rsid w:val="00BE3490"/>
    <w:pPr>
      <w:tabs>
        <w:tab w:val="right" w:pos="4176"/>
      </w:tabs>
      <w:ind w:left="568" w:hanging="284"/>
    </w:pPr>
    <w:rPr>
      <w:rFonts w:ascii="Garamond" w:hAnsi="Garamond"/>
    </w:rPr>
  </w:style>
  <w:style w:type="paragraph" w:customStyle="1" w:styleId="Byline">
    <w:name w:val="Byline"/>
    <w:rsid w:val="00BE3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490"/>
    <w:pPr>
      <w:tabs>
        <w:tab w:val="clear" w:pos="3600"/>
        <w:tab w:val="clear" w:pos="3958"/>
      </w:tabs>
      <w:jc w:val="right"/>
    </w:pPr>
  </w:style>
  <w:style w:type="character" w:styleId="Emphasis">
    <w:name w:val="Emphasis"/>
    <w:basedOn w:val="DefaultParagraphFont"/>
    <w:qFormat/>
    <w:rsid w:val="00BE3490"/>
    <w:rPr>
      <w:i/>
    </w:rPr>
  </w:style>
  <w:style w:type="paragraph" w:styleId="Caption">
    <w:name w:val="caption"/>
    <w:basedOn w:val="BodyText"/>
    <w:next w:val="Normal"/>
    <w:qFormat/>
    <w:rsid w:val="00BE3490"/>
    <w:pPr>
      <w:framePr w:w="2268" w:hSpace="181" w:vSpace="181" w:wrap="around" w:vAnchor="text" w:hAnchor="page" w:x="1135" w:y="285" w:anchorLock="1"/>
    </w:pPr>
    <w:rPr>
      <w:i/>
    </w:rPr>
  </w:style>
  <w:style w:type="paragraph" w:customStyle="1" w:styleId="MiniTOCTitle">
    <w:name w:val="MiniTOCTitle"/>
    <w:basedOn w:val="Heading4"/>
    <w:rsid w:val="00BE3490"/>
    <w:pPr>
      <w:spacing w:before="240"/>
      <w:outlineLvl w:val="9"/>
    </w:pPr>
    <w:rPr>
      <w:noProof/>
      <w:sz w:val="24"/>
    </w:rPr>
  </w:style>
  <w:style w:type="paragraph" w:customStyle="1" w:styleId="MiniTOCItem">
    <w:name w:val="MiniTOCItem"/>
    <w:basedOn w:val="ListBullet"/>
    <w:rsid w:val="00BE3490"/>
    <w:pPr>
      <w:numPr>
        <w:numId w:val="0"/>
      </w:numPr>
      <w:tabs>
        <w:tab w:val="right" w:leader="dot" w:pos="6521"/>
      </w:tabs>
      <w:spacing w:before="0" w:after="0"/>
    </w:pPr>
  </w:style>
  <w:style w:type="paragraph" w:customStyle="1" w:styleId="TOFTitle">
    <w:name w:val="TOFTitle"/>
    <w:basedOn w:val="TOCTitle"/>
    <w:rsid w:val="00BE3490"/>
  </w:style>
  <w:style w:type="paragraph" w:styleId="TableofFigures">
    <w:name w:val="table of figures"/>
    <w:basedOn w:val="Normal"/>
    <w:next w:val="Normal"/>
    <w:semiHidden/>
    <w:rsid w:val="00BE3490"/>
    <w:pPr>
      <w:tabs>
        <w:tab w:val="right" w:leader="dot" w:pos="9072"/>
      </w:tabs>
      <w:ind w:left="970" w:hanging="403"/>
    </w:pPr>
    <w:rPr>
      <w:rFonts w:ascii="Times New Roman" w:hAnsi="Times New Roman"/>
      <w:b/>
    </w:rPr>
  </w:style>
  <w:style w:type="paragraph" w:styleId="ListNumber">
    <w:name w:val="List Number"/>
    <w:basedOn w:val="List"/>
    <w:rsid w:val="00BE3490"/>
    <w:pPr>
      <w:numPr>
        <w:numId w:val="15"/>
      </w:numPr>
      <w:tabs>
        <w:tab w:val="clear" w:pos="340"/>
      </w:tabs>
    </w:pPr>
  </w:style>
  <w:style w:type="character" w:customStyle="1" w:styleId="WingdingSymbols">
    <w:name w:val="Wingding Symbols"/>
    <w:rsid w:val="00BE3490"/>
    <w:rPr>
      <w:rFonts w:ascii="Wingdings" w:hAnsi="Wingdings"/>
    </w:rPr>
  </w:style>
  <w:style w:type="paragraph" w:customStyle="1" w:styleId="TableHeading">
    <w:name w:val="Table Heading"/>
    <w:basedOn w:val="HeadingBase"/>
    <w:rsid w:val="00BE3490"/>
    <w:pPr>
      <w:keepLines/>
      <w:pBdr>
        <w:bottom w:val="single" w:sz="6" w:space="1" w:color="918585"/>
      </w:pBdr>
      <w:spacing w:before="240"/>
    </w:pPr>
  </w:style>
  <w:style w:type="character" w:customStyle="1" w:styleId="HotSpot">
    <w:name w:val="HotSpot"/>
    <w:rsid w:val="00BE3490"/>
    <w:rPr>
      <w:color w:val="0033CC"/>
      <w:u w:val="none"/>
    </w:rPr>
  </w:style>
  <w:style w:type="paragraph" w:customStyle="1" w:styleId="BodyTextRight">
    <w:name w:val="Body Text Right"/>
    <w:basedOn w:val="BodyText"/>
    <w:rsid w:val="00BE3490"/>
    <w:pPr>
      <w:spacing w:before="0" w:after="0"/>
      <w:jc w:val="right"/>
    </w:pPr>
  </w:style>
  <w:style w:type="paragraph" w:styleId="Index3">
    <w:name w:val="index 3"/>
    <w:basedOn w:val="ListNumber2"/>
    <w:next w:val="Normal"/>
    <w:semiHidden/>
    <w:rsid w:val="00BE3490"/>
    <w:pPr>
      <w:numPr>
        <w:numId w:val="0"/>
      </w:numPr>
      <w:tabs>
        <w:tab w:val="right" w:leader="dot" w:pos="4176"/>
      </w:tabs>
    </w:pPr>
  </w:style>
  <w:style w:type="paragraph" w:styleId="ListNumber2">
    <w:name w:val="List Number 2"/>
    <w:basedOn w:val="List2"/>
    <w:rsid w:val="00BE3490"/>
    <w:pPr>
      <w:numPr>
        <w:numId w:val="10"/>
      </w:numPr>
      <w:tabs>
        <w:tab w:val="clear" w:pos="1060"/>
      </w:tabs>
    </w:pPr>
  </w:style>
  <w:style w:type="paragraph" w:customStyle="1" w:styleId="MarginNote">
    <w:name w:val="Margin Note"/>
    <w:basedOn w:val="BodyText"/>
    <w:rsid w:val="00BE3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490"/>
    <w:rPr>
      <w:sz w:val="32"/>
    </w:rPr>
  </w:style>
  <w:style w:type="paragraph" w:customStyle="1" w:styleId="HeadingProcedure">
    <w:name w:val="Heading Procedure"/>
    <w:basedOn w:val="HeadingBase"/>
    <w:next w:val="Normal"/>
    <w:rsid w:val="00BE3490"/>
    <w:pPr>
      <w:tabs>
        <w:tab w:val="left" w:pos="0"/>
      </w:tabs>
      <w:spacing w:before="120" w:after="60"/>
    </w:pPr>
    <w:rPr>
      <w:i/>
      <w:color w:val="918585"/>
      <w:sz w:val="22"/>
    </w:rPr>
  </w:style>
  <w:style w:type="paragraph" w:customStyle="1" w:styleId="TableBodyText">
    <w:name w:val="Table Body Text"/>
    <w:basedOn w:val="BodyText"/>
    <w:rsid w:val="00BE3490"/>
    <w:pPr>
      <w:spacing w:before="60" w:after="60"/>
    </w:pPr>
  </w:style>
  <w:style w:type="paragraph" w:styleId="ListContinue">
    <w:name w:val="List Continue"/>
    <w:basedOn w:val="List"/>
    <w:rsid w:val="00BE3490"/>
    <w:pPr>
      <w:ind w:firstLine="0"/>
    </w:pPr>
  </w:style>
  <w:style w:type="paragraph" w:customStyle="1" w:styleId="ListNote">
    <w:name w:val="List Note"/>
    <w:basedOn w:val="List"/>
    <w:rsid w:val="00BE3490"/>
    <w:pPr>
      <w:pBdr>
        <w:top w:val="single" w:sz="6" w:space="2" w:color="918585"/>
        <w:bottom w:val="single" w:sz="6" w:space="2" w:color="918585"/>
      </w:pBdr>
      <w:tabs>
        <w:tab w:val="left" w:pos="1021"/>
      </w:tabs>
      <w:ind w:firstLine="0"/>
    </w:pPr>
  </w:style>
  <w:style w:type="paragraph" w:customStyle="1" w:styleId="Warning">
    <w:name w:val="Warning"/>
    <w:basedOn w:val="BodyText"/>
    <w:rsid w:val="00BE3490"/>
    <w:pPr>
      <w:shd w:val="clear" w:color="auto" w:fill="D9D9D9"/>
      <w:tabs>
        <w:tab w:val="left" w:pos="992"/>
      </w:tabs>
      <w:ind w:left="119" w:right="119"/>
    </w:pPr>
    <w:rPr>
      <w:sz w:val="20"/>
    </w:rPr>
  </w:style>
  <w:style w:type="paragraph" w:customStyle="1" w:styleId="MarginIcons">
    <w:name w:val="Margin Icons"/>
    <w:basedOn w:val="BodyText"/>
    <w:rsid w:val="00BE3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490"/>
    <w:rPr>
      <w:rFonts w:ascii="Courier New" w:hAnsi="Courier New"/>
    </w:rPr>
  </w:style>
  <w:style w:type="paragraph" w:customStyle="1" w:styleId="NoteBullet">
    <w:name w:val="Note Bullet"/>
    <w:basedOn w:val="Note"/>
    <w:rsid w:val="00BE3490"/>
    <w:pPr>
      <w:tabs>
        <w:tab w:val="clear" w:pos="680"/>
      </w:tabs>
      <w:spacing w:before="60" w:after="60"/>
    </w:pPr>
  </w:style>
  <w:style w:type="paragraph" w:customStyle="1" w:styleId="SubHeading2">
    <w:name w:val="SubHeading2"/>
    <w:basedOn w:val="HeadingBase"/>
    <w:rsid w:val="00BE3490"/>
    <w:pPr>
      <w:spacing w:before="240" w:after="60"/>
    </w:pPr>
    <w:rPr>
      <w:sz w:val="20"/>
    </w:rPr>
  </w:style>
  <w:style w:type="paragraph" w:customStyle="1" w:styleId="SubHeading1">
    <w:name w:val="SubHeading1"/>
    <w:basedOn w:val="HeadingBase"/>
    <w:rsid w:val="00BE3490"/>
    <w:pPr>
      <w:spacing w:before="240" w:after="60"/>
    </w:pPr>
    <w:rPr>
      <w:color w:val="918585"/>
      <w:sz w:val="22"/>
    </w:rPr>
  </w:style>
  <w:style w:type="paragraph" w:customStyle="1" w:styleId="SideHeading">
    <w:name w:val="Side Heading"/>
    <w:basedOn w:val="HeadingBase"/>
    <w:rsid w:val="00BE3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490"/>
    <w:pPr>
      <w:tabs>
        <w:tab w:val="num" w:pos="360"/>
      </w:tabs>
    </w:pPr>
  </w:style>
  <w:style w:type="paragraph" w:styleId="PlainText">
    <w:name w:val="Plain Text"/>
    <w:basedOn w:val="Normal"/>
    <w:link w:val="PlainTextChar"/>
    <w:rsid w:val="00BE3490"/>
    <w:rPr>
      <w:sz w:val="20"/>
    </w:rPr>
  </w:style>
  <w:style w:type="character" w:customStyle="1" w:styleId="PlainTextChar">
    <w:name w:val="Plain Text Char"/>
    <w:basedOn w:val="DefaultParagraphFont"/>
    <w:link w:val="PlainText"/>
    <w:rsid w:val="00BE3490"/>
    <w:rPr>
      <w:rFonts w:ascii="Courier New" w:eastAsia="Times New Roman" w:hAnsi="Courier New" w:cs="Times New Roman"/>
      <w:sz w:val="20"/>
      <w:szCs w:val="20"/>
      <w:lang w:eastAsia="en-US"/>
    </w:rPr>
  </w:style>
  <w:style w:type="character" w:customStyle="1" w:styleId="MenuOption">
    <w:name w:val="Menu Option"/>
    <w:basedOn w:val="DefaultParagraphFont"/>
    <w:rsid w:val="00BE3490"/>
    <w:rPr>
      <w:b/>
      <w:smallCaps/>
    </w:rPr>
  </w:style>
  <w:style w:type="paragraph" w:customStyle="1" w:styleId="TableListNumber">
    <w:name w:val="Table List Number"/>
    <w:basedOn w:val="ListNumber"/>
    <w:rsid w:val="00BE3490"/>
    <w:pPr>
      <w:numPr>
        <w:numId w:val="0"/>
      </w:numPr>
    </w:pPr>
  </w:style>
  <w:style w:type="paragraph" w:styleId="TOC4">
    <w:name w:val="toc 4"/>
    <w:basedOn w:val="TOCBase"/>
    <w:next w:val="Normal"/>
    <w:semiHidden/>
    <w:rsid w:val="00BE3490"/>
    <w:pPr>
      <w:tabs>
        <w:tab w:val="right" w:leader="dot" w:pos="9071"/>
      </w:tabs>
      <w:ind w:left="1701"/>
    </w:pPr>
  </w:style>
  <w:style w:type="paragraph" w:customStyle="1" w:styleId="ListAlpha">
    <w:name w:val="List Alpha"/>
    <w:basedOn w:val="List"/>
    <w:rsid w:val="00BE3490"/>
    <w:pPr>
      <w:numPr>
        <w:numId w:val="9"/>
      </w:numPr>
    </w:pPr>
  </w:style>
  <w:style w:type="paragraph" w:customStyle="1" w:styleId="ListAlpha2">
    <w:name w:val="List Alpha 2"/>
    <w:basedOn w:val="List2"/>
    <w:rsid w:val="00BE3490"/>
    <w:pPr>
      <w:numPr>
        <w:numId w:val="8"/>
      </w:numPr>
    </w:pPr>
  </w:style>
  <w:style w:type="paragraph" w:styleId="List2">
    <w:name w:val="List 2"/>
    <w:basedOn w:val="BodyText"/>
    <w:rsid w:val="00BE3490"/>
    <w:pPr>
      <w:tabs>
        <w:tab w:val="left" w:pos="680"/>
      </w:tabs>
      <w:spacing w:before="60" w:after="60"/>
      <w:ind w:left="680" w:hanging="340"/>
    </w:pPr>
  </w:style>
  <w:style w:type="paragraph" w:styleId="List3">
    <w:name w:val="List 3"/>
    <w:basedOn w:val="BodyText"/>
    <w:rsid w:val="00BE3490"/>
    <w:pPr>
      <w:tabs>
        <w:tab w:val="left" w:pos="1021"/>
      </w:tabs>
      <w:spacing w:before="60" w:after="60"/>
      <w:ind w:left="1020" w:hanging="340"/>
    </w:pPr>
  </w:style>
  <w:style w:type="paragraph" w:styleId="List4">
    <w:name w:val="List 4"/>
    <w:basedOn w:val="BodyText"/>
    <w:rsid w:val="00BE3490"/>
    <w:pPr>
      <w:tabs>
        <w:tab w:val="left" w:pos="1361"/>
      </w:tabs>
      <w:spacing w:before="60" w:after="60"/>
      <w:ind w:left="1361" w:hanging="340"/>
    </w:pPr>
  </w:style>
  <w:style w:type="paragraph" w:styleId="List5">
    <w:name w:val="List 5"/>
    <w:basedOn w:val="BodyText"/>
    <w:rsid w:val="00BE3490"/>
    <w:pPr>
      <w:tabs>
        <w:tab w:val="left" w:pos="1701"/>
      </w:tabs>
      <w:spacing w:before="60" w:after="60"/>
      <w:ind w:left="1701" w:hanging="340"/>
    </w:pPr>
  </w:style>
  <w:style w:type="paragraph" w:styleId="ListBullet3">
    <w:name w:val="List Bullet 3"/>
    <w:basedOn w:val="List3"/>
    <w:rsid w:val="00BE3490"/>
    <w:pPr>
      <w:numPr>
        <w:numId w:val="14"/>
      </w:numPr>
      <w:tabs>
        <w:tab w:val="clear" w:pos="1021"/>
      </w:tabs>
      <w:ind w:left="1037" w:hanging="357"/>
    </w:pPr>
  </w:style>
  <w:style w:type="paragraph" w:styleId="ListBullet4">
    <w:name w:val="List Bullet 4"/>
    <w:basedOn w:val="List4"/>
    <w:rsid w:val="00BE3490"/>
    <w:pPr>
      <w:numPr>
        <w:numId w:val="3"/>
      </w:numPr>
      <w:tabs>
        <w:tab w:val="clear" w:pos="1361"/>
      </w:tabs>
    </w:pPr>
  </w:style>
  <w:style w:type="paragraph" w:styleId="ListBullet5">
    <w:name w:val="List Bullet 5"/>
    <w:basedOn w:val="List5"/>
    <w:rsid w:val="00BE3490"/>
    <w:pPr>
      <w:numPr>
        <w:numId w:val="4"/>
      </w:numPr>
    </w:pPr>
  </w:style>
  <w:style w:type="paragraph" w:styleId="ListContinue2">
    <w:name w:val="List Continue 2"/>
    <w:basedOn w:val="List2"/>
    <w:rsid w:val="00BE3490"/>
    <w:pPr>
      <w:ind w:firstLine="0"/>
    </w:pPr>
  </w:style>
  <w:style w:type="paragraph" w:styleId="ListContinue3">
    <w:name w:val="List Continue 3"/>
    <w:basedOn w:val="List3"/>
    <w:rsid w:val="00BE3490"/>
    <w:pPr>
      <w:ind w:left="1021" w:firstLine="0"/>
    </w:pPr>
  </w:style>
  <w:style w:type="paragraph" w:styleId="ListContinue4">
    <w:name w:val="List Continue 4"/>
    <w:basedOn w:val="List4"/>
    <w:rsid w:val="00BE3490"/>
    <w:pPr>
      <w:ind w:firstLine="0"/>
    </w:pPr>
  </w:style>
  <w:style w:type="paragraph" w:styleId="ListContinue5">
    <w:name w:val="List Continue 5"/>
    <w:basedOn w:val="List5"/>
    <w:rsid w:val="00BE3490"/>
    <w:pPr>
      <w:ind w:firstLine="0"/>
    </w:pPr>
  </w:style>
  <w:style w:type="paragraph" w:styleId="ListNumber3">
    <w:name w:val="List Number 3"/>
    <w:basedOn w:val="List3"/>
    <w:rsid w:val="00BE3490"/>
    <w:pPr>
      <w:numPr>
        <w:numId w:val="5"/>
      </w:numPr>
    </w:pPr>
  </w:style>
  <w:style w:type="paragraph" w:styleId="ListNumber4">
    <w:name w:val="List Number 4"/>
    <w:basedOn w:val="List4"/>
    <w:rsid w:val="00BE3490"/>
    <w:pPr>
      <w:numPr>
        <w:numId w:val="6"/>
      </w:numPr>
    </w:pPr>
  </w:style>
  <w:style w:type="paragraph" w:styleId="ListNumber5">
    <w:name w:val="List Number 5"/>
    <w:basedOn w:val="List5"/>
    <w:rsid w:val="00BE3490"/>
    <w:pPr>
      <w:numPr>
        <w:numId w:val="7"/>
      </w:numPr>
    </w:pPr>
  </w:style>
  <w:style w:type="paragraph" w:styleId="BlockText">
    <w:name w:val="Block Text"/>
    <w:basedOn w:val="Normal"/>
    <w:rsid w:val="00BE3490"/>
    <w:pPr>
      <w:spacing w:after="120"/>
      <w:ind w:left="1440" w:right="1440"/>
    </w:pPr>
  </w:style>
  <w:style w:type="character" w:customStyle="1" w:styleId="Subscript">
    <w:name w:val="Subscript"/>
    <w:basedOn w:val="DefaultParagraphFont"/>
    <w:rsid w:val="00BE3490"/>
    <w:rPr>
      <w:sz w:val="16"/>
      <w:vertAlign w:val="subscript"/>
    </w:rPr>
  </w:style>
  <w:style w:type="character" w:customStyle="1" w:styleId="Superscript">
    <w:name w:val="Superscript"/>
    <w:basedOn w:val="DefaultParagraphFont"/>
    <w:rsid w:val="00BE3490"/>
    <w:rPr>
      <w:sz w:val="16"/>
      <w:vertAlign w:val="superscript"/>
    </w:rPr>
  </w:style>
  <w:style w:type="character" w:customStyle="1" w:styleId="Symbols">
    <w:name w:val="Symbols"/>
    <w:basedOn w:val="DefaultParagraphFont"/>
    <w:rsid w:val="00BE3490"/>
    <w:rPr>
      <w:rFonts w:ascii="Symbol" w:hAnsi="Symbol"/>
    </w:rPr>
  </w:style>
  <w:style w:type="character" w:customStyle="1" w:styleId="MenuOptions">
    <w:name w:val="Menu Options"/>
    <w:basedOn w:val="DefaultParagraphFont"/>
    <w:rsid w:val="00BE3490"/>
    <w:rPr>
      <w:rFonts w:ascii="Arial Narrow" w:hAnsi="Arial Narrow"/>
      <w:smallCaps/>
    </w:rPr>
  </w:style>
  <w:style w:type="character" w:customStyle="1" w:styleId="Buttons">
    <w:name w:val="Buttons"/>
    <w:basedOn w:val="DefaultParagraphFont"/>
    <w:rsid w:val="00BE3490"/>
    <w:rPr>
      <w:b/>
    </w:rPr>
  </w:style>
  <w:style w:type="character" w:customStyle="1" w:styleId="Underlined">
    <w:name w:val="Underlined"/>
    <w:basedOn w:val="DefaultParagraphFont"/>
    <w:rsid w:val="00BE3490"/>
    <w:rPr>
      <w:u w:val="single"/>
    </w:rPr>
  </w:style>
  <w:style w:type="paragraph" w:customStyle="1" w:styleId="TableBodyTextRight">
    <w:name w:val="Table Body Text Right"/>
    <w:basedOn w:val="TableBodyText"/>
    <w:rsid w:val="00BE3490"/>
    <w:pPr>
      <w:widowControl w:val="0"/>
      <w:autoSpaceDE w:val="0"/>
      <w:autoSpaceDN w:val="0"/>
      <w:adjustRightInd w:val="0"/>
      <w:jc w:val="right"/>
    </w:pPr>
    <w:rPr>
      <w:rFonts w:cs="Arial"/>
      <w:szCs w:val="18"/>
    </w:rPr>
  </w:style>
  <w:style w:type="paragraph" w:customStyle="1" w:styleId="CopyrightText">
    <w:name w:val="Copyright Text"/>
    <w:basedOn w:val="BodyText"/>
    <w:rsid w:val="00BE3490"/>
    <w:rPr>
      <w:sz w:val="18"/>
    </w:rPr>
  </w:style>
  <w:style w:type="paragraph" w:customStyle="1" w:styleId="BodySmallRight">
    <w:name w:val="Body Small Right"/>
    <w:basedOn w:val="BodyTextRight"/>
    <w:rsid w:val="00BE3490"/>
    <w:rPr>
      <w:sz w:val="18"/>
      <w:szCs w:val="18"/>
    </w:rPr>
  </w:style>
  <w:style w:type="paragraph" w:customStyle="1" w:styleId="MarginEdition">
    <w:name w:val="Margin Edition"/>
    <w:basedOn w:val="MarginNote"/>
    <w:rsid w:val="00BE3490"/>
    <w:pPr>
      <w:spacing w:before="0" w:after="0"/>
    </w:pPr>
    <w:rPr>
      <w:rFonts w:ascii="Times New Roman" w:hAnsi="Times New Roman"/>
      <w:color w:val="999999"/>
    </w:rPr>
  </w:style>
  <w:style w:type="paragraph" w:customStyle="1" w:styleId="Spacer">
    <w:name w:val="Spacer"/>
    <w:basedOn w:val="Normal"/>
    <w:rsid w:val="00BE3490"/>
    <w:rPr>
      <w:sz w:val="2"/>
      <w:szCs w:val="2"/>
    </w:rPr>
  </w:style>
  <w:style w:type="character" w:customStyle="1" w:styleId="Small">
    <w:name w:val="Small"/>
    <w:basedOn w:val="DefaultParagraphFont"/>
    <w:rsid w:val="00BE3490"/>
    <w:rPr>
      <w:sz w:val="16"/>
    </w:rPr>
  </w:style>
  <w:style w:type="paragraph" w:customStyle="1" w:styleId="WideTable">
    <w:name w:val="Wide Table"/>
    <w:basedOn w:val="Normal"/>
    <w:rsid w:val="00BE3490"/>
    <w:pPr>
      <w:ind w:left="-1418"/>
    </w:pPr>
    <w:rPr>
      <w:sz w:val="2"/>
      <w:szCs w:val="2"/>
    </w:rPr>
  </w:style>
  <w:style w:type="character" w:styleId="PageNumber">
    <w:name w:val="page number"/>
    <w:basedOn w:val="DefaultParagraphFont"/>
    <w:rsid w:val="00BE3490"/>
  </w:style>
  <w:style w:type="paragraph" w:styleId="Quote">
    <w:name w:val="Quote"/>
    <w:basedOn w:val="Heading1"/>
    <w:link w:val="QuoteChar"/>
    <w:qFormat/>
    <w:rsid w:val="00BE3490"/>
    <w:rPr>
      <w:b w:val="0"/>
      <w:sz w:val="72"/>
      <w:szCs w:val="72"/>
      <w:lang w:val="en-NZ"/>
    </w:rPr>
  </w:style>
  <w:style w:type="character" w:customStyle="1" w:styleId="QuoteChar">
    <w:name w:val="Quote Char"/>
    <w:basedOn w:val="DefaultParagraphFont"/>
    <w:link w:val="Quote"/>
    <w:rsid w:val="00BE3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490"/>
    <w:pPr>
      <w:pageBreakBefore/>
    </w:pPr>
  </w:style>
  <w:style w:type="paragraph" w:customStyle="1" w:styleId="Border">
    <w:name w:val="Border"/>
    <w:basedOn w:val="Normal"/>
    <w:qFormat/>
    <w:rsid w:val="00BE3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490"/>
    <w:rPr>
      <w:b/>
      <w:bCs/>
      <w:i/>
      <w:iCs/>
      <w:color w:val="auto"/>
    </w:rPr>
  </w:style>
  <w:style w:type="paragraph" w:styleId="IntenseQuote">
    <w:name w:val="Intense Quote"/>
    <w:basedOn w:val="Normal"/>
    <w:next w:val="Normal"/>
    <w:link w:val="IntenseQuoteChar"/>
    <w:uiPriority w:val="30"/>
    <w:qFormat/>
    <w:rsid w:val="00BE3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490"/>
    <w:rPr>
      <w:smallCaps/>
      <w:color w:val="auto"/>
      <w:u w:val="single"/>
    </w:rPr>
  </w:style>
  <w:style w:type="character" w:styleId="IntenseReference">
    <w:name w:val="Intense Reference"/>
    <w:basedOn w:val="DefaultParagraphFont"/>
    <w:uiPriority w:val="32"/>
    <w:qFormat/>
    <w:rsid w:val="00BE3490"/>
    <w:rPr>
      <w:b/>
      <w:bCs/>
      <w:smallCaps/>
      <w:color w:val="auto"/>
      <w:spacing w:val="5"/>
      <w:u w:val="single"/>
    </w:rPr>
  </w:style>
  <w:style w:type="paragraph" w:customStyle="1" w:styleId="2ColumnHeading">
    <w:name w:val="2Column Heading"/>
    <w:basedOn w:val="BodyText"/>
    <w:qFormat/>
    <w:rsid w:val="00BE3490"/>
    <w:pPr>
      <w:spacing w:after="60"/>
      <w:ind w:left="-2268"/>
    </w:pPr>
    <w:rPr>
      <w:b/>
    </w:rPr>
  </w:style>
  <w:style w:type="paragraph" w:customStyle="1" w:styleId="Heading1TOC">
    <w:name w:val="Heading1 TOC"/>
    <w:basedOn w:val="Normal"/>
    <w:qFormat/>
    <w:rsid w:val="00BE3490"/>
    <w:pPr>
      <w:spacing w:before="240" w:after="120"/>
    </w:pPr>
    <w:rPr>
      <w:rFonts w:ascii="Times New Roman" w:hAnsi="Times New Roman"/>
      <w:b/>
      <w:sz w:val="32"/>
    </w:rPr>
  </w:style>
  <w:style w:type="paragraph" w:customStyle="1" w:styleId="Heading2TOC">
    <w:name w:val="Heading2 TOC"/>
    <w:basedOn w:val="Normal"/>
    <w:qFormat/>
    <w:rsid w:val="00BE3490"/>
    <w:pPr>
      <w:spacing w:before="240" w:after="60"/>
    </w:pPr>
    <w:rPr>
      <w:rFonts w:ascii="Times New Roman" w:hAnsi="Times New Roman"/>
      <w:b/>
      <w:sz w:val="28"/>
    </w:rPr>
  </w:style>
  <w:style w:type="character" w:customStyle="1" w:styleId="Underline">
    <w:name w:val="Underline"/>
    <w:basedOn w:val="DefaultParagraphFont"/>
    <w:qFormat/>
    <w:rsid w:val="00BE3490"/>
    <w:rPr>
      <w:u w:val="single"/>
    </w:rPr>
  </w:style>
  <w:style w:type="character" w:customStyle="1" w:styleId="BoldandItalics">
    <w:name w:val="Bold and Italics"/>
    <w:qFormat/>
    <w:rsid w:val="00BE3490"/>
    <w:rPr>
      <w:b/>
      <w:i/>
      <w:u w:val="none"/>
    </w:rPr>
  </w:style>
  <w:style w:type="paragraph" w:styleId="BalloonText">
    <w:name w:val="Balloon Text"/>
    <w:basedOn w:val="Normal"/>
    <w:link w:val="BalloonTextChar"/>
    <w:rsid w:val="00BE3490"/>
    <w:rPr>
      <w:rFonts w:ascii="Tahoma" w:hAnsi="Tahoma" w:cs="Tahoma"/>
      <w:sz w:val="16"/>
      <w:szCs w:val="16"/>
    </w:rPr>
  </w:style>
  <w:style w:type="character" w:customStyle="1" w:styleId="BalloonTextChar">
    <w:name w:val="Balloon Text Char"/>
    <w:basedOn w:val="DefaultParagraphFont"/>
    <w:link w:val="BalloonText"/>
    <w:rsid w:val="00BE3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490"/>
    <w:rPr>
      <w:b/>
      <w:color w:val="660033"/>
      <w:spacing w:val="0"/>
    </w:rPr>
  </w:style>
  <w:style w:type="paragraph" w:customStyle="1" w:styleId="Nameditemlist">
    <w:name w:val="Named item list"/>
    <w:basedOn w:val="BodyText"/>
    <w:qFormat/>
    <w:rsid w:val="00BE3490"/>
    <w:pPr>
      <w:tabs>
        <w:tab w:val="left" w:pos="2835"/>
      </w:tabs>
      <w:ind w:left="2835" w:hanging="2835"/>
    </w:pPr>
  </w:style>
  <w:style w:type="paragraph" w:customStyle="1" w:styleId="BodyTextnopadding">
    <w:name w:val="Body Text no padding"/>
    <w:basedOn w:val="BodyText"/>
    <w:qFormat/>
    <w:rsid w:val="00BE3490"/>
    <w:pPr>
      <w:spacing w:before="0" w:after="0"/>
    </w:pPr>
  </w:style>
  <w:style w:type="paragraph" w:customStyle="1" w:styleId="BodyTextBold">
    <w:name w:val="Body Text Bold"/>
    <w:basedOn w:val="BodyText"/>
    <w:qFormat/>
    <w:rsid w:val="00BE3490"/>
    <w:rPr>
      <w:b/>
    </w:rPr>
  </w:style>
  <w:style w:type="character" w:styleId="Hyperlink">
    <w:name w:val="Hyperlink"/>
    <w:basedOn w:val="DefaultParagraphFont"/>
    <w:uiPriority w:val="99"/>
    <w:unhideWhenUsed/>
    <w:rsid w:val="00F71F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5417</Characters>
  <Application>Microsoft Office Word</Application>
  <DocSecurity>0</DocSecurity>
  <Lines>159</Lines>
  <Paragraphs>87</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MEA325 Weigh aircraft and perform aircraft weight and balance calculations as a result of modifications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