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768A" w:rsidP="007F768A">
      <w:pPr>
        <w:pStyle w:val="Title"/>
      </w:pPr>
      <w:r>
        <w:fldChar w:fldCharType="begin"/>
      </w:r>
      <w:r>
        <w:instrText xml:space="preserve"> TITLE   \* MERGEFORMAT </w:instrText>
      </w:r>
      <w:r>
        <w:fldChar w:fldCharType="separate"/>
      </w:r>
      <w:r>
        <w:t>Assessment Requirements for MEA322 Test and troubleshoot gas turbine engine systems and components</w:t>
      </w:r>
      <w:r>
        <w:fldChar w:fldCharType="end"/>
      </w:r>
    </w:p>
    <w:p w:rsidR="007F768A" w:rsidP="007F768A">
      <w:pPr>
        <w:pStyle w:val="Version"/>
        <w:sectPr w:rsidSect="00DA712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712F" w:rsidP="00DA712F">
      <w:pPr>
        <w:pStyle w:val="SuperHeading"/>
      </w:pPr>
      <w:r w:rsidRPr="00DA712F">
        <w:t>Assessment Requirements for MEA322 Test and troubleshoot gas turbine engine systems and components</w:t>
      </w:r>
    </w:p>
    <w:p w:rsidR="00000000" w:rsidRPr="00DA712F" w:rsidP="00DA712F">
      <w:pPr>
        <w:pStyle w:val="Heading1"/>
      </w:pPr>
      <w:bookmarkStart w:id="1" w:name="O_721752"/>
      <w:bookmarkEnd w:id="1"/>
      <w:r w:rsidRPr="00DA712F">
        <w:t>Modification History</w:t>
      </w:r>
    </w:p>
    <w:p w:rsidR="00000000" w:rsidRPr="00DA712F" w:rsidP="007F768A">
      <w:pPr>
        <w:pStyle w:val="BodyText"/>
      </w:pPr>
      <w:r w:rsidRPr="00DA712F">
        <w:t>Release 1 - New unit of competency</w:t>
      </w:r>
    </w:p>
    <w:p w:rsidR="00000000" w:rsidRPr="00DA712F" w:rsidP="00DA712F">
      <w:pPr>
        <w:pStyle w:val="Heading1"/>
      </w:pPr>
      <w:bookmarkStart w:id="2" w:name="O_721755"/>
      <w:bookmarkEnd w:id="2"/>
      <w:r w:rsidRPr="00DA712F">
        <w:t>Performance Evidence</w:t>
      </w:r>
    </w:p>
    <w:p w:rsidR="00000000" w:rsidRPr="00DA712F" w:rsidP="007F768A">
      <w:pPr>
        <w:pStyle w:val="BodyText"/>
      </w:pPr>
      <w:r w:rsidRPr="00DA712F">
        <w:t>Evidence required to demonstrate competency in this unit must be relevant to and satisfy all of the requirements of the elements and performance criteria under the specified conditions of assessment, and must include:</w:t>
      </w:r>
    </w:p>
    <w:p w:rsidR="00000000" w:rsidRPr="00DA712F" w:rsidP="00DA712F">
      <w:pPr>
        <w:pStyle w:val="ListBullet"/>
      </w:pPr>
      <w:r w:rsidRPr="00DA712F">
        <w:t>applying relevant WHS procedures, inc</w:t>
      </w:r>
      <w:r w:rsidRPr="00DA712F">
        <w:t>luding lifting and handling of heavy components</w:t>
      </w:r>
    </w:p>
    <w:p w:rsidR="00000000" w:rsidRPr="00DA712F" w:rsidP="00DA712F">
      <w:pPr>
        <w:pStyle w:val="ListBullet"/>
      </w:pPr>
      <w:r w:rsidRPr="00DA712F">
        <w:t>using MSDS and PPE</w:t>
      </w:r>
    </w:p>
    <w:p w:rsidR="00000000" w:rsidRPr="00DA712F" w:rsidP="00DA712F">
      <w:pPr>
        <w:pStyle w:val="ListBullet"/>
      </w:pPr>
      <w:r w:rsidRPr="00DA712F">
        <w:t>using relevant maintenance documentation and aircraft manuals to:</w:t>
      </w:r>
    </w:p>
    <w:p w:rsidR="00000000" w:rsidRPr="00DA712F" w:rsidP="00DA712F">
      <w:pPr>
        <w:pStyle w:val="ListBullet2"/>
      </w:pPr>
      <w:r w:rsidRPr="00DA712F">
        <w:t>recognise through visual/physical inspection external and internal signs of defects in gas turbine engines, components and</w:t>
      </w:r>
      <w:r w:rsidRPr="00DA712F">
        <w:t xml:space="preserve"> system components</w:t>
      </w:r>
    </w:p>
    <w:p w:rsidR="00000000" w:rsidRPr="00DA712F" w:rsidP="00DA712F">
      <w:pPr>
        <w:pStyle w:val="ListBullet2"/>
      </w:pPr>
      <w:r w:rsidRPr="00DA712F">
        <w:t>assist with testing of gas turbine engine and engine system operation, be able to operate systems, monitor indications, record parameters and recognise correct function</w:t>
      </w:r>
    </w:p>
    <w:p w:rsidR="00000000" w:rsidRPr="00DA712F" w:rsidP="00DA712F">
      <w:pPr>
        <w:pStyle w:val="ListBullet2"/>
      </w:pPr>
      <w:r w:rsidRPr="00DA712F">
        <w:t>compile engine condition monitoring records</w:t>
      </w:r>
    </w:p>
    <w:p w:rsidR="00000000" w:rsidRPr="00DA712F" w:rsidP="00DA712F">
      <w:pPr>
        <w:pStyle w:val="ListBullet2"/>
      </w:pPr>
      <w:r w:rsidRPr="00DA712F">
        <w:t>rig and adjust engine co</w:t>
      </w:r>
      <w:r w:rsidRPr="00DA712F">
        <w:t>ntrols and systems</w:t>
      </w:r>
    </w:p>
    <w:p w:rsidR="00000000" w:rsidRPr="00DA712F" w:rsidP="00DA712F">
      <w:pPr>
        <w:pStyle w:val="ListBullet"/>
      </w:pPr>
      <w:r w:rsidRPr="00DA712F">
        <w:t>using fault diagnosis guides and equivalent data, to accurately and efficiently troubleshoot the causes of unserviceabilities in gas turbine engines and engine systems, clearly record details and identify the required rectification acti</w:t>
      </w:r>
      <w:r w:rsidRPr="00DA712F">
        <w:t>ons.</w:t>
      </w:r>
    </w:p>
    <w:p w:rsidR="00000000" w:rsidRPr="00DA712F" w:rsidP="007F768A">
      <w:pPr>
        <w:pStyle w:val="BodyText"/>
      </w:pPr>
      <w:r w:rsidRPr="00DA712F">
        <w:t xml:space="preserve">The underlying skills inherent in this unit should be transferable across a range of inspection, testing and troubleshooting applications (including </w:t>
      </w:r>
      <w:r w:rsidRPr="00DA712F">
        <w:t>the timely involvement of supervisor or other trades) associated with engine systems. It is essential that system test procedures take into account all safety precautions associated with gas turbine engine system operation, especially with regard to high-e</w:t>
      </w:r>
      <w:r w:rsidRPr="00DA712F">
        <w:t>nergy ignition units, and that awareness be demonstrated of dual inspection requirements associated with work on engine control systems.</w:t>
      </w:r>
    </w:p>
    <w:p w:rsidR="007F768A" w:rsidP="007F768A">
      <w:pPr>
        <w:pStyle w:val="BodyText"/>
      </w:pPr>
      <w:r w:rsidRPr="00DA712F">
        <w:t xml:space="preserve">This shall be demonstrated through application across the engine systems listed in the Assessment Conditions. </w:t>
      </w:r>
    </w:p>
    <w:p w:rsidR="00000000" w:rsidRPr="00DA712F" w:rsidP="00DA712F">
      <w:pPr>
        <w:pStyle w:val="Heading1"/>
      </w:pPr>
      <w:bookmarkStart w:id="3" w:name="O_721754"/>
      <w:bookmarkEnd w:id="3"/>
      <w:r w:rsidRPr="00DA712F">
        <w:t>Knowledge Evidence</w:t>
      </w:r>
    </w:p>
    <w:p w:rsidR="00000000" w:rsidRPr="00DA712F" w:rsidP="007F768A">
      <w:pPr>
        <w:pStyle w:val="BodyText"/>
      </w:pPr>
      <w:r w:rsidRPr="00DA712F">
        <w:t>Evidence required to demonstrate competency in this unit must be relevant to and satisfy all of the requirements of the elements and performance criteria and include knowledge of:</w:t>
      </w:r>
    </w:p>
    <w:p w:rsidR="00000000" w:rsidRPr="00DA712F" w:rsidP="00DA712F">
      <w:pPr>
        <w:pStyle w:val="ListBullet"/>
      </w:pPr>
      <w:r w:rsidRPr="00DA712F">
        <w:t>fault diagnosis techniques</w:t>
      </w:r>
    </w:p>
    <w:p w:rsidR="00000000" w:rsidRPr="00DA712F" w:rsidP="00DA712F">
      <w:pPr>
        <w:pStyle w:val="ListBullet"/>
      </w:pPr>
      <w:r w:rsidRPr="00DA712F">
        <w:t xml:space="preserve">gas turbine engine </w:t>
      </w:r>
      <w:r w:rsidRPr="00DA712F">
        <w:t>layout and operation:</w:t>
      </w:r>
    </w:p>
    <w:p w:rsidR="00000000" w:rsidRPr="00DA712F" w:rsidP="00DA712F">
      <w:pPr>
        <w:pStyle w:val="ListBullet2"/>
      </w:pPr>
      <w:r w:rsidRPr="00DA712F">
        <w:t>types of gas turbine</w:t>
      </w:r>
    </w:p>
    <w:p w:rsidR="00000000" w:rsidRPr="00DA712F" w:rsidP="00DA712F">
      <w:pPr>
        <w:pStyle w:val="ListBullet2"/>
      </w:pPr>
      <w:r w:rsidRPr="00DA712F">
        <w:t>operating principles and power output</w:t>
      </w:r>
    </w:p>
    <w:p w:rsidR="00000000" w:rsidRPr="00DA712F" w:rsidP="00DA712F">
      <w:pPr>
        <w:pStyle w:val="ListBullet2"/>
      </w:pPr>
      <w:r w:rsidRPr="00DA712F">
        <w:t>gas path</w:t>
      </w:r>
    </w:p>
    <w:p w:rsidR="00000000" w:rsidRPr="00DA712F" w:rsidP="00DA712F">
      <w:pPr>
        <w:pStyle w:val="ListBullet2"/>
      </w:pPr>
      <w:r w:rsidRPr="00DA712F">
        <w:t>intakes</w:t>
      </w:r>
    </w:p>
    <w:p w:rsidR="00000000" w:rsidRPr="00DA712F" w:rsidP="00DA712F">
      <w:pPr>
        <w:pStyle w:val="ListBullet2"/>
      </w:pPr>
      <w:r w:rsidRPr="00DA712F">
        <w:t>compressors</w:t>
      </w:r>
    </w:p>
    <w:p w:rsidR="00000000" w:rsidRPr="00DA712F" w:rsidP="00DA712F">
      <w:pPr>
        <w:pStyle w:val="ListBullet2"/>
      </w:pPr>
      <w:r w:rsidRPr="00DA712F">
        <w:t>combustion chambers</w:t>
      </w:r>
    </w:p>
    <w:p w:rsidR="00000000" w:rsidRPr="00DA712F" w:rsidP="00DA712F">
      <w:pPr>
        <w:pStyle w:val="ListBullet2"/>
      </w:pPr>
      <w:r w:rsidRPr="00DA712F">
        <w:t>turbines</w:t>
      </w:r>
    </w:p>
    <w:p w:rsidR="00000000" w:rsidRPr="00DA712F" w:rsidP="00DA712F">
      <w:pPr>
        <w:pStyle w:val="ListBullet2"/>
      </w:pPr>
      <w:r w:rsidRPr="00DA712F">
        <w:t xml:space="preserve">exhaust </w:t>
      </w:r>
    </w:p>
    <w:p w:rsidR="00000000" w:rsidRPr="00DA712F" w:rsidP="00DA712F">
      <w:pPr>
        <w:pStyle w:val="ListBullet2"/>
      </w:pPr>
      <w:r w:rsidRPr="00DA712F">
        <w:t>thrust reversers</w:t>
      </w:r>
    </w:p>
    <w:p w:rsidR="00000000" w:rsidRPr="00DA712F" w:rsidP="00DA712F">
      <w:pPr>
        <w:pStyle w:val="ListBullet2"/>
      </w:pPr>
      <w:r w:rsidRPr="00DA712F">
        <w:t>accessory drives</w:t>
      </w:r>
    </w:p>
    <w:p w:rsidR="00000000" w:rsidRPr="00DA712F" w:rsidP="00DA712F">
      <w:pPr>
        <w:pStyle w:val="ListBullet2"/>
      </w:pPr>
      <w:r w:rsidRPr="00DA712F">
        <w:t>bearings and seals</w:t>
      </w:r>
    </w:p>
    <w:p w:rsidR="00000000" w:rsidRPr="00DA712F" w:rsidP="00DA712F">
      <w:pPr>
        <w:pStyle w:val="ListBullet2"/>
      </w:pPr>
      <w:r w:rsidRPr="00DA712F">
        <w:t>m</w:t>
      </w:r>
      <w:r w:rsidRPr="00DA712F">
        <w:t>aintenance requirements and troubleshooting procedures</w:t>
      </w:r>
    </w:p>
    <w:p w:rsidR="00000000" w:rsidRPr="00DA712F" w:rsidP="00DA712F">
      <w:pPr>
        <w:pStyle w:val="ListBullet"/>
      </w:pPr>
      <w:r w:rsidRPr="00DA712F">
        <w:t>system and component operation, including electrical and instrument system interfaces:</w:t>
      </w:r>
    </w:p>
    <w:p w:rsidR="00000000" w:rsidRPr="00DA712F" w:rsidP="00DA712F">
      <w:pPr>
        <w:pStyle w:val="ListBullet2"/>
      </w:pPr>
      <w:r w:rsidRPr="00DA712F">
        <w:t>fuel control and fuels</w:t>
      </w:r>
    </w:p>
    <w:p w:rsidR="00000000" w:rsidRPr="00DA712F" w:rsidP="00DA712F">
      <w:pPr>
        <w:pStyle w:val="ListBullet2"/>
      </w:pPr>
      <w:r w:rsidRPr="00DA712F">
        <w:t>lubrication and lubricants</w:t>
      </w:r>
    </w:p>
    <w:p w:rsidR="00000000" w:rsidRPr="00DA712F" w:rsidP="00DA712F">
      <w:pPr>
        <w:pStyle w:val="ListBullet2"/>
      </w:pPr>
      <w:r w:rsidRPr="00DA712F">
        <w:t>air distribution</w:t>
      </w:r>
    </w:p>
    <w:p w:rsidR="00000000" w:rsidRPr="00DA712F" w:rsidP="00DA712F">
      <w:pPr>
        <w:pStyle w:val="ListBullet2"/>
      </w:pPr>
      <w:r w:rsidRPr="00DA712F">
        <w:t>starting</w:t>
      </w:r>
    </w:p>
    <w:p w:rsidR="00000000" w:rsidRPr="00DA712F" w:rsidP="00DA712F">
      <w:pPr>
        <w:pStyle w:val="ListBullet2"/>
      </w:pPr>
      <w:r w:rsidRPr="00DA712F">
        <w:t>ignition</w:t>
      </w:r>
    </w:p>
    <w:p w:rsidR="00000000" w:rsidRPr="00DA712F" w:rsidP="00DA712F">
      <w:pPr>
        <w:pStyle w:val="ListBullet2"/>
      </w:pPr>
      <w:r w:rsidRPr="00DA712F">
        <w:t>power augmentation</w:t>
      </w:r>
    </w:p>
    <w:p w:rsidR="00000000" w:rsidRPr="00DA712F" w:rsidP="00DA712F">
      <w:pPr>
        <w:pStyle w:val="ListBullet2"/>
      </w:pPr>
      <w:r w:rsidRPr="00DA712F">
        <w:t>instrume</w:t>
      </w:r>
      <w:r w:rsidRPr="00DA712F">
        <w:t>ntation:</w:t>
      </w:r>
    </w:p>
    <w:p w:rsidR="00000000" w:rsidRPr="00DA712F" w:rsidP="00DA712F">
      <w:pPr>
        <w:pStyle w:val="ListBullet3"/>
      </w:pPr>
      <w:r w:rsidRPr="00DA712F">
        <w:t>performance indication</w:t>
      </w:r>
    </w:p>
    <w:p w:rsidR="00000000" w:rsidRPr="00DA712F" w:rsidP="00DA712F">
      <w:pPr>
        <w:pStyle w:val="ListBullet3"/>
      </w:pPr>
      <w:r w:rsidRPr="00DA712F">
        <w:t>condition indication</w:t>
      </w:r>
    </w:p>
    <w:p w:rsidR="00000000" w:rsidRPr="00DA712F" w:rsidP="00DA712F">
      <w:pPr>
        <w:pStyle w:val="ListBullet3"/>
      </w:pPr>
      <w:r w:rsidRPr="00DA712F">
        <w:t>warning</w:t>
      </w:r>
    </w:p>
    <w:p w:rsidR="00000000" w:rsidRPr="00DA712F" w:rsidP="00DA712F">
      <w:pPr>
        <w:pStyle w:val="ListBullet3"/>
      </w:pPr>
      <w:r w:rsidRPr="00DA712F">
        <w:t>presentation and interpretation of electronic displays</w:t>
      </w:r>
    </w:p>
    <w:p w:rsidR="00000000" w:rsidRPr="00DA712F" w:rsidP="00DA712F">
      <w:pPr>
        <w:pStyle w:val="ListBullet2"/>
      </w:pPr>
      <w:r w:rsidRPr="00DA712F">
        <w:t>fire warning and extinguishing</w:t>
      </w:r>
    </w:p>
    <w:p w:rsidR="00000000" w:rsidRPr="00DA712F" w:rsidP="00DA712F">
      <w:pPr>
        <w:pStyle w:val="ListBullet2"/>
      </w:pPr>
      <w:r w:rsidRPr="00DA712F">
        <w:t>control system and rigging of engine controls</w:t>
      </w:r>
    </w:p>
    <w:p w:rsidR="00000000" w:rsidRPr="00DA712F" w:rsidP="00DA712F">
      <w:pPr>
        <w:pStyle w:val="ListBullet"/>
      </w:pPr>
      <w:r w:rsidRPr="00DA712F">
        <w:t>engine spin/run procedures including the operation of auxiliary power units (APUs)</w:t>
      </w:r>
    </w:p>
    <w:p w:rsidR="00000000" w:rsidRPr="00DA712F" w:rsidP="00DA712F">
      <w:pPr>
        <w:pStyle w:val="ListBullet"/>
      </w:pPr>
      <w:r w:rsidRPr="00DA712F">
        <w:t>engine condition monitoring</w:t>
      </w:r>
    </w:p>
    <w:p w:rsidR="00000000" w:rsidRPr="00DA712F" w:rsidP="00DA712F">
      <w:pPr>
        <w:pStyle w:val="ListBullet"/>
      </w:pPr>
      <w:r w:rsidRPr="00DA712F">
        <w:t>relevant WHS practices, including the requirements for the lifting and handling of heavy components</w:t>
      </w:r>
    </w:p>
    <w:p w:rsidR="00000000" w:rsidRPr="00DA712F" w:rsidP="00DA712F">
      <w:pPr>
        <w:pStyle w:val="ListBullet"/>
      </w:pPr>
      <w:r w:rsidRPr="00DA712F">
        <w:t>how to obtain MSDS</w:t>
      </w:r>
    </w:p>
    <w:p w:rsidR="00000000" w:rsidRPr="00DA712F" w:rsidP="00DA712F">
      <w:pPr>
        <w:pStyle w:val="ListBullet"/>
      </w:pPr>
      <w:r w:rsidRPr="00DA712F">
        <w:t>selection and use of PPE</w:t>
      </w:r>
    </w:p>
    <w:p w:rsidR="00000000" w:rsidRPr="00DA712F" w:rsidP="00DA712F">
      <w:pPr>
        <w:pStyle w:val="ListBullet"/>
      </w:pPr>
      <w:r w:rsidRPr="00DA712F">
        <w:t>relevant maintenance manuals</w:t>
      </w:r>
    </w:p>
    <w:p w:rsidR="00000000" w:rsidRPr="00DA712F" w:rsidP="00DA712F">
      <w:pPr>
        <w:pStyle w:val="ListBullet"/>
      </w:pPr>
      <w:r w:rsidRPr="00DA712F">
        <w:t>relevant regulatory requirements and standard procedures.</w:t>
      </w:r>
    </w:p>
    <w:p w:rsidR="00000000" w:rsidRPr="00DA712F" w:rsidP="00DA712F">
      <w:pPr>
        <w:pStyle w:val="AllowPageBreak"/>
      </w:pPr>
    </w:p>
    <w:p w:rsidR="00000000" w:rsidRPr="00DA712F" w:rsidP="00DA712F">
      <w:pPr>
        <w:pStyle w:val="Heading1"/>
      </w:pPr>
      <w:bookmarkStart w:id="4" w:name="O_721753"/>
      <w:bookmarkEnd w:id="4"/>
      <w:r w:rsidRPr="00DA712F">
        <w:t>Assessment Conditions</w:t>
      </w:r>
    </w:p>
    <w:p w:rsidR="00000000" w:rsidRPr="00DA712F" w:rsidP="00DA712F">
      <w:pPr>
        <w:pStyle w:val="ListBullet"/>
      </w:pPr>
      <w:r w:rsidRPr="00DA712F">
        <w:t>Competency should be assessed in the work environment or simulated work environment using tools and equipment specified in aircra</w:t>
      </w:r>
      <w:r w:rsidRPr="00DA712F">
        <w:t xml:space="preserve">ft maintenance manuals. It is also expected that applicable general-purpose tools, test and ground support equipment found in most routine situations would be used where appropriate. The level of troubleshooting is limited in its application to the use of </w:t>
      </w:r>
      <w:r w:rsidRPr="00DA712F">
        <w:t>fault diagnosis guides or other similar information.</w:t>
      </w:r>
    </w:p>
    <w:p w:rsidR="00000000" w:rsidRPr="00DA712F" w:rsidP="00DA712F">
      <w:pPr>
        <w:pStyle w:val="ListBullet"/>
      </w:pPr>
      <w:r w:rsidRPr="00DA712F">
        <w:t>The application of testing procedures and functional rigging checks should also indicate knowledge of system operation. Engine system operation knowledge, the relationship of individual components and th</w:t>
      </w:r>
      <w:r w:rsidRPr="00DA712F">
        <w:t>e links with other systems will be necessary to supplement evidence of ability to carry out rigging checks and troubleshoot the system within the limits of the aircraft/system fault-finding guide before undertaking any action. The work plan should take acc</w:t>
      </w:r>
      <w:r w:rsidRPr="00DA712F">
        <w:t>ount of applicable safety and quality requirements in accordance with the industry and regulatory standards.</w:t>
      </w:r>
    </w:p>
    <w:p w:rsidR="00000000" w:rsidRPr="00DA712F" w:rsidP="00DA712F">
      <w:pPr>
        <w:pStyle w:val="ListBullet"/>
      </w:pPr>
      <w:r w:rsidRPr="00DA712F">
        <w:t>The following conditions of assessment represent the requirements of the Regulators (ADF and CASA) and maintenance stakeholders and must be rigorou</w:t>
      </w:r>
      <w:r w:rsidRPr="00DA712F">
        <w:t>sly observed.</w:t>
      </w:r>
    </w:p>
    <w:p w:rsidR="00000000" w:rsidRPr="00DA712F" w:rsidP="00DA712F">
      <w:pPr>
        <w:pStyle w:val="ListBullet"/>
      </w:pPr>
      <w:r w:rsidRPr="00DA712F">
        <w:t xml:space="preserve">A person cannot be assessed as competent until it can be demonstrated to the satisfaction of the workplace assessor that the relevant elements and performance criteria of the unit of competency are being achieved under routine supervision on </w:t>
      </w:r>
      <w:r w:rsidRPr="00DA712F">
        <w:t>at least one (1) item from each of the following groups:</w:t>
      </w:r>
    </w:p>
    <w:p w:rsidR="00000000" w:rsidRPr="00DA712F" w:rsidP="00DA712F">
      <w:pPr>
        <w:pStyle w:val="ListBullet2"/>
      </w:pPr>
      <w:r w:rsidRPr="00DA712F">
        <w:t>engine change unit, main components and accessories/drives</w:t>
      </w:r>
    </w:p>
    <w:p w:rsidR="00000000" w:rsidRPr="00DA712F" w:rsidP="00DA712F">
      <w:pPr>
        <w:pStyle w:val="ListBullet2"/>
      </w:pPr>
      <w:r w:rsidRPr="00DA712F">
        <w:t>control system</w:t>
      </w:r>
    </w:p>
    <w:p w:rsidR="00000000" w:rsidRPr="00DA712F" w:rsidP="00DA712F">
      <w:pPr>
        <w:pStyle w:val="ListBullet2"/>
      </w:pPr>
      <w:r w:rsidRPr="00DA712F">
        <w:t>ignition and starter systems</w:t>
      </w:r>
    </w:p>
    <w:p w:rsidR="00000000" w:rsidRPr="00DA712F" w:rsidP="00DA712F">
      <w:pPr>
        <w:pStyle w:val="ListBullet2"/>
      </w:pPr>
      <w:r w:rsidRPr="00DA712F">
        <w:t>fuel system</w:t>
      </w:r>
    </w:p>
    <w:p w:rsidR="00000000" w:rsidRPr="00DA712F" w:rsidP="00DA712F">
      <w:pPr>
        <w:pStyle w:val="ListBullet2"/>
      </w:pPr>
      <w:r w:rsidRPr="00DA712F">
        <w:t>oil system</w:t>
      </w:r>
    </w:p>
    <w:p w:rsidR="00000000" w:rsidRPr="00DA712F" w:rsidP="00DA712F">
      <w:pPr>
        <w:pStyle w:val="ListBullet2"/>
      </w:pPr>
      <w:r w:rsidRPr="00DA712F">
        <w:t xml:space="preserve">air system </w:t>
      </w:r>
    </w:p>
    <w:p w:rsidR="00000000" w:rsidRPr="00DA712F" w:rsidP="00DA712F">
      <w:pPr>
        <w:pStyle w:val="ListBullet"/>
      </w:pPr>
      <w:r w:rsidRPr="00DA712F">
        <w:t>This shall be established via the records in the Log of Industrial Experience and Achievement or, where appropriate, an equivalent Industry Evidence Guide (for details refer to the Companion Volume Assessment Guidelines).</w:t>
      </w:r>
    </w:p>
    <w:p w:rsidR="00000000" w:rsidRPr="00DA712F" w:rsidP="00DA712F">
      <w:pPr>
        <w:pStyle w:val="ListBullet"/>
      </w:pPr>
      <w:r w:rsidRPr="00DA712F">
        <w:t>Assessors must satisfy the require</w:t>
      </w:r>
      <w:r w:rsidRPr="00DA712F">
        <w:t>ments of the National Vocational Education and Training Regulator (Australian Skills Quality Authority, or its successors).</w:t>
      </w:r>
    </w:p>
    <w:p w:rsidR="00000000" w:rsidRPr="00DA712F" w:rsidP="00DA712F">
      <w:pPr>
        <w:pStyle w:val="ListBullet"/>
      </w:pPr>
      <w:r w:rsidRPr="00DA712F">
        <w:t>Where the unit is to be used for CASA licensing purposes the Assessor must also meet the criteria specified in the CASR Part 147 Man</w:t>
      </w:r>
      <w:r w:rsidRPr="00DA712F">
        <w:t>ual of Standards.</w:t>
      </w:r>
    </w:p>
    <w:p w:rsidR="00000000" w:rsidRPr="00DA712F" w:rsidP="00DA712F">
      <w:pPr>
        <w:pStyle w:val="ListBullet"/>
      </w:pPr>
      <w:r w:rsidRPr="00DA712F">
        <w:t>Individuals being assessed who have already attained MEA314 Inspect, test and troubleshoot gas turbine engine systems and components, will have fully met the criteria for this unit. The Log of Industrial Experience and Achievement records</w:t>
      </w:r>
      <w:r w:rsidRPr="00DA712F">
        <w:t xml:space="preserve"> relating to MEA314 Inspect, test and troubleshoot gas turbine engine systems and components may be accepted as also meeting the evidence requirements for this unit.</w:t>
      </w:r>
    </w:p>
    <w:p w:rsidR="00000000" w:rsidRPr="00DA712F" w:rsidP="00DA712F">
      <w:pPr>
        <w:pStyle w:val="AllowPageBreak"/>
      </w:pPr>
    </w:p>
    <w:p w:rsidR="00000000" w:rsidRPr="00DA712F" w:rsidP="00DA712F">
      <w:pPr>
        <w:pStyle w:val="Heading1"/>
      </w:pPr>
      <w:bookmarkStart w:id="5" w:name="O_721751"/>
      <w:bookmarkEnd w:id="5"/>
      <w:r w:rsidRPr="00DA712F">
        <w:t>Links</w:t>
      </w:r>
    </w:p>
    <w:p w:rsidR="00000000" w:rsidRPr="00DA712F" w:rsidP="007F768A">
      <w:pPr>
        <w:pStyle w:val="BodyText"/>
      </w:pPr>
      <w:r w:rsidRPr="00DA712F">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912787">
        <w:rPr>
          <w:rStyle w:val="Hyperlink"/>
        </w:rPr>
        <w:t>https://vetnet.gov.au/Pages/TrainingDocs.aspx?q=ce216c9c-04d5-4b3b-9bcf-4e81d0950371</w:t>
      </w:r>
      <w:r>
        <w:fldChar w:fldCharType="end"/>
      </w:r>
    </w:p>
    <w:p w:rsidR="00000000" w:rsidRPr="00DA712F" w:rsidP="00DA712F"/>
    <w:sectPr w:rsidSect="00DA712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1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12F" w:rsidRPr="007F768A" w:rsidP="007F76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1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68A" w:rsidP="00DA71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F768A" w:rsidP="00DA712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F768A" w:rsidP="00DA71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1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6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712F" w:rsidRPr="007F768A" w:rsidP="007F76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1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68A" w:rsidRPr="002D2AF8" w:rsidP="00DA712F">
    <w:pPr>
      <w:pStyle w:val="Header"/>
      <w:framePr w:wrap="around"/>
    </w:pPr>
    <w:r>
      <w:fldChar w:fldCharType="begin"/>
    </w:r>
    <w:r>
      <w:instrText xml:space="preserve"> TITLE   \* MERGEFORMAT </w:instrText>
    </w:r>
    <w:r>
      <w:fldChar w:fldCharType="separate"/>
    </w:r>
    <w:r>
      <w:t>Assessment Requirements for MEA322 Test and troubleshoot gas turbine engine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7F768A" w:rsidP="00DA71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CC33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1089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4298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71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712F"/>
    <w:pPr>
      <w:spacing w:before="360" w:after="60"/>
      <w:outlineLvl w:val="0"/>
    </w:pPr>
    <w:rPr>
      <w:sz w:val="32"/>
    </w:rPr>
  </w:style>
  <w:style w:type="paragraph" w:styleId="Heading2">
    <w:name w:val="heading 2"/>
    <w:basedOn w:val="HeadingBase"/>
    <w:next w:val="BodyText"/>
    <w:link w:val="Heading2Char"/>
    <w:qFormat/>
    <w:rsid w:val="00DA712F"/>
    <w:pPr>
      <w:keepLines/>
      <w:spacing w:before="240" w:after="120"/>
      <w:outlineLvl w:val="1"/>
    </w:pPr>
    <w:rPr>
      <w:sz w:val="28"/>
      <w:szCs w:val="40"/>
    </w:rPr>
  </w:style>
  <w:style w:type="paragraph" w:styleId="Heading3">
    <w:name w:val="heading 3"/>
    <w:basedOn w:val="HeadingBase"/>
    <w:next w:val="BodyText"/>
    <w:link w:val="Heading3Char"/>
    <w:qFormat/>
    <w:rsid w:val="00DA712F"/>
    <w:pPr>
      <w:spacing w:before="180" w:after="120"/>
      <w:outlineLvl w:val="2"/>
    </w:pPr>
    <w:rPr>
      <w:spacing w:val="-10"/>
      <w:kern w:val="32"/>
    </w:rPr>
  </w:style>
  <w:style w:type="paragraph" w:styleId="Heading4">
    <w:name w:val="heading 4"/>
    <w:basedOn w:val="HeadingBase"/>
    <w:next w:val="BodyText"/>
    <w:link w:val="Heading4Char"/>
    <w:qFormat/>
    <w:rsid w:val="00DA712F"/>
    <w:pPr>
      <w:spacing w:before="160" w:after="120"/>
      <w:outlineLvl w:val="3"/>
    </w:pPr>
    <w:rPr>
      <w:sz w:val="22"/>
    </w:rPr>
  </w:style>
  <w:style w:type="paragraph" w:styleId="Heading5">
    <w:name w:val="heading 5"/>
    <w:basedOn w:val="HeadingBase"/>
    <w:next w:val="Normal"/>
    <w:link w:val="Heading5Char"/>
    <w:qFormat/>
    <w:rsid w:val="00DA712F"/>
    <w:pPr>
      <w:spacing w:before="80"/>
      <w:outlineLvl w:val="4"/>
    </w:pPr>
    <w:rPr>
      <w:color w:val="918585"/>
      <w:sz w:val="20"/>
    </w:rPr>
  </w:style>
  <w:style w:type="paragraph" w:styleId="Heading6">
    <w:name w:val="heading 6"/>
    <w:basedOn w:val="HeadingBase"/>
    <w:next w:val="Normal"/>
    <w:link w:val="Heading6Char"/>
    <w:qFormat/>
    <w:rsid w:val="00DA712F"/>
    <w:pPr>
      <w:spacing w:before="60"/>
      <w:outlineLvl w:val="5"/>
    </w:pPr>
    <w:rPr>
      <w:color w:val="918585"/>
      <w:sz w:val="20"/>
    </w:rPr>
  </w:style>
  <w:style w:type="paragraph" w:styleId="Heading7">
    <w:name w:val="heading 7"/>
    <w:basedOn w:val="Normal"/>
    <w:next w:val="Normal"/>
    <w:link w:val="Heading7Char"/>
    <w:qFormat/>
    <w:rsid w:val="00DA712F"/>
    <w:pPr>
      <w:ind w:left="720"/>
      <w:outlineLvl w:val="6"/>
    </w:pPr>
    <w:rPr>
      <w:i/>
    </w:rPr>
  </w:style>
  <w:style w:type="paragraph" w:styleId="Heading8">
    <w:name w:val="heading 8"/>
    <w:basedOn w:val="Normal"/>
    <w:next w:val="Normal"/>
    <w:link w:val="Heading8Char"/>
    <w:qFormat/>
    <w:rsid w:val="00DA712F"/>
    <w:pPr>
      <w:ind w:left="720"/>
      <w:outlineLvl w:val="7"/>
    </w:pPr>
    <w:rPr>
      <w:i/>
    </w:rPr>
  </w:style>
  <w:style w:type="paragraph" w:styleId="Heading9">
    <w:name w:val="heading 9"/>
    <w:basedOn w:val="Normal"/>
    <w:next w:val="Normal"/>
    <w:link w:val="Heading9Char"/>
    <w:qFormat/>
    <w:rsid w:val="00DA712F"/>
    <w:pPr>
      <w:ind w:left="720"/>
      <w:outlineLvl w:val="8"/>
    </w:pPr>
    <w:rPr>
      <w:i/>
    </w:rPr>
  </w:style>
  <w:style w:type="character" w:default="1" w:styleId="DefaultParagraphFont">
    <w:name w:val="Default Paragraph Font"/>
    <w:uiPriority w:val="1"/>
    <w:unhideWhenUsed/>
    <w:rsid w:val="00DA71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712F"/>
  </w:style>
  <w:style w:type="character" w:customStyle="1" w:styleId="Heading1Char">
    <w:name w:val="Heading 1 Char"/>
    <w:basedOn w:val="DefaultParagraphFont"/>
    <w:link w:val="Heading1"/>
    <w:rsid w:val="00DA712F"/>
    <w:rPr>
      <w:rFonts w:ascii="Times New Roman" w:eastAsia="Times New Roman" w:hAnsi="Times New Roman" w:cs="Times New Roman"/>
      <w:b/>
      <w:sz w:val="32"/>
      <w:szCs w:val="20"/>
      <w:lang w:eastAsia="en-US"/>
    </w:rPr>
  </w:style>
  <w:style w:type="paragraph" w:styleId="BodyText">
    <w:name w:val="Body Text"/>
    <w:basedOn w:val="Normal"/>
    <w:link w:val="BodyTextChar"/>
    <w:rsid w:val="00DA71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712F"/>
    <w:rPr>
      <w:rFonts w:ascii="Times New Roman" w:eastAsia="Times New Roman" w:hAnsi="Times New Roman" w:cs="Times New Roman"/>
      <w:sz w:val="24"/>
      <w:lang w:eastAsia="en-US"/>
    </w:rPr>
  </w:style>
  <w:style w:type="paragraph" w:styleId="ListBullet">
    <w:name w:val="List Bullet"/>
    <w:basedOn w:val="List"/>
    <w:rsid w:val="00DA712F"/>
    <w:pPr>
      <w:numPr>
        <w:numId w:val="13"/>
      </w:numPr>
      <w:tabs>
        <w:tab w:val="clear" w:pos="340"/>
      </w:tabs>
      <w:spacing w:before="40" w:after="40"/>
    </w:pPr>
  </w:style>
  <w:style w:type="paragraph" w:styleId="ListBullet2">
    <w:name w:val="List Bullet 2"/>
    <w:basedOn w:val="List2"/>
    <w:rsid w:val="00DA712F"/>
    <w:pPr>
      <w:numPr>
        <w:numId w:val="14"/>
      </w:numPr>
      <w:tabs>
        <w:tab w:val="clear" w:pos="680"/>
      </w:tabs>
    </w:pPr>
  </w:style>
  <w:style w:type="paragraph" w:customStyle="1" w:styleId="SuperHeading">
    <w:name w:val="SuperHeading"/>
    <w:basedOn w:val="Normal"/>
    <w:rsid w:val="00DA712F"/>
    <w:pPr>
      <w:spacing w:before="240" w:after="120"/>
      <w:outlineLvl w:val="0"/>
    </w:pPr>
    <w:rPr>
      <w:rFonts w:ascii="Times New Roman" w:hAnsi="Times New Roman"/>
      <w:b/>
      <w:sz w:val="32"/>
    </w:rPr>
  </w:style>
  <w:style w:type="paragraph" w:customStyle="1" w:styleId="AllowPageBreak">
    <w:name w:val="AllowPageBreak"/>
    <w:rsid w:val="00DA712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A712F"/>
    <w:pPr>
      <w:numPr>
        <w:numId w:val="3"/>
      </w:numPr>
      <w:tabs>
        <w:tab w:val="clear" w:pos="1021"/>
      </w:tabs>
      <w:ind w:left="1037" w:hanging="357"/>
    </w:pPr>
  </w:style>
  <w:style w:type="character" w:customStyle="1" w:styleId="Heading2Char">
    <w:name w:val="Heading 2 Char"/>
    <w:basedOn w:val="DefaultParagraphFont"/>
    <w:link w:val="Heading2"/>
    <w:rsid w:val="00DA71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71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71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71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71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71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71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712F"/>
    <w:rPr>
      <w:rFonts w:ascii="Courier New" w:eastAsia="Times New Roman" w:hAnsi="Courier New" w:cs="Times New Roman"/>
      <w:i/>
      <w:szCs w:val="20"/>
      <w:lang w:eastAsia="en-US"/>
    </w:rPr>
  </w:style>
  <w:style w:type="paragraph" w:customStyle="1" w:styleId="HeadingBase">
    <w:name w:val="Heading Base"/>
    <w:rsid w:val="00DA71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712F"/>
    <w:pPr>
      <w:tabs>
        <w:tab w:val="right" w:leader="dot" w:pos="9072"/>
      </w:tabs>
      <w:ind w:left="567"/>
    </w:pPr>
    <w:rPr>
      <w:szCs w:val="22"/>
    </w:rPr>
  </w:style>
  <w:style w:type="paragraph" w:customStyle="1" w:styleId="TOCBase">
    <w:name w:val="TOC Base"/>
    <w:rsid w:val="00DA71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712F"/>
    <w:pPr>
      <w:tabs>
        <w:tab w:val="right" w:leader="dot" w:pos="9072"/>
      </w:tabs>
      <w:spacing w:before="40" w:after="40"/>
      <w:ind w:left="284"/>
    </w:pPr>
    <w:rPr>
      <w:rFonts w:ascii="Times New Roman" w:hAnsi="Times New Roman"/>
    </w:rPr>
  </w:style>
  <w:style w:type="paragraph" w:styleId="TOC1">
    <w:name w:val="toc 1"/>
    <w:basedOn w:val="TOCBase"/>
    <w:next w:val="Normal"/>
    <w:rsid w:val="00DA71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71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712F"/>
    <w:rPr>
      <w:rFonts w:ascii="Times New Roman" w:eastAsia="Times New Roman" w:hAnsi="Times New Roman" w:cs="Times New Roman"/>
      <w:sz w:val="16"/>
      <w:lang w:eastAsia="en-US"/>
    </w:rPr>
  </w:style>
  <w:style w:type="paragraph" w:styleId="Title">
    <w:name w:val="Title"/>
    <w:basedOn w:val="HeadingBase"/>
    <w:link w:val="TitleChar"/>
    <w:qFormat/>
    <w:rsid w:val="00DA712F"/>
    <w:pPr>
      <w:spacing w:before="5040"/>
      <w:jc w:val="center"/>
    </w:pPr>
    <w:rPr>
      <w:sz w:val="48"/>
      <w:szCs w:val="72"/>
      <w:lang w:val="en-US"/>
    </w:rPr>
  </w:style>
  <w:style w:type="character" w:customStyle="1" w:styleId="TitleChar">
    <w:name w:val="Title Char"/>
    <w:basedOn w:val="DefaultParagraphFont"/>
    <w:link w:val="Title"/>
    <w:rsid w:val="00DA71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712F"/>
    <w:pPr>
      <w:tabs>
        <w:tab w:val="left" w:pos="3600"/>
        <w:tab w:val="left" w:pos="3958"/>
      </w:tabs>
    </w:pPr>
  </w:style>
  <w:style w:type="paragraph" w:styleId="List">
    <w:name w:val="List"/>
    <w:basedOn w:val="BodyText"/>
    <w:next w:val="BodyText"/>
    <w:rsid w:val="00DA712F"/>
    <w:pPr>
      <w:tabs>
        <w:tab w:val="left" w:pos="340"/>
      </w:tabs>
      <w:spacing w:before="60" w:after="60"/>
      <w:ind w:left="340" w:hanging="340"/>
    </w:pPr>
  </w:style>
  <w:style w:type="paragraph" w:customStyle="1" w:styleId="Note">
    <w:name w:val="Note"/>
    <w:basedOn w:val="BodyText"/>
    <w:rsid w:val="00DA712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A712F"/>
    <w:rPr>
      <w:b/>
      <w:spacing w:val="0"/>
    </w:rPr>
  </w:style>
  <w:style w:type="paragraph" w:customStyle="1" w:styleId="SuperTitle">
    <w:name w:val="SuperTitle"/>
    <w:basedOn w:val="Title"/>
    <w:rsid w:val="00DA712F"/>
    <w:pPr>
      <w:framePr w:wrap="auto" w:hAnchor="text" w:y="6049"/>
    </w:pPr>
    <w:rPr>
      <w:color w:val="000000"/>
      <w:sz w:val="40"/>
    </w:rPr>
  </w:style>
  <w:style w:type="paragraph" w:customStyle="1" w:styleId="TOCTitle">
    <w:name w:val="TOCTitle"/>
    <w:basedOn w:val="Heading1"/>
    <w:rsid w:val="00DA712F"/>
    <w:pPr>
      <w:spacing w:after="240"/>
      <w:jc w:val="center"/>
      <w:outlineLvl w:val="9"/>
    </w:pPr>
    <w:rPr>
      <w:caps/>
    </w:rPr>
  </w:style>
  <w:style w:type="paragraph" w:customStyle="1" w:styleId="Version">
    <w:name w:val="Version"/>
    <w:rsid w:val="00DA71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712F"/>
    <w:pPr>
      <w:keepNext w:val="0"/>
      <w:tabs>
        <w:tab w:val="right" w:pos="4176"/>
      </w:tabs>
      <w:ind w:left="198" w:hanging="198"/>
    </w:pPr>
    <w:rPr>
      <w:rFonts w:ascii="Garamond" w:hAnsi="Garamond"/>
    </w:rPr>
  </w:style>
  <w:style w:type="paragraph" w:styleId="IndexHeading">
    <w:name w:val="index heading"/>
    <w:basedOn w:val="Normal"/>
    <w:next w:val="Index1"/>
    <w:semiHidden/>
    <w:rsid w:val="00DA712F"/>
    <w:pPr>
      <w:spacing w:before="120" w:after="120"/>
    </w:pPr>
    <w:rPr>
      <w:rFonts w:ascii="Arial" w:hAnsi="Arial"/>
      <w:b/>
      <w:color w:val="918585"/>
      <w:sz w:val="24"/>
    </w:rPr>
  </w:style>
  <w:style w:type="paragraph" w:styleId="Header">
    <w:name w:val="header"/>
    <w:basedOn w:val="Normal"/>
    <w:link w:val="HeaderChar"/>
    <w:rsid w:val="00DA71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712F"/>
    <w:rPr>
      <w:rFonts w:ascii="Times New Roman" w:eastAsia="Times New Roman" w:hAnsi="Times New Roman" w:cs="Times New Roman"/>
      <w:sz w:val="16"/>
      <w:szCs w:val="20"/>
      <w:lang w:val="en-GB" w:eastAsia="en-US"/>
    </w:rPr>
  </w:style>
  <w:style w:type="paragraph" w:customStyle="1" w:styleId="Chapter">
    <w:name w:val="Chapter"/>
    <w:basedOn w:val="Normal"/>
    <w:rsid w:val="00DA712F"/>
    <w:pPr>
      <w:spacing w:before="240"/>
    </w:pPr>
    <w:rPr>
      <w:rFonts w:ascii="Times New Roman" w:hAnsi="Times New Roman"/>
      <w:smallCaps/>
      <w:spacing w:val="80"/>
      <w:sz w:val="28"/>
    </w:rPr>
  </w:style>
  <w:style w:type="paragraph" w:customStyle="1" w:styleId="InChapter">
    <w:name w:val="InChapter"/>
    <w:basedOn w:val="Heading3"/>
    <w:rsid w:val="00DA712F"/>
    <w:pPr>
      <w:spacing w:after="240"/>
      <w:outlineLvl w:val="9"/>
    </w:pPr>
    <w:rPr>
      <w:noProof/>
    </w:rPr>
  </w:style>
  <w:style w:type="paragraph" w:styleId="Index2">
    <w:name w:val="index 2"/>
    <w:basedOn w:val="Normal"/>
    <w:next w:val="Normal"/>
    <w:semiHidden/>
    <w:rsid w:val="00DA712F"/>
    <w:pPr>
      <w:tabs>
        <w:tab w:val="right" w:pos="4176"/>
      </w:tabs>
      <w:ind w:left="568" w:hanging="284"/>
    </w:pPr>
    <w:rPr>
      <w:rFonts w:ascii="Garamond" w:hAnsi="Garamond"/>
    </w:rPr>
  </w:style>
  <w:style w:type="paragraph" w:customStyle="1" w:styleId="Byline">
    <w:name w:val="Byline"/>
    <w:rsid w:val="00DA71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712F"/>
    <w:pPr>
      <w:tabs>
        <w:tab w:val="clear" w:pos="3600"/>
        <w:tab w:val="clear" w:pos="3958"/>
      </w:tabs>
      <w:jc w:val="right"/>
    </w:pPr>
  </w:style>
  <w:style w:type="character" w:styleId="Emphasis">
    <w:name w:val="Emphasis"/>
    <w:basedOn w:val="DefaultParagraphFont"/>
    <w:qFormat/>
    <w:rsid w:val="00DA712F"/>
    <w:rPr>
      <w:i/>
    </w:rPr>
  </w:style>
  <w:style w:type="paragraph" w:styleId="Caption">
    <w:name w:val="caption"/>
    <w:basedOn w:val="BodyText"/>
    <w:next w:val="Normal"/>
    <w:qFormat/>
    <w:rsid w:val="00DA712F"/>
    <w:pPr>
      <w:framePr w:w="2268" w:hSpace="181" w:vSpace="181" w:wrap="around" w:vAnchor="text" w:hAnchor="page" w:x="1135" w:y="285" w:anchorLock="1"/>
    </w:pPr>
    <w:rPr>
      <w:i/>
    </w:rPr>
  </w:style>
  <w:style w:type="paragraph" w:customStyle="1" w:styleId="MiniTOCTitle">
    <w:name w:val="MiniTOCTitle"/>
    <w:basedOn w:val="Heading4"/>
    <w:rsid w:val="00DA712F"/>
    <w:pPr>
      <w:spacing w:before="240"/>
      <w:outlineLvl w:val="9"/>
    </w:pPr>
    <w:rPr>
      <w:noProof/>
      <w:sz w:val="24"/>
    </w:rPr>
  </w:style>
  <w:style w:type="paragraph" w:customStyle="1" w:styleId="MiniTOCItem">
    <w:name w:val="MiniTOCItem"/>
    <w:basedOn w:val="ListBullet"/>
    <w:rsid w:val="00DA712F"/>
    <w:pPr>
      <w:numPr>
        <w:numId w:val="0"/>
      </w:numPr>
      <w:tabs>
        <w:tab w:val="right" w:leader="dot" w:pos="6521"/>
      </w:tabs>
      <w:spacing w:before="0" w:after="0"/>
    </w:pPr>
  </w:style>
  <w:style w:type="paragraph" w:customStyle="1" w:styleId="TOFTitle">
    <w:name w:val="TOFTitle"/>
    <w:basedOn w:val="TOCTitle"/>
    <w:rsid w:val="00DA712F"/>
  </w:style>
  <w:style w:type="paragraph" w:styleId="TableofFigures">
    <w:name w:val="table of figures"/>
    <w:basedOn w:val="Normal"/>
    <w:next w:val="Normal"/>
    <w:semiHidden/>
    <w:rsid w:val="00DA712F"/>
    <w:pPr>
      <w:tabs>
        <w:tab w:val="right" w:leader="dot" w:pos="9072"/>
      </w:tabs>
      <w:ind w:left="970" w:hanging="403"/>
    </w:pPr>
    <w:rPr>
      <w:rFonts w:ascii="Times New Roman" w:hAnsi="Times New Roman"/>
      <w:b/>
    </w:rPr>
  </w:style>
  <w:style w:type="paragraph" w:styleId="ListNumber">
    <w:name w:val="List Number"/>
    <w:basedOn w:val="List"/>
    <w:rsid w:val="00DA712F"/>
    <w:pPr>
      <w:numPr>
        <w:numId w:val="16"/>
      </w:numPr>
      <w:tabs>
        <w:tab w:val="clear" w:pos="340"/>
      </w:tabs>
    </w:pPr>
  </w:style>
  <w:style w:type="character" w:customStyle="1" w:styleId="WingdingSymbols">
    <w:name w:val="Wingding Symbols"/>
    <w:rsid w:val="00DA712F"/>
    <w:rPr>
      <w:rFonts w:ascii="Wingdings" w:hAnsi="Wingdings"/>
    </w:rPr>
  </w:style>
  <w:style w:type="paragraph" w:customStyle="1" w:styleId="TableHeading">
    <w:name w:val="Table Heading"/>
    <w:basedOn w:val="HeadingBase"/>
    <w:rsid w:val="00DA712F"/>
    <w:pPr>
      <w:keepLines/>
      <w:pBdr>
        <w:bottom w:val="single" w:sz="6" w:space="1" w:color="918585"/>
      </w:pBdr>
      <w:spacing w:before="240"/>
    </w:pPr>
  </w:style>
  <w:style w:type="character" w:customStyle="1" w:styleId="HotSpot">
    <w:name w:val="HotSpot"/>
    <w:rsid w:val="00DA712F"/>
    <w:rPr>
      <w:color w:val="0033CC"/>
      <w:u w:val="none"/>
    </w:rPr>
  </w:style>
  <w:style w:type="paragraph" w:customStyle="1" w:styleId="BodyTextRight">
    <w:name w:val="Body Text Right"/>
    <w:basedOn w:val="BodyText"/>
    <w:rsid w:val="00DA712F"/>
    <w:pPr>
      <w:spacing w:before="0" w:after="0"/>
      <w:jc w:val="right"/>
    </w:pPr>
  </w:style>
  <w:style w:type="paragraph" w:styleId="Index3">
    <w:name w:val="index 3"/>
    <w:basedOn w:val="ListNumber2"/>
    <w:next w:val="Normal"/>
    <w:semiHidden/>
    <w:rsid w:val="00DA712F"/>
    <w:pPr>
      <w:numPr>
        <w:numId w:val="0"/>
      </w:numPr>
      <w:tabs>
        <w:tab w:val="right" w:leader="dot" w:pos="4176"/>
      </w:tabs>
    </w:pPr>
  </w:style>
  <w:style w:type="paragraph" w:styleId="ListNumber2">
    <w:name w:val="List Number 2"/>
    <w:basedOn w:val="List2"/>
    <w:rsid w:val="00DA712F"/>
    <w:pPr>
      <w:numPr>
        <w:numId w:val="11"/>
      </w:numPr>
      <w:tabs>
        <w:tab w:val="clear" w:pos="1060"/>
      </w:tabs>
    </w:pPr>
  </w:style>
  <w:style w:type="paragraph" w:customStyle="1" w:styleId="MarginNote">
    <w:name w:val="Margin Note"/>
    <w:basedOn w:val="BodyText"/>
    <w:rsid w:val="00DA71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71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71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712F"/>
    <w:rPr>
      <w:sz w:val="32"/>
    </w:rPr>
  </w:style>
  <w:style w:type="paragraph" w:customStyle="1" w:styleId="HeadingProcedure">
    <w:name w:val="Heading Procedure"/>
    <w:basedOn w:val="HeadingBase"/>
    <w:next w:val="Normal"/>
    <w:rsid w:val="00DA712F"/>
    <w:pPr>
      <w:tabs>
        <w:tab w:val="left" w:pos="0"/>
      </w:tabs>
      <w:spacing w:before="120" w:after="60"/>
    </w:pPr>
    <w:rPr>
      <w:i/>
      <w:color w:val="918585"/>
      <w:sz w:val="22"/>
    </w:rPr>
  </w:style>
  <w:style w:type="paragraph" w:customStyle="1" w:styleId="TableBodyText">
    <w:name w:val="Table Body Text"/>
    <w:basedOn w:val="BodyText"/>
    <w:rsid w:val="00DA712F"/>
    <w:pPr>
      <w:spacing w:before="60" w:after="60"/>
    </w:pPr>
  </w:style>
  <w:style w:type="paragraph" w:styleId="ListContinue">
    <w:name w:val="List Continue"/>
    <w:basedOn w:val="List"/>
    <w:rsid w:val="00DA712F"/>
    <w:pPr>
      <w:ind w:firstLine="0"/>
    </w:pPr>
  </w:style>
  <w:style w:type="paragraph" w:customStyle="1" w:styleId="ListNote">
    <w:name w:val="List Note"/>
    <w:basedOn w:val="List"/>
    <w:rsid w:val="00DA712F"/>
    <w:pPr>
      <w:pBdr>
        <w:top w:val="single" w:sz="6" w:space="2" w:color="918585"/>
        <w:bottom w:val="single" w:sz="6" w:space="2" w:color="918585"/>
      </w:pBdr>
      <w:tabs>
        <w:tab w:val="left" w:pos="1021"/>
      </w:tabs>
      <w:ind w:firstLine="0"/>
    </w:pPr>
  </w:style>
  <w:style w:type="paragraph" w:customStyle="1" w:styleId="Warning">
    <w:name w:val="Warning"/>
    <w:basedOn w:val="BodyText"/>
    <w:rsid w:val="00DA712F"/>
    <w:pPr>
      <w:shd w:val="clear" w:color="auto" w:fill="D9D9D9"/>
      <w:tabs>
        <w:tab w:val="left" w:pos="992"/>
      </w:tabs>
      <w:ind w:left="119" w:right="119"/>
    </w:pPr>
    <w:rPr>
      <w:sz w:val="20"/>
    </w:rPr>
  </w:style>
  <w:style w:type="paragraph" w:customStyle="1" w:styleId="MarginIcons">
    <w:name w:val="Margin Icons"/>
    <w:basedOn w:val="BodyText"/>
    <w:rsid w:val="00DA71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712F"/>
    <w:rPr>
      <w:rFonts w:ascii="Courier New" w:hAnsi="Courier New"/>
    </w:rPr>
  </w:style>
  <w:style w:type="paragraph" w:customStyle="1" w:styleId="NoteBullet">
    <w:name w:val="Note Bullet"/>
    <w:basedOn w:val="Note"/>
    <w:rsid w:val="00DA712F"/>
    <w:pPr>
      <w:tabs>
        <w:tab w:val="clear" w:pos="680"/>
      </w:tabs>
      <w:spacing w:before="60" w:after="60"/>
    </w:pPr>
  </w:style>
  <w:style w:type="paragraph" w:customStyle="1" w:styleId="SubHeading2">
    <w:name w:val="SubHeading2"/>
    <w:basedOn w:val="HeadingBase"/>
    <w:rsid w:val="00DA712F"/>
    <w:pPr>
      <w:spacing w:before="240" w:after="60"/>
    </w:pPr>
    <w:rPr>
      <w:sz w:val="20"/>
    </w:rPr>
  </w:style>
  <w:style w:type="paragraph" w:customStyle="1" w:styleId="SubHeading1">
    <w:name w:val="SubHeading1"/>
    <w:basedOn w:val="HeadingBase"/>
    <w:rsid w:val="00DA712F"/>
    <w:pPr>
      <w:spacing w:before="240" w:after="60"/>
    </w:pPr>
    <w:rPr>
      <w:color w:val="918585"/>
      <w:sz w:val="22"/>
    </w:rPr>
  </w:style>
  <w:style w:type="paragraph" w:customStyle="1" w:styleId="SideHeading">
    <w:name w:val="Side Heading"/>
    <w:basedOn w:val="HeadingBase"/>
    <w:rsid w:val="00DA71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712F"/>
    <w:pPr>
      <w:numPr>
        <w:numId w:val="12"/>
      </w:numPr>
    </w:pPr>
  </w:style>
  <w:style w:type="paragraph" w:styleId="PlainText">
    <w:name w:val="Plain Text"/>
    <w:basedOn w:val="Normal"/>
    <w:link w:val="PlainTextChar"/>
    <w:rsid w:val="00DA712F"/>
    <w:rPr>
      <w:sz w:val="20"/>
    </w:rPr>
  </w:style>
  <w:style w:type="character" w:customStyle="1" w:styleId="PlainTextChar">
    <w:name w:val="Plain Text Char"/>
    <w:basedOn w:val="DefaultParagraphFont"/>
    <w:link w:val="PlainText"/>
    <w:rsid w:val="00DA712F"/>
    <w:rPr>
      <w:rFonts w:ascii="Courier New" w:eastAsia="Times New Roman" w:hAnsi="Courier New" w:cs="Times New Roman"/>
      <w:sz w:val="20"/>
      <w:szCs w:val="20"/>
      <w:lang w:eastAsia="en-US"/>
    </w:rPr>
  </w:style>
  <w:style w:type="character" w:customStyle="1" w:styleId="MenuOption">
    <w:name w:val="Menu Option"/>
    <w:basedOn w:val="DefaultParagraphFont"/>
    <w:rsid w:val="00DA712F"/>
    <w:rPr>
      <w:b/>
      <w:smallCaps/>
    </w:rPr>
  </w:style>
  <w:style w:type="paragraph" w:customStyle="1" w:styleId="TableListNumber">
    <w:name w:val="Table List Number"/>
    <w:basedOn w:val="ListNumber"/>
    <w:rsid w:val="00DA712F"/>
    <w:pPr>
      <w:numPr>
        <w:numId w:val="0"/>
      </w:numPr>
    </w:pPr>
  </w:style>
  <w:style w:type="paragraph" w:styleId="TOC4">
    <w:name w:val="toc 4"/>
    <w:basedOn w:val="TOCBase"/>
    <w:next w:val="Normal"/>
    <w:semiHidden/>
    <w:rsid w:val="00DA712F"/>
    <w:pPr>
      <w:tabs>
        <w:tab w:val="right" w:leader="dot" w:pos="9071"/>
      </w:tabs>
      <w:ind w:left="1701"/>
    </w:pPr>
  </w:style>
  <w:style w:type="paragraph" w:customStyle="1" w:styleId="ListAlpha">
    <w:name w:val="List Alpha"/>
    <w:basedOn w:val="List"/>
    <w:rsid w:val="00DA712F"/>
    <w:pPr>
      <w:numPr>
        <w:numId w:val="10"/>
      </w:numPr>
    </w:pPr>
  </w:style>
  <w:style w:type="paragraph" w:customStyle="1" w:styleId="ListAlpha2">
    <w:name w:val="List Alpha 2"/>
    <w:basedOn w:val="List2"/>
    <w:rsid w:val="00DA712F"/>
    <w:pPr>
      <w:numPr>
        <w:numId w:val="9"/>
      </w:numPr>
    </w:pPr>
  </w:style>
  <w:style w:type="paragraph" w:styleId="List2">
    <w:name w:val="List 2"/>
    <w:basedOn w:val="BodyText"/>
    <w:rsid w:val="00DA712F"/>
    <w:pPr>
      <w:tabs>
        <w:tab w:val="left" w:pos="680"/>
      </w:tabs>
      <w:spacing w:before="60" w:after="60"/>
      <w:ind w:left="680" w:hanging="340"/>
    </w:pPr>
  </w:style>
  <w:style w:type="paragraph" w:styleId="List3">
    <w:name w:val="List 3"/>
    <w:basedOn w:val="BodyText"/>
    <w:rsid w:val="00DA712F"/>
    <w:pPr>
      <w:tabs>
        <w:tab w:val="left" w:pos="1021"/>
      </w:tabs>
      <w:spacing w:before="60" w:after="60"/>
      <w:ind w:left="1020" w:hanging="340"/>
    </w:pPr>
  </w:style>
  <w:style w:type="paragraph" w:styleId="List4">
    <w:name w:val="List 4"/>
    <w:basedOn w:val="BodyText"/>
    <w:rsid w:val="00DA712F"/>
    <w:pPr>
      <w:tabs>
        <w:tab w:val="left" w:pos="1361"/>
      </w:tabs>
      <w:spacing w:before="60" w:after="60"/>
      <w:ind w:left="1361" w:hanging="340"/>
    </w:pPr>
  </w:style>
  <w:style w:type="paragraph" w:styleId="List5">
    <w:name w:val="List 5"/>
    <w:basedOn w:val="BodyText"/>
    <w:rsid w:val="00DA712F"/>
    <w:pPr>
      <w:tabs>
        <w:tab w:val="left" w:pos="1701"/>
      </w:tabs>
      <w:spacing w:before="60" w:after="60"/>
      <w:ind w:left="1701" w:hanging="340"/>
    </w:pPr>
  </w:style>
  <w:style w:type="paragraph" w:styleId="ListBullet4">
    <w:name w:val="List Bullet 4"/>
    <w:basedOn w:val="List4"/>
    <w:rsid w:val="00DA712F"/>
    <w:pPr>
      <w:numPr>
        <w:numId w:val="4"/>
      </w:numPr>
      <w:tabs>
        <w:tab w:val="clear" w:pos="1361"/>
      </w:tabs>
    </w:pPr>
  </w:style>
  <w:style w:type="paragraph" w:styleId="ListBullet5">
    <w:name w:val="List Bullet 5"/>
    <w:basedOn w:val="List5"/>
    <w:rsid w:val="00DA712F"/>
    <w:pPr>
      <w:numPr>
        <w:numId w:val="5"/>
      </w:numPr>
    </w:pPr>
  </w:style>
  <w:style w:type="paragraph" w:styleId="ListContinue2">
    <w:name w:val="List Continue 2"/>
    <w:basedOn w:val="List2"/>
    <w:rsid w:val="00DA712F"/>
    <w:pPr>
      <w:ind w:firstLine="0"/>
    </w:pPr>
  </w:style>
  <w:style w:type="paragraph" w:styleId="ListContinue3">
    <w:name w:val="List Continue 3"/>
    <w:basedOn w:val="List3"/>
    <w:rsid w:val="00DA712F"/>
    <w:pPr>
      <w:ind w:left="1021" w:firstLine="0"/>
    </w:pPr>
  </w:style>
  <w:style w:type="paragraph" w:styleId="ListContinue4">
    <w:name w:val="List Continue 4"/>
    <w:basedOn w:val="List4"/>
    <w:rsid w:val="00DA712F"/>
    <w:pPr>
      <w:ind w:firstLine="0"/>
    </w:pPr>
  </w:style>
  <w:style w:type="paragraph" w:styleId="ListContinue5">
    <w:name w:val="List Continue 5"/>
    <w:basedOn w:val="List5"/>
    <w:rsid w:val="00DA712F"/>
    <w:pPr>
      <w:ind w:firstLine="0"/>
    </w:pPr>
  </w:style>
  <w:style w:type="paragraph" w:styleId="ListNumber3">
    <w:name w:val="List Number 3"/>
    <w:basedOn w:val="List3"/>
    <w:rsid w:val="00DA712F"/>
    <w:pPr>
      <w:numPr>
        <w:numId w:val="6"/>
      </w:numPr>
    </w:pPr>
  </w:style>
  <w:style w:type="paragraph" w:styleId="ListNumber4">
    <w:name w:val="List Number 4"/>
    <w:basedOn w:val="List4"/>
    <w:rsid w:val="00DA712F"/>
    <w:pPr>
      <w:numPr>
        <w:numId w:val="7"/>
      </w:numPr>
    </w:pPr>
  </w:style>
  <w:style w:type="paragraph" w:styleId="ListNumber5">
    <w:name w:val="List Number 5"/>
    <w:basedOn w:val="List5"/>
    <w:rsid w:val="00DA712F"/>
    <w:pPr>
      <w:numPr>
        <w:numId w:val="8"/>
      </w:numPr>
    </w:pPr>
  </w:style>
  <w:style w:type="paragraph" w:styleId="BlockText">
    <w:name w:val="Block Text"/>
    <w:basedOn w:val="Normal"/>
    <w:rsid w:val="00DA712F"/>
    <w:pPr>
      <w:spacing w:after="120"/>
      <w:ind w:left="1440" w:right="1440"/>
    </w:pPr>
  </w:style>
  <w:style w:type="character" w:customStyle="1" w:styleId="Subscript">
    <w:name w:val="Subscript"/>
    <w:basedOn w:val="DefaultParagraphFont"/>
    <w:rsid w:val="00DA712F"/>
    <w:rPr>
      <w:sz w:val="16"/>
      <w:vertAlign w:val="subscript"/>
    </w:rPr>
  </w:style>
  <w:style w:type="character" w:customStyle="1" w:styleId="Superscript">
    <w:name w:val="Superscript"/>
    <w:basedOn w:val="DefaultParagraphFont"/>
    <w:rsid w:val="00DA712F"/>
    <w:rPr>
      <w:sz w:val="16"/>
      <w:vertAlign w:val="superscript"/>
    </w:rPr>
  </w:style>
  <w:style w:type="character" w:customStyle="1" w:styleId="Symbols">
    <w:name w:val="Symbols"/>
    <w:basedOn w:val="DefaultParagraphFont"/>
    <w:rsid w:val="00DA712F"/>
    <w:rPr>
      <w:rFonts w:ascii="Symbol" w:hAnsi="Symbol"/>
    </w:rPr>
  </w:style>
  <w:style w:type="character" w:customStyle="1" w:styleId="MenuOptions">
    <w:name w:val="Menu Options"/>
    <w:basedOn w:val="DefaultParagraphFont"/>
    <w:rsid w:val="00DA712F"/>
    <w:rPr>
      <w:rFonts w:ascii="Arial Narrow" w:hAnsi="Arial Narrow"/>
      <w:smallCaps/>
    </w:rPr>
  </w:style>
  <w:style w:type="character" w:customStyle="1" w:styleId="Buttons">
    <w:name w:val="Buttons"/>
    <w:basedOn w:val="DefaultParagraphFont"/>
    <w:rsid w:val="00DA712F"/>
    <w:rPr>
      <w:b/>
    </w:rPr>
  </w:style>
  <w:style w:type="character" w:customStyle="1" w:styleId="Underlined">
    <w:name w:val="Underlined"/>
    <w:basedOn w:val="DefaultParagraphFont"/>
    <w:rsid w:val="00DA712F"/>
    <w:rPr>
      <w:u w:val="single"/>
    </w:rPr>
  </w:style>
  <w:style w:type="paragraph" w:customStyle="1" w:styleId="TableBodyTextRight">
    <w:name w:val="Table Body Text Right"/>
    <w:basedOn w:val="TableBodyText"/>
    <w:rsid w:val="00DA712F"/>
    <w:pPr>
      <w:widowControl w:val="0"/>
      <w:autoSpaceDE w:val="0"/>
      <w:autoSpaceDN w:val="0"/>
      <w:adjustRightInd w:val="0"/>
      <w:jc w:val="right"/>
    </w:pPr>
    <w:rPr>
      <w:rFonts w:cs="Arial"/>
      <w:szCs w:val="18"/>
    </w:rPr>
  </w:style>
  <w:style w:type="paragraph" w:customStyle="1" w:styleId="CopyrightText">
    <w:name w:val="Copyright Text"/>
    <w:basedOn w:val="BodyText"/>
    <w:rsid w:val="00DA712F"/>
    <w:rPr>
      <w:sz w:val="18"/>
    </w:rPr>
  </w:style>
  <w:style w:type="paragraph" w:customStyle="1" w:styleId="BodySmallRight">
    <w:name w:val="Body Small Right"/>
    <w:basedOn w:val="BodyTextRight"/>
    <w:rsid w:val="00DA712F"/>
    <w:rPr>
      <w:sz w:val="18"/>
      <w:szCs w:val="18"/>
    </w:rPr>
  </w:style>
  <w:style w:type="paragraph" w:customStyle="1" w:styleId="MarginEdition">
    <w:name w:val="Margin Edition"/>
    <w:basedOn w:val="MarginNote"/>
    <w:rsid w:val="00DA712F"/>
    <w:pPr>
      <w:spacing w:before="0" w:after="0"/>
    </w:pPr>
    <w:rPr>
      <w:rFonts w:ascii="Times New Roman" w:hAnsi="Times New Roman"/>
      <w:color w:val="999999"/>
    </w:rPr>
  </w:style>
  <w:style w:type="paragraph" w:customStyle="1" w:styleId="Spacer">
    <w:name w:val="Spacer"/>
    <w:basedOn w:val="Normal"/>
    <w:rsid w:val="00DA712F"/>
    <w:rPr>
      <w:sz w:val="2"/>
      <w:szCs w:val="2"/>
    </w:rPr>
  </w:style>
  <w:style w:type="character" w:customStyle="1" w:styleId="Small">
    <w:name w:val="Small"/>
    <w:basedOn w:val="DefaultParagraphFont"/>
    <w:rsid w:val="00DA712F"/>
    <w:rPr>
      <w:sz w:val="16"/>
    </w:rPr>
  </w:style>
  <w:style w:type="paragraph" w:customStyle="1" w:styleId="WideTable">
    <w:name w:val="Wide Table"/>
    <w:basedOn w:val="Normal"/>
    <w:rsid w:val="00DA712F"/>
    <w:pPr>
      <w:ind w:left="-1418"/>
    </w:pPr>
    <w:rPr>
      <w:sz w:val="2"/>
      <w:szCs w:val="2"/>
    </w:rPr>
  </w:style>
  <w:style w:type="character" w:styleId="PageNumber">
    <w:name w:val="page number"/>
    <w:basedOn w:val="DefaultParagraphFont"/>
    <w:rsid w:val="00DA712F"/>
  </w:style>
  <w:style w:type="paragraph" w:styleId="Quote">
    <w:name w:val="Quote"/>
    <w:basedOn w:val="Heading1"/>
    <w:link w:val="QuoteChar"/>
    <w:qFormat/>
    <w:rsid w:val="00DA712F"/>
    <w:rPr>
      <w:b w:val="0"/>
      <w:sz w:val="72"/>
      <w:szCs w:val="72"/>
      <w:lang w:val="en-NZ"/>
    </w:rPr>
  </w:style>
  <w:style w:type="character" w:customStyle="1" w:styleId="QuoteChar">
    <w:name w:val="Quote Char"/>
    <w:basedOn w:val="DefaultParagraphFont"/>
    <w:link w:val="Quote"/>
    <w:rsid w:val="00DA71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712F"/>
    <w:pPr>
      <w:pageBreakBefore/>
    </w:pPr>
  </w:style>
  <w:style w:type="paragraph" w:customStyle="1" w:styleId="Border">
    <w:name w:val="Border"/>
    <w:basedOn w:val="Normal"/>
    <w:qFormat/>
    <w:rsid w:val="00DA71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712F"/>
    <w:rPr>
      <w:b/>
      <w:bCs/>
      <w:i/>
      <w:iCs/>
      <w:color w:val="auto"/>
    </w:rPr>
  </w:style>
  <w:style w:type="paragraph" w:styleId="IntenseQuote">
    <w:name w:val="Intense Quote"/>
    <w:basedOn w:val="Normal"/>
    <w:next w:val="Normal"/>
    <w:link w:val="IntenseQuoteChar"/>
    <w:uiPriority w:val="30"/>
    <w:qFormat/>
    <w:rsid w:val="00DA71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71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712F"/>
    <w:rPr>
      <w:smallCaps/>
      <w:color w:val="auto"/>
      <w:u w:val="single"/>
    </w:rPr>
  </w:style>
  <w:style w:type="character" w:styleId="IntenseReference">
    <w:name w:val="Intense Reference"/>
    <w:basedOn w:val="DefaultParagraphFont"/>
    <w:uiPriority w:val="32"/>
    <w:qFormat/>
    <w:rsid w:val="00DA712F"/>
    <w:rPr>
      <w:b/>
      <w:bCs/>
      <w:smallCaps/>
      <w:color w:val="auto"/>
      <w:spacing w:val="5"/>
      <w:u w:val="single"/>
    </w:rPr>
  </w:style>
  <w:style w:type="paragraph" w:customStyle="1" w:styleId="2ColumnHeading">
    <w:name w:val="2Column Heading"/>
    <w:basedOn w:val="BodyText"/>
    <w:qFormat/>
    <w:rsid w:val="00DA712F"/>
    <w:pPr>
      <w:spacing w:after="60"/>
      <w:ind w:left="-2268"/>
    </w:pPr>
    <w:rPr>
      <w:b/>
    </w:rPr>
  </w:style>
  <w:style w:type="paragraph" w:customStyle="1" w:styleId="Heading1TOC">
    <w:name w:val="Heading1 TOC"/>
    <w:basedOn w:val="Normal"/>
    <w:qFormat/>
    <w:rsid w:val="00DA712F"/>
    <w:pPr>
      <w:spacing w:before="240" w:after="120"/>
    </w:pPr>
    <w:rPr>
      <w:rFonts w:ascii="Times New Roman" w:hAnsi="Times New Roman"/>
      <w:b/>
      <w:sz w:val="32"/>
    </w:rPr>
  </w:style>
  <w:style w:type="paragraph" w:customStyle="1" w:styleId="Heading2TOC">
    <w:name w:val="Heading2 TOC"/>
    <w:basedOn w:val="Normal"/>
    <w:qFormat/>
    <w:rsid w:val="00DA712F"/>
    <w:pPr>
      <w:spacing w:before="240" w:after="60"/>
    </w:pPr>
    <w:rPr>
      <w:rFonts w:ascii="Times New Roman" w:hAnsi="Times New Roman"/>
      <w:b/>
      <w:sz w:val="28"/>
    </w:rPr>
  </w:style>
  <w:style w:type="character" w:customStyle="1" w:styleId="Underline">
    <w:name w:val="Underline"/>
    <w:basedOn w:val="DefaultParagraphFont"/>
    <w:qFormat/>
    <w:rsid w:val="00DA712F"/>
    <w:rPr>
      <w:u w:val="single"/>
    </w:rPr>
  </w:style>
  <w:style w:type="character" w:customStyle="1" w:styleId="BoldandItalics">
    <w:name w:val="Bold and Italics"/>
    <w:qFormat/>
    <w:rsid w:val="00DA712F"/>
    <w:rPr>
      <w:b/>
      <w:i/>
      <w:u w:val="none"/>
    </w:rPr>
  </w:style>
  <w:style w:type="paragraph" w:styleId="BalloonText">
    <w:name w:val="Balloon Text"/>
    <w:basedOn w:val="Normal"/>
    <w:link w:val="BalloonTextChar"/>
    <w:rsid w:val="00DA712F"/>
    <w:rPr>
      <w:rFonts w:ascii="Tahoma" w:hAnsi="Tahoma" w:cs="Tahoma"/>
      <w:sz w:val="16"/>
      <w:szCs w:val="16"/>
    </w:rPr>
  </w:style>
  <w:style w:type="character" w:customStyle="1" w:styleId="BalloonTextChar">
    <w:name w:val="Balloon Text Char"/>
    <w:basedOn w:val="DefaultParagraphFont"/>
    <w:link w:val="BalloonText"/>
    <w:rsid w:val="00DA71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71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71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712F"/>
    <w:rPr>
      <w:b/>
      <w:color w:val="660033"/>
      <w:spacing w:val="0"/>
    </w:rPr>
  </w:style>
  <w:style w:type="paragraph" w:customStyle="1" w:styleId="Nameditemlist">
    <w:name w:val="Named item list"/>
    <w:basedOn w:val="BodyText"/>
    <w:qFormat/>
    <w:rsid w:val="00DA712F"/>
    <w:pPr>
      <w:tabs>
        <w:tab w:val="left" w:pos="2835"/>
      </w:tabs>
      <w:ind w:left="2835" w:hanging="2835"/>
    </w:pPr>
  </w:style>
  <w:style w:type="paragraph" w:customStyle="1" w:styleId="BodyTextnopadding">
    <w:name w:val="Body Text no padding"/>
    <w:basedOn w:val="BodyText"/>
    <w:qFormat/>
    <w:rsid w:val="00DA712F"/>
    <w:pPr>
      <w:spacing w:before="0" w:after="0"/>
    </w:pPr>
  </w:style>
  <w:style w:type="paragraph" w:customStyle="1" w:styleId="BodyTextBold">
    <w:name w:val="Body Text Bold"/>
    <w:basedOn w:val="BodyText"/>
    <w:qFormat/>
    <w:rsid w:val="00DA712F"/>
    <w:rPr>
      <w:b/>
    </w:rPr>
  </w:style>
  <w:style w:type="character" w:styleId="Hyperlink">
    <w:name w:val="Hyperlink"/>
    <w:basedOn w:val="DefaultParagraphFont"/>
    <w:uiPriority w:val="99"/>
    <w:unhideWhenUsed/>
    <w:rsid w:val="007F76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833</Words>
  <Characters>5253</Characters>
  <Application>Microsoft Office Word</Application>
  <DocSecurity>0</DocSecurity>
  <Lines>119</Lines>
  <Paragraphs>83</Paragraphs>
  <ScaleCrop>false</ScaleCrop>
  <Company>Author-it Software Corporation Ltd.</Company>
  <LinksUpToDate>false</LinksUpToDate>
  <CharactersWithSpaces>6003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MEA322 Test and troubleshoot gas turbine engine systems and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2022-11-22T03:34:00Z</dcterms:created>
  <dcterms:modified xsi:type="dcterms:W3CDTF">2022-11-22T03:34:00Z</dcterms:modified>
</cp:coreProperties>
</file>