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0BB" w:rsidP="006920BB">
      <w:pPr>
        <w:pStyle w:val="Title"/>
      </w:pPr>
      <w:r>
        <w:fldChar w:fldCharType="begin"/>
      </w:r>
      <w:r>
        <w:instrText xml:space="preserve"> TITLE   \* MERGEFORMAT </w:instrText>
      </w:r>
      <w:r>
        <w:fldChar w:fldCharType="separate"/>
      </w:r>
      <w:r>
        <w:t>Assessment Requirements for MEA318 Inspect aircraft hydro-mechanical, mechanical, gaseous and landing gear systems and components</w:t>
      </w:r>
      <w:r>
        <w:fldChar w:fldCharType="end"/>
      </w:r>
    </w:p>
    <w:p w:rsidR="006920BB" w:rsidP="006920BB">
      <w:pPr>
        <w:pStyle w:val="Version"/>
        <w:sectPr w:rsidSect="00FD7B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7BE3" w:rsidP="00FD7BE3">
      <w:pPr>
        <w:pStyle w:val="SuperHeading"/>
      </w:pPr>
      <w:r w:rsidRPr="00FD7BE3">
        <w:t>Assessment Requirements for MEA318 Inspect aircraft hydro-mechanical, mechanical, gaseous and landing gear systems and components</w:t>
      </w:r>
    </w:p>
    <w:p w:rsidR="00000000" w:rsidRPr="00FD7BE3" w:rsidP="00FD7BE3">
      <w:pPr>
        <w:pStyle w:val="Heading1"/>
      </w:pPr>
      <w:bookmarkStart w:id="1" w:name="O_998580"/>
      <w:bookmarkEnd w:id="1"/>
      <w:r w:rsidRPr="00FD7BE3">
        <w:t>Modification History</w:t>
      </w:r>
    </w:p>
    <w:p w:rsidR="00000000" w:rsidRPr="00FD7BE3" w:rsidP="006920BB">
      <w:pPr>
        <w:pStyle w:val="BodyText"/>
      </w:pPr>
      <w:r w:rsidRPr="00FD7BE3">
        <w:t>Release 2. Equivalent to MEA318 Inspect aircraft hydro-mechanical, mechanical, gaseous and landing gear systems and components with amended prerequisite codes.</w:t>
      </w:r>
    </w:p>
    <w:p w:rsidR="00000000" w:rsidRPr="00FD7BE3" w:rsidP="00FD7BE3">
      <w:pPr>
        <w:pStyle w:val="Heading1"/>
      </w:pPr>
      <w:bookmarkStart w:id="2" w:name="O_998579"/>
      <w:bookmarkEnd w:id="2"/>
      <w:r w:rsidRPr="00FD7BE3">
        <w:t>Performance Evidence</w:t>
      </w:r>
    </w:p>
    <w:p w:rsidR="00000000" w:rsidRPr="00FD7BE3" w:rsidP="006920BB">
      <w:pPr>
        <w:pStyle w:val="BodyText"/>
      </w:pPr>
      <w:r w:rsidRPr="00FD7BE3">
        <w:t>Evidence required to demonstrate competency in this unit m</w:t>
      </w:r>
      <w:r w:rsidRPr="00FD7BE3">
        <w:t>ust be relevant to and satisfy all of the requirements of the elements and performance criteria under the specified conditions of assessment, and must include:</w:t>
      </w:r>
    </w:p>
    <w:p w:rsidR="00000000" w:rsidRPr="00FD7BE3" w:rsidP="00FD7BE3">
      <w:pPr>
        <w:pStyle w:val="ListBullet"/>
      </w:pPr>
      <w:r w:rsidRPr="00FD7BE3">
        <w:t>applying all relevant WHS practices, including the use of MSDS and PPE</w:t>
      </w:r>
    </w:p>
    <w:p w:rsidR="00000000" w:rsidRPr="00FD7BE3" w:rsidP="00FD7BE3">
      <w:pPr>
        <w:pStyle w:val="ListBullet"/>
      </w:pPr>
      <w:r w:rsidRPr="00FD7BE3">
        <w:t>using maintenance manual</w:t>
      </w:r>
      <w:r w:rsidRPr="00FD7BE3">
        <w:t>s and documentation to prepare the aircraft and identify requirements for inspection of hydraulic, fuel, gaseous, flight control, landing gear and mechanical systems and components</w:t>
      </w:r>
    </w:p>
    <w:p w:rsidR="00000000" w:rsidRPr="00FD7BE3" w:rsidP="00FD7BE3">
      <w:pPr>
        <w:pStyle w:val="ListBullet"/>
      </w:pPr>
      <w:r w:rsidRPr="00FD7BE3">
        <w:t>using hand skills and tools in the inspection of hydraulic, fuel, flight co</w:t>
      </w:r>
      <w:r w:rsidRPr="00FD7BE3">
        <w:t>ntrol, gaseous and mechanical system components</w:t>
      </w:r>
    </w:p>
    <w:p w:rsidR="00000000" w:rsidRPr="00FD7BE3" w:rsidP="00FD7BE3">
      <w:pPr>
        <w:pStyle w:val="ListBullet"/>
      </w:pPr>
      <w:r w:rsidRPr="00FD7BE3">
        <w:t>jacking of the aircraft, as required, for landing gear system inspection</w:t>
      </w:r>
    </w:p>
    <w:p w:rsidR="00000000" w:rsidRPr="00FD7BE3" w:rsidP="00FD7BE3">
      <w:pPr>
        <w:pStyle w:val="ListBullet"/>
      </w:pPr>
      <w:r w:rsidRPr="00FD7BE3">
        <w:t>using hand skills and tools in the inspection of landing gear components</w:t>
      </w:r>
    </w:p>
    <w:p w:rsidR="00000000" w:rsidRPr="00FD7BE3" w:rsidP="00FD7BE3">
      <w:pPr>
        <w:pStyle w:val="ListBullet"/>
      </w:pPr>
      <w:r w:rsidRPr="00FD7BE3">
        <w:t>recognising external defects in hydraulic, fuel, gaseous, flig</w:t>
      </w:r>
      <w:r w:rsidRPr="00FD7BE3">
        <w:t>ht control, landing gear and mechanical systems and components.</w:t>
      </w:r>
    </w:p>
    <w:p w:rsidR="00000000" w:rsidRPr="00FD7BE3" w:rsidP="006920BB">
      <w:pPr>
        <w:pStyle w:val="BodyText"/>
      </w:pPr>
      <w:r w:rsidRPr="00FD7BE3">
        <w:t>The underlying skills inherent in this unit should be transferable across a range of inspection applications (including the timely involvement of supervisors or other trades) associated with a</w:t>
      </w:r>
      <w:r w:rsidRPr="00FD7BE3">
        <w:t>ircraft hydro-mechanical, gaseous, mechanical and landing gear systems and their components. It is essential that system/component inspection procedures take into account all safety precautions applicable to the system being maintained, especially where sy</w:t>
      </w:r>
      <w:r w:rsidRPr="00FD7BE3">
        <w:t>stem operation/switching interrelates to other systems being maintained. Ability to interpret system performance specifications (allowable limits) and apply them in practice is critical and shall be demonstrated through application across the range of syst</w:t>
      </w:r>
      <w:r w:rsidRPr="00FD7BE3">
        <w:t>ems listed in the Assessment Conditions.</w:t>
      </w:r>
    </w:p>
    <w:p w:rsidR="00000000" w:rsidRPr="00FD7BE3" w:rsidP="00FD7BE3">
      <w:pPr>
        <w:pStyle w:val="Heading1"/>
      </w:pPr>
      <w:bookmarkStart w:id="3" w:name="O_998578"/>
      <w:bookmarkEnd w:id="3"/>
      <w:r w:rsidRPr="00FD7BE3">
        <w:t>Knowledge Evidence</w:t>
      </w:r>
    </w:p>
    <w:p w:rsidR="00000000" w:rsidRPr="00FD7BE3" w:rsidP="006920BB">
      <w:pPr>
        <w:pStyle w:val="BodyText"/>
      </w:pPr>
      <w:r w:rsidRPr="00FD7BE3">
        <w:t>Evidence required to demonstrate competency in this unit must be relevant to and satisfy all of the requirements of the elements and performance criteria and include knowledge of:</w:t>
      </w:r>
    </w:p>
    <w:p w:rsidR="00000000" w:rsidRPr="00FD7BE3" w:rsidP="00FD7BE3">
      <w:pPr>
        <w:pStyle w:val="ListBullet"/>
      </w:pPr>
      <w:r w:rsidRPr="00FD7BE3">
        <w:t>how to recognise external defects in hydraulic, fuel, gaseous, flight control, landing gear and mechanical system components</w:t>
      </w:r>
    </w:p>
    <w:p w:rsidR="00000000" w:rsidRPr="00FD7BE3" w:rsidP="00FD7BE3">
      <w:pPr>
        <w:pStyle w:val="ListBullet"/>
      </w:pPr>
      <w:r w:rsidRPr="00FD7BE3">
        <w:t>how to configure the aircraft for inspection of hydraulic, fuel, gaseous, flight control, landing gear and mechanical systems and</w:t>
      </w:r>
      <w:r w:rsidRPr="00FD7BE3">
        <w:t xml:space="preserve"> components</w:t>
      </w:r>
    </w:p>
    <w:p w:rsidR="00000000" w:rsidRPr="00FD7BE3" w:rsidP="00FD7BE3">
      <w:pPr>
        <w:pStyle w:val="ListBullet"/>
      </w:pPr>
      <w:r w:rsidRPr="00FD7BE3">
        <w:t>inspection and testing requirements for gears, springs and bearings</w:t>
      </w:r>
    </w:p>
    <w:p w:rsidR="00000000" w:rsidRPr="00FD7BE3" w:rsidP="00FD7BE3">
      <w:pPr>
        <w:pStyle w:val="ListBullet"/>
      </w:pPr>
      <w:r w:rsidRPr="00FD7BE3">
        <w:t>standard trade practices relating to tool usage and installation/securing of aircraft hardware</w:t>
      </w:r>
    </w:p>
    <w:p w:rsidR="00000000" w:rsidRPr="00FD7BE3" w:rsidP="00FD7BE3">
      <w:pPr>
        <w:pStyle w:val="ListBullet"/>
      </w:pPr>
      <w:r w:rsidRPr="00FD7BE3">
        <w:t xml:space="preserve">maintenance requirements </w:t>
      </w:r>
    </w:p>
    <w:p w:rsidR="00000000" w:rsidRPr="00FD7BE3" w:rsidP="00FD7BE3">
      <w:pPr>
        <w:pStyle w:val="ListBullet"/>
      </w:pPr>
      <w:r w:rsidRPr="00FD7BE3">
        <w:t>relevant WHS practices relating to hydraulic, fuel, gas</w:t>
      </w:r>
      <w:r w:rsidRPr="00FD7BE3">
        <w:t>eous, flight control, landing gear and mechanical system components, including lifting and handling of heavy items</w:t>
      </w:r>
    </w:p>
    <w:p w:rsidR="00000000" w:rsidRPr="00FD7BE3" w:rsidP="00FD7BE3">
      <w:pPr>
        <w:pStyle w:val="ListBullet"/>
      </w:pPr>
      <w:r w:rsidRPr="00FD7BE3">
        <w:t>how to obtain MSDS</w:t>
      </w:r>
    </w:p>
    <w:p w:rsidR="00000000" w:rsidRPr="00FD7BE3" w:rsidP="00FD7BE3">
      <w:pPr>
        <w:pStyle w:val="ListBullet"/>
      </w:pPr>
      <w:r w:rsidRPr="00FD7BE3">
        <w:t>selection and use of PPE</w:t>
      </w:r>
    </w:p>
    <w:p w:rsidR="00000000" w:rsidRPr="00FD7BE3" w:rsidP="00FD7BE3">
      <w:pPr>
        <w:pStyle w:val="ListBullet"/>
      </w:pPr>
      <w:r w:rsidRPr="00FD7BE3">
        <w:t>maintenance requirements</w:t>
      </w:r>
    </w:p>
    <w:p w:rsidR="00000000" w:rsidRPr="00FD7BE3" w:rsidP="00FD7BE3">
      <w:pPr>
        <w:pStyle w:val="ListBullet"/>
      </w:pPr>
      <w:r w:rsidRPr="00FD7BE3">
        <w:t>relevant maintenance manuals</w:t>
      </w:r>
    </w:p>
    <w:p w:rsidR="00000000" w:rsidRPr="00FD7BE3" w:rsidP="00FD7BE3">
      <w:pPr>
        <w:pStyle w:val="ListBullet"/>
      </w:pPr>
      <w:r w:rsidRPr="00FD7BE3">
        <w:t>relevant regulatory requirements and standard procedures.</w:t>
      </w:r>
    </w:p>
    <w:p w:rsidR="00000000" w:rsidRPr="00FD7BE3" w:rsidP="00FD7BE3">
      <w:pPr>
        <w:pStyle w:val="AllowPageBreak"/>
      </w:pPr>
    </w:p>
    <w:p w:rsidR="00000000" w:rsidRPr="00FD7BE3" w:rsidP="00FD7BE3">
      <w:pPr>
        <w:pStyle w:val="Heading1"/>
      </w:pPr>
      <w:bookmarkStart w:id="4" w:name="O_998577"/>
      <w:bookmarkEnd w:id="4"/>
      <w:r w:rsidRPr="00FD7BE3">
        <w:t>Assessment Conditions</w:t>
      </w:r>
    </w:p>
    <w:p w:rsidR="00000000" w:rsidRPr="00FD7BE3" w:rsidP="00FD7BE3">
      <w:pPr>
        <w:pStyle w:val="ListBullet"/>
      </w:pPr>
      <w:r w:rsidRPr="00FD7BE3">
        <w:t>Competency should be assessed in the work environment or simulated work environment, using procedures, tools and equipment specified in maintenance documentat</w:t>
      </w:r>
      <w:r w:rsidRPr="00FD7BE3">
        <w:t>ion. It is also expected that applicable general-purpose tools, test and ground support equipment found in most routine situations would be used where appropriate.</w:t>
      </w:r>
    </w:p>
    <w:p w:rsidR="00000000" w:rsidRPr="00FD7BE3" w:rsidP="00FD7BE3">
      <w:pPr>
        <w:pStyle w:val="ListBullet"/>
      </w:pPr>
      <w:r w:rsidRPr="00FD7BE3">
        <w:t>The work plan should take account of applicable safety and quality requirements in accordanc</w:t>
      </w:r>
      <w:r w:rsidRPr="00FD7BE3">
        <w:t>e with the industry and regulatory standards.</w:t>
      </w:r>
    </w:p>
    <w:p w:rsidR="00000000" w:rsidRPr="00FD7BE3" w:rsidP="00FD7BE3">
      <w:pPr>
        <w:pStyle w:val="ListBullet"/>
      </w:pPr>
      <w:r w:rsidRPr="00FD7BE3">
        <w:t>The following conditions of assessment represent the requirements of the Regulators (ADF and CASA) and maintenance stakeholders and must be rigorously observed.</w:t>
      </w:r>
    </w:p>
    <w:p w:rsidR="00000000" w:rsidRPr="00FD7BE3" w:rsidP="00FD7BE3">
      <w:pPr>
        <w:pStyle w:val="ListBullet"/>
      </w:pPr>
      <w:r w:rsidRPr="00FD7BE3">
        <w:t>A person cannot be assessed as competent until it</w:t>
      </w:r>
      <w:r w:rsidRPr="00FD7BE3">
        <w:t xml:space="preserve"> can be demonstrated to the satisfaction of the workplace assessor that the relevant elements and performance criteria of this unit of competency are being achieved under routine supervision on each type of system and on at least one (1) component of each </w:t>
      </w:r>
      <w:r w:rsidRPr="00FD7BE3">
        <w:t>group listed in the Range of Conditions, as follows:</w:t>
      </w:r>
    </w:p>
    <w:p w:rsidR="00000000" w:rsidRPr="00FD7BE3" w:rsidP="00FD7BE3">
      <w:pPr>
        <w:pStyle w:val="ListBullet2"/>
      </w:pPr>
      <w:r w:rsidRPr="00FD7BE3">
        <w:t>hydraulic systems – a system and at least one (1) component from each of the following groups:</w:t>
      </w:r>
    </w:p>
    <w:p w:rsidR="00000000" w:rsidRPr="00FD7BE3" w:rsidP="00FD7BE3">
      <w:pPr>
        <w:pStyle w:val="ListBullet3"/>
      </w:pPr>
      <w:r w:rsidRPr="00FD7BE3">
        <w:t>hydraulic accumulators, filters, reservoirs, valves, pumps, motors, actuators, regulators and direct readi</w:t>
      </w:r>
      <w:r w:rsidRPr="00FD7BE3">
        <w:t>ng gauges</w:t>
      </w:r>
    </w:p>
    <w:p w:rsidR="00000000" w:rsidRPr="00FD7BE3" w:rsidP="00FD7BE3">
      <w:pPr>
        <w:pStyle w:val="ListBullet3"/>
      </w:pPr>
      <w:r w:rsidRPr="00FD7BE3">
        <w:t xml:space="preserve">rigid and flexible pipelines, hoses and fittings </w:t>
      </w:r>
    </w:p>
    <w:p w:rsidR="00000000" w:rsidRPr="00FD7BE3" w:rsidP="00FD7BE3">
      <w:pPr>
        <w:pStyle w:val="ListBullet2"/>
      </w:pPr>
      <w:r w:rsidRPr="00FD7BE3">
        <w:t>fuel systems – a system and at least one (1) component from each of the following groups:</w:t>
      </w:r>
    </w:p>
    <w:p w:rsidR="00000000" w:rsidRPr="00FD7BE3" w:rsidP="00FD7BE3">
      <w:pPr>
        <w:pStyle w:val="ListBullet3"/>
      </w:pPr>
      <w:r w:rsidRPr="00FD7BE3">
        <w:t>fuel system filters, valves, pumps, and rigid and flexible storage cells/tanks</w:t>
      </w:r>
    </w:p>
    <w:p w:rsidR="00000000" w:rsidRPr="00FD7BE3" w:rsidP="00FD7BE3">
      <w:pPr>
        <w:pStyle w:val="ListBullet3"/>
      </w:pPr>
      <w:r w:rsidRPr="00FD7BE3">
        <w:t>rigid and flexible pipelines, hoses and fittings</w:t>
      </w:r>
    </w:p>
    <w:p w:rsidR="00000000" w:rsidRPr="00FD7BE3" w:rsidP="00FD7BE3">
      <w:pPr>
        <w:pStyle w:val="ListBullet2"/>
      </w:pPr>
      <w:r w:rsidRPr="00FD7BE3">
        <w:t>landing gear systems – each system:</w:t>
      </w:r>
    </w:p>
    <w:p w:rsidR="00000000" w:rsidRPr="00FD7BE3" w:rsidP="00FD7BE3">
      <w:pPr>
        <w:pStyle w:val="ListBullet3"/>
      </w:pPr>
      <w:r w:rsidRPr="00FD7BE3">
        <w:t>retraction systems</w:t>
      </w:r>
    </w:p>
    <w:p w:rsidR="00000000" w:rsidRPr="00FD7BE3" w:rsidP="00FD7BE3">
      <w:pPr>
        <w:pStyle w:val="ListBullet3"/>
      </w:pPr>
      <w:r w:rsidRPr="00FD7BE3">
        <w:t>steering systems</w:t>
      </w:r>
    </w:p>
    <w:p w:rsidR="00000000" w:rsidRPr="00FD7BE3" w:rsidP="00FD7BE3">
      <w:pPr>
        <w:pStyle w:val="ListBullet3"/>
      </w:pPr>
      <w:r w:rsidRPr="00FD7BE3">
        <w:t>brake systems, including anti-skid, where applicable</w:t>
      </w:r>
    </w:p>
    <w:p w:rsidR="00000000" w:rsidRPr="00FD7BE3" w:rsidP="00FD7BE3">
      <w:pPr>
        <w:pStyle w:val="ListBullet2"/>
      </w:pPr>
      <w:r w:rsidRPr="00FD7BE3">
        <w:t>landing gear components – one (1) each of:</w:t>
      </w:r>
    </w:p>
    <w:p w:rsidR="00000000" w:rsidRPr="00FD7BE3" w:rsidP="00FD7BE3">
      <w:pPr>
        <w:pStyle w:val="ListBullet3"/>
      </w:pPr>
      <w:r w:rsidRPr="00FD7BE3">
        <w:t>wheel assemblies</w:t>
      </w:r>
    </w:p>
    <w:p w:rsidR="00000000" w:rsidRPr="00FD7BE3" w:rsidP="00FD7BE3">
      <w:pPr>
        <w:pStyle w:val="ListBullet3"/>
      </w:pPr>
      <w:r w:rsidRPr="00FD7BE3">
        <w:t>brake units</w:t>
      </w:r>
    </w:p>
    <w:p w:rsidR="00000000" w:rsidRPr="00FD7BE3" w:rsidP="00FD7BE3">
      <w:pPr>
        <w:pStyle w:val="ListBullet3"/>
      </w:pPr>
      <w:r w:rsidRPr="00FD7BE3">
        <w:t>struts</w:t>
      </w:r>
      <w:r w:rsidRPr="00FD7BE3">
        <w:t>/oleos</w:t>
      </w:r>
    </w:p>
    <w:p w:rsidR="00000000" w:rsidRPr="00FD7BE3" w:rsidP="00FD7BE3">
      <w:pPr>
        <w:pStyle w:val="ListBullet2"/>
      </w:pPr>
      <w:r w:rsidRPr="00FD7BE3">
        <w:t>gaseous systems – each listed system:</w:t>
      </w:r>
    </w:p>
    <w:p w:rsidR="00000000" w:rsidRPr="00FD7BE3" w:rsidP="00FD7BE3">
      <w:pPr>
        <w:pStyle w:val="ListBullet3"/>
      </w:pPr>
      <w:r w:rsidRPr="00FD7BE3">
        <w:t>pneumatic</w:t>
      </w:r>
    </w:p>
    <w:p w:rsidR="00000000" w:rsidRPr="00FD7BE3" w:rsidP="00FD7BE3">
      <w:pPr>
        <w:pStyle w:val="ListBullet3"/>
      </w:pPr>
      <w:r w:rsidRPr="00FD7BE3">
        <w:t xml:space="preserve">air cycle air conditioning </w:t>
      </w:r>
    </w:p>
    <w:p w:rsidR="00000000" w:rsidRPr="00FD7BE3" w:rsidP="00FD7BE3">
      <w:pPr>
        <w:pStyle w:val="ListBullet3"/>
      </w:pPr>
      <w:r w:rsidRPr="00FD7BE3">
        <w:t>pressurisation</w:t>
      </w:r>
    </w:p>
    <w:p w:rsidR="00000000" w:rsidRPr="00FD7BE3" w:rsidP="00FD7BE3">
      <w:pPr>
        <w:pStyle w:val="ListBullet3"/>
      </w:pPr>
      <w:r w:rsidRPr="00FD7BE3">
        <w:t>fire-extinguishing</w:t>
      </w:r>
    </w:p>
    <w:p w:rsidR="00000000" w:rsidRPr="00FD7BE3" w:rsidP="00FD7BE3">
      <w:pPr>
        <w:pStyle w:val="ListBullet2"/>
      </w:pPr>
      <w:r w:rsidRPr="00FD7BE3">
        <w:t>gaseous system components - at least one (1) component from each of the following groups:</w:t>
      </w:r>
    </w:p>
    <w:p w:rsidR="00000000" w:rsidRPr="00FD7BE3" w:rsidP="00FD7BE3">
      <w:pPr>
        <w:pStyle w:val="ListBullet3"/>
      </w:pPr>
      <w:r w:rsidRPr="00FD7BE3">
        <w:t>gauges (direct reading), temperature sensors, pressurisation controllers and temperature controllers</w:t>
      </w:r>
    </w:p>
    <w:p w:rsidR="00000000" w:rsidRPr="00FD7BE3" w:rsidP="00FD7BE3">
      <w:pPr>
        <w:pStyle w:val="ListBullet3"/>
      </w:pPr>
      <w:r w:rsidRPr="00FD7BE3">
        <w:t>heat exchangers, pressure vessels, condensers, compressors, expansion turbines, humidifiers, valves and actuators</w:t>
      </w:r>
    </w:p>
    <w:p w:rsidR="00000000" w:rsidRPr="00FD7BE3" w:rsidP="00FD7BE3">
      <w:pPr>
        <w:pStyle w:val="ListBullet3"/>
      </w:pPr>
      <w:r w:rsidRPr="00FD7BE3">
        <w:t>rigid and flexible pipelines and fittings</w:t>
      </w:r>
    </w:p>
    <w:p w:rsidR="00000000" w:rsidRPr="00FD7BE3" w:rsidP="00FD7BE3">
      <w:pPr>
        <w:pStyle w:val="ListBullet3"/>
      </w:pPr>
      <w:r w:rsidRPr="00FD7BE3">
        <w:t>ducting</w:t>
      </w:r>
    </w:p>
    <w:p w:rsidR="00000000" w:rsidRPr="00FD7BE3" w:rsidP="00FD7BE3">
      <w:pPr>
        <w:pStyle w:val="ListBullet2"/>
      </w:pPr>
      <w:r w:rsidRPr="00FD7BE3">
        <w:t>mechanical systems – a system applicable to each of system types:</w:t>
      </w:r>
    </w:p>
    <w:p w:rsidR="00000000" w:rsidRPr="00FD7BE3" w:rsidP="00FD7BE3">
      <w:pPr>
        <w:pStyle w:val="ListBullet3"/>
      </w:pPr>
      <w:r w:rsidRPr="00FD7BE3">
        <w:t>mechanical operating and locking systems</w:t>
      </w:r>
    </w:p>
    <w:p w:rsidR="00000000" w:rsidRPr="00FD7BE3" w:rsidP="00FD7BE3">
      <w:pPr>
        <w:pStyle w:val="ListBullet3"/>
      </w:pPr>
      <w:r w:rsidRPr="00FD7BE3">
        <w:t>mechanical flight control systems or the mechanical elements of power-assisted flight control systems</w:t>
      </w:r>
    </w:p>
    <w:p w:rsidR="00000000" w:rsidRPr="00FD7BE3" w:rsidP="00FD7BE3">
      <w:pPr>
        <w:pStyle w:val="ListBullet2"/>
      </w:pPr>
      <w:r w:rsidRPr="00FD7BE3">
        <w:t>mechanical system components - at l</w:t>
      </w:r>
      <w:r w:rsidRPr="00FD7BE3">
        <w:t>east one (1) component from each of the following groups:</w:t>
      </w:r>
    </w:p>
    <w:p w:rsidR="00000000" w:rsidRPr="00FD7BE3" w:rsidP="00FD7BE3">
      <w:pPr>
        <w:pStyle w:val="ListBullet3"/>
      </w:pPr>
      <w:r w:rsidRPr="00FD7BE3">
        <w:t>cables, pulleys, guides, fairleads, tension regulators, chains and sprockets</w:t>
      </w:r>
    </w:p>
    <w:p w:rsidR="00000000" w:rsidRPr="00FD7BE3" w:rsidP="00FD7BE3">
      <w:pPr>
        <w:pStyle w:val="ListBullet3"/>
      </w:pPr>
      <w:r w:rsidRPr="00FD7BE3">
        <w:t>control rods, torque tubes, bellcranks, screwjacks, clutches, springs, bearings and gears</w:t>
      </w:r>
    </w:p>
    <w:p w:rsidR="00000000" w:rsidRPr="00FD7BE3" w:rsidP="00FD7BE3">
      <w:pPr>
        <w:pStyle w:val="ListBullet3"/>
      </w:pPr>
      <w:r w:rsidRPr="00FD7BE3">
        <w:t>control sticks, wheels, columns, trim wheels or handles, and rudder pedals.</w:t>
      </w:r>
    </w:p>
    <w:p w:rsidR="00000000" w:rsidRPr="00FD7BE3" w:rsidP="00FD7BE3">
      <w:pPr>
        <w:pStyle w:val="ListBullet"/>
      </w:pPr>
      <w:r w:rsidRPr="00FD7BE3">
        <w:t>This shall be established via the records in the Log of Industrial Experience and Achievement or, where appropriate, an equivalent Industry Evidence Guide (for details refer to th</w:t>
      </w:r>
      <w:r w:rsidRPr="00FD7BE3">
        <w:t>e Companion Volume Assessment Guidelines).</w:t>
      </w:r>
    </w:p>
    <w:p w:rsidR="00000000" w:rsidRPr="00FD7BE3" w:rsidP="00FD7BE3">
      <w:pPr>
        <w:pStyle w:val="ListBullet"/>
      </w:pPr>
      <w:r w:rsidRPr="00FD7BE3">
        <w:t>Assessors must satisfy the requirements of the National Vocational Education and Training Regulator (Australian Skills Quality Authority, or its successors).</w:t>
      </w:r>
    </w:p>
    <w:p w:rsidR="00000000" w:rsidRPr="00FD7BE3" w:rsidP="00FD7BE3">
      <w:pPr>
        <w:pStyle w:val="ListBullet"/>
      </w:pPr>
      <w:r w:rsidRPr="00FD7BE3">
        <w:t>Where the unit is to be used for CASA licensing purpose</w:t>
      </w:r>
      <w:r w:rsidRPr="00FD7BE3">
        <w:t>s the Assessor must also meet the criteria specified in the CASR Part 147 Manual of Standards.</w:t>
      </w:r>
    </w:p>
    <w:p w:rsidR="00000000" w:rsidRPr="00FD7BE3" w:rsidP="00FD7BE3">
      <w:pPr>
        <w:pStyle w:val="ListBullet"/>
      </w:pPr>
      <w:r w:rsidRPr="00FD7BE3">
        <w:t>Individuals being assessed who have already attained the following related units will have met the Performance Criteria and Range of Conditions variables for Ele</w:t>
      </w:r>
      <w:r w:rsidRPr="00FD7BE3">
        <w:t>ments listed:</w:t>
      </w:r>
    </w:p>
    <w:p w:rsidR="00000000" w:rsidRPr="00FD7BE3" w:rsidP="00FD7BE3">
      <w:pPr>
        <w:pStyle w:val="ListBullet2"/>
      </w:pPr>
      <w:r w:rsidRPr="00FD7BE3">
        <w:t>MEA309 Inspect, test and troubleshoot aircraft hydro-mechanical and landing gear systems and components, for Element 1</w:t>
      </w:r>
    </w:p>
    <w:p w:rsidR="00000000" w:rsidRPr="00FD7BE3" w:rsidP="00FD7BE3">
      <w:pPr>
        <w:pStyle w:val="ListBullet2"/>
      </w:pPr>
      <w:r w:rsidRPr="00FD7BE3">
        <w:t>MEA309 Inspect, test and troubleshoot aircraft hydro-mechanical and landing gear systems and components, for Element 2, pr</w:t>
      </w:r>
      <w:r w:rsidRPr="00FD7BE3">
        <w:t>ovided that the unit was attained on aircraft with retractable landing gear</w:t>
      </w:r>
    </w:p>
    <w:p w:rsidR="00000000" w:rsidRPr="00FD7BE3" w:rsidP="00FD7BE3">
      <w:pPr>
        <w:pStyle w:val="ListBullet2"/>
      </w:pPr>
      <w:r w:rsidRPr="00FD7BE3">
        <w:t>MEA310 Inspect, test and troubleshoot aircraft pneumatic systems and components, for Element 3</w:t>
      </w:r>
    </w:p>
    <w:p w:rsidR="00000000" w:rsidRPr="00FD7BE3" w:rsidP="00FD7BE3">
      <w:pPr>
        <w:pStyle w:val="ListBullet2"/>
      </w:pPr>
      <w:r w:rsidRPr="00FD7BE3">
        <w:t>MEA312 Inspect, test and troubleshoot aircraft fixed wing flight control systems and components, for Element 4.</w:t>
      </w:r>
    </w:p>
    <w:p w:rsidR="00000000" w:rsidRPr="00FD7BE3" w:rsidP="00FD7BE3">
      <w:pPr>
        <w:pStyle w:val="ListBullet"/>
      </w:pPr>
      <w:r w:rsidRPr="00FD7BE3">
        <w:t>The Log of Industrial Experience and Achievement records relating to the listed units may be accepted as also meeting the evidence requirements</w:t>
      </w:r>
      <w:r w:rsidRPr="00FD7BE3">
        <w:t xml:space="preserve"> for this unit in the applicable Elements. Advice in MEA310 Inspect, test and troubleshoot aircraft pneumatic systems and components regarding MEA355 Maintain light aircraft air cycle air conditioning systems, and MEA3000 Maintain small piston engine aircr</w:t>
      </w:r>
      <w:r w:rsidRPr="00FD7BE3">
        <w:t>aft pressurisation systems, may also be taken into consideration where applicable.</w:t>
      </w:r>
    </w:p>
    <w:p w:rsidR="00000000" w:rsidRPr="00FD7BE3" w:rsidP="00FD7BE3">
      <w:pPr>
        <w:pStyle w:val="AllowPageBreak"/>
      </w:pPr>
    </w:p>
    <w:p w:rsidR="00000000" w:rsidRPr="00FD7BE3" w:rsidP="00FD7BE3">
      <w:pPr>
        <w:pStyle w:val="Heading1"/>
      </w:pPr>
      <w:bookmarkStart w:id="5" w:name="O_998592"/>
      <w:bookmarkEnd w:id="5"/>
      <w:r w:rsidRPr="00FD7BE3">
        <w:t>Links</w:t>
      </w:r>
    </w:p>
    <w:p w:rsidR="00000000" w:rsidRPr="00FD7BE3" w:rsidP="006920BB">
      <w:pPr>
        <w:pStyle w:val="BodyText"/>
      </w:pPr>
      <w:r w:rsidRPr="00FD7BE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95D2D">
        <w:rPr>
          <w:rStyle w:val="Hyperlink"/>
        </w:rPr>
        <w:t>https://vetnet.gov.au/Pages/TrainingDocs.aspx?q=ce216c9c-04d5-4b3b-9bcf-4e81d0950371</w:t>
      </w:r>
      <w:r>
        <w:fldChar w:fldCharType="end"/>
      </w:r>
    </w:p>
    <w:p w:rsidR="00000000" w:rsidRPr="00FD7BE3" w:rsidP="00FD7BE3"/>
    <w:sectPr w:rsidSect="00FD7B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E3" w:rsidRPr="006920BB" w:rsidP="006920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BB" w:rsidP="00FD7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20BB" w:rsidP="00FD7B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20BB" w:rsidP="00FD7B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BE3" w:rsidRPr="006920BB" w:rsidP="006920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0BB" w:rsidRPr="002D2AF8" w:rsidP="00FD7BE3">
    <w:pPr>
      <w:pStyle w:val="Header"/>
      <w:framePr w:wrap="around"/>
    </w:pPr>
    <w:r>
      <w:fldChar w:fldCharType="begin"/>
    </w:r>
    <w:r>
      <w:instrText xml:space="preserve"> TITLE   \* MERGEFORMAT </w:instrText>
    </w:r>
    <w:r>
      <w:fldChar w:fldCharType="separate"/>
    </w:r>
    <w:r>
      <w:t>Assessment Requirements for MEA318 Inspect aircraft hydro-mechanical, mechanical, gaseous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920BB" w:rsidP="00FD7B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FCC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344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FAE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B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BE3"/>
    <w:pPr>
      <w:spacing w:before="360" w:after="60"/>
      <w:outlineLvl w:val="0"/>
    </w:pPr>
    <w:rPr>
      <w:sz w:val="32"/>
    </w:rPr>
  </w:style>
  <w:style w:type="paragraph" w:styleId="Heading2">
    <w:name w:val="heading 2"/>
    <w:basedOn w:val="HeadingBase"/>
    <w:next w:val="BodyText"/>
    <w:link w:val="Heading2Char"/>
    <w:qFormat/>
    <w:rsid w:val="00FD7BE3"/>
    <w:pPr>
      <w:keepLines/>
      <w:spacing w:before="240" w:after="120"/>
      <w:outlineLvl w:val="1"/>
    </w:pPr>
    <w:rPr>
      <w:sz w:val="28"/>
      <w:szCs w:val="40"/>
    </w:rPr>
  </w:style>
  <w:style w:type="paragraph" w:styleId="Heading3">
    <w:name w:val="heading 3"/>
    <w:basedOn w:val="HeadingBase"/>
    <w:next w:val="BodyText"/>
    <w:link w:val="Heading3Char"/>
    <w:qFormat/>
    <w:rsid w:val="00FD7BE3"/>
    <w:pPr>
      <w:spacing w:before="180" w:after="120"/>
      <w:outlineLvl w:val="2"/>
    </w:pPr>
    <w:rPr>
      <w:spacing w:val="-10"/>
      <w:kern w:val="32"/>
    </w:rPr>
  </w:style>
  <w:style w:type="paragraph" w:styleId="Heading4">
    <w:name w:val="heading 4"/>
    <w:basedOn w:val="HeadingBase"/>
    <w:next w:val="BodyText"/>
    <w:link w:val="Heading4Char"/>
    <w:qFormat/>
    <w:rsid w:val="00FD7BE3"/>
    <w:pPr>
      <w:spacing w:before="160" w:after="120"/>
      <w:outlineLvl w:val="3"/>
    </w:pPr>
    <w:rPr>
      <w:sz w:val="22"/>
    </w:rPr>
  </w:style>
  <w:style w:type="paragraph" w:styleId="Heading5">
    <w:name w:val="heading 5"/>
    <w:basedOn w:val="HeadingBase"/>
    <w:next w:val="Normal"/>
    <w:link w:val="Heading5Char"/>
    <w:qFormat/>
    <w:rsid w:val="00FD7BE3"/>
    <w:pPr>
      <w:spacing w:before="80"/>
      <w:outlineLvl w:val="4"/>
    </w:pPr>
    <w:rPr>
      <w:color w:val="918585"/>
      <w:sz w:val="20"/>
    </w:rPr>
  </w:style>
  <w:style w:type="paragraph" w:styleId="Heading6">
    <w:name w:val="heading 6"/>
    <w:basedOn w:val="HeadingBase"/>
    <w:next w:val="Normal"/>
    <w:link w:val="Heading6Char"/>
    <w:qFormat/>
    <w:rsid w:val="00FD7BE3"/>
    <w:pPr>
      <w:spacing w:before="60"/>
      <w:outlineLvl w:val="5"/>
    </w:pPr>
    <w:rPr>
      <w:color w:val="918585"/>
      <w:sz w:val="20"/>
    </w:rPr>
  </w:style>
  <w:style w:type="paragraph" w:styleId="Heading7">
    <w:name w:val="heading 7"/>
    <w:basedOn w:val="Normal"/>
    <w:next w:val="Normal"/>
    <w:link w:val="Heading7Char"/>
    <w:qFormat/>
    <w:rsid w:val="00FD7BE3"/>
    <w:pPr>
      <w:ind w:left="720"/>
      <w:outlineLvl w:val="6"/>
    </w:pPr>
    <w:rPr>
      <w:i/>
    </w:rPr>
  </w:style>
  <w:style w:type="paragraph" w:styleId="Heading8">
    <w:name w:val="heading 8"/>
    <w:basedOn w:val="Normal"/>
    <w:next w:val="Normal"/>
    <w:link w:val="Heading8Char"/>
    <w:qFormat/>
    <w:rsid w:val="00FD7BE3"/>
    <w:pPr>
      <w:ind w:left="720"/>
      <w:outlineLvl w:val="7"/>
    </w:pPr>
    <w:rPr>
      <w:i/>
    </w:rPr>
  </w:style>
  <w:style w:type="paragraph" w:styleId="Heading9">
    <w:name w:val="heading 9"/>
    <w:basedOn w:val="Normal"/>
    <w:next w:val="Normal"/>
    <w:link w:val="Heading9Char"/>
    <w:qFormat/>
    <w:rsid w:val="00FD7BE3"/>
    <w:pPr>
      <w:ind w:left="720"/>
      <w:outlineLvl w:val="8"/>
    </w:pPr>
    <w:rPr>
      <w:i/>
    </w:rPr>
  </w:style>
  <w:style w:type="character" w:default="1" w:styleId="DefaultParagraphFont">
    <w:name w:val="Default Paragraph Font"/>
    <w:uiPriority w:val="1"/>
    <w:unhideWhenUsed/>
    <w:rsid w:val="00FD7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BE3"/>
  </w:style>
  <w:style w:type="character" w:customStyle="1" w:styleId="Heading1Char">
    <w:name w:val="Heading 1 Char"/>
    <w:basedOn w:val="DefaultParagraphFont"/>
    <w:link w:val="Heading1"/>
    <w:rsid w:val="00FD7BE3"/>
    <w:rPr>
      <w:rFonts w:ascii="Times New Roman" w:eastAsia="Times New Roman" w:hAnsi="Times New Roman" w:cs="Times New Roman"/>
      <w:b/>
      <w:sz w:val="32"/>
      <w:szCs w:val="20"/>
      <w:lang w:eastAsia="en-US"/>
    </w:rPr>
  </w:style>
  <w:style w:type="paragraph" w:styleId="BodyText">
    <w:name w:val="Body Text"/>
    <w:basedOn w:val="Normal"/>
    <w:link w:val="BodyTextChar"/>
    <w:rsid w:val="00FD7B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BE3"/>
    <w:rPr>
      <w:rFonts w:ascii="Times New Roman" w:eastAsia="Times New Roman" w:hAnsi="Times New Roman" w:cs="Times New Roman"/>
      <w:sz w:val="24"/>
      <w:lang w:eastAsia="en-US"/>
    </w:rPr>
  </w:style>
  <w:style w:type="paragraph" w:styleId="ListBullet">
    <w:name w:val="List Bullet"/>
    <w:basedOn w:val="List"/>
    <w:rsid w:val="00FD7BE3"/>
    <w:pPr>
      <w:numPr>
        <w:numId w:val="13"/>
      </w:numPr>
      <w:tabs>
        <w:tab w:val="clear" w:pos="340"/>
      </w:tabs>
      <w:spacing w:before="40" w:after="40"/>
    </w:pPr>
  </w:style>
  <w:style w:type="paragraph" w:styleId="ListBullet2">
    <w:name w:val="List Bullet 2"/>
    <w:basedOn w:val="List2"/>
    <w:rsid w:val="00FD7BE3"/>
    <w:pPr>
      <w:numPr>
        <w:numId w:val="14"/>
      </w:numPr>
      <w:tabs>
        <w:tab w:val="clear" w:pos="680"/>
      </w:tabs>
    </w:pPr>
  </w:style>
  <w:style w:type="paragraph" w:customStyle="1" w:styleId="SuperHeading">
    <w:name w:val="SuperHeading"/>
    <w:basedOn w:val="Normal"/>
    <w:rsid w:val="00FD7BE3"/>
    <w:pPr>
      <w:spacing w:before="240" w:after="120"/>
      <w:outlineLvl w:val="0"/>
    </w:pPr>
    <w:rPr>
      <w:rFonts w:ascii="Times New Roman" w:hAnsi="Times New Roman"/>
      <w:b/>
      <w:sz w:val="32"/>
    </w:rPr>
  </w:style>
  <w:style w:type="paragraph" w:customStyle="1" w:styleId="AllowPageBreak">
    <w:name w:val="AllowPageBreak"/>
    <w:rsid w:val="00FD7B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7BE3"/>
    <w:pPr>
      <w:numPr>
        <w:numId w:val="3"/>
      </w:numPr>
      <w:tabs>
        <w:tab w:val="clear" w:pos="1021"/>
      </w:tabs>
      <w:ind w:left="1037" w:hanging="357"/>
    </w:pPr>
  </w:style>
  <w:style w:type="character" w:customStyle="1" w:styleId="Heading2Char">
    <w:name w:val="Heading 2 Char"/>
    <w:basedOn w:val="DefaultParagraphFont"/>
    <w:link w:val="Heading2"/>
    <w:rsid w:val="00FD7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B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B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BE3"/>
    <w:rPr>
      <w:rFonts w:ascii="Courier New" w:eastAsia="Times New Roman" w:hAnsi="Courier New" w:cs="Times New Roman"/>
      <w:i/>
      <w:szCs w:val="20"/>
      <w:lang w:eastAsia="en-US"/>
    </w:rPr>
  </w:style>
  <w:style w:type="paragraph" w:customStyle="1" w:styleId="HeadingBase">
    <w:name w:val="Heading Base"/>
    <w:rsid w:val="00FD7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BE3"/>
    <w:pPr>
      <w:tabs>
        <w:tab w:val="right" w:leader="dot" w:pos="9072"/>
      </w:tabs>
      <w:ind w:left="567"/>
    </w:pPr>
    <w:rPr>
      <w:szCs w:val="22"/>
    </w:rPr>
  </w:style>
  <w:style w:type="paragraph" w:customStyle="1" w:styleId="TOCBase">
    <w:name w:val="TOC Base"/>
    <w:rsid w:val="00FD7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BE3"/>
    <w:pPr>
      <w:tabs>
        <w:tab w:val="right" w:leader="dot" w:pos="9072"/>
      </w:tabs>
      <w:spacing w:before="40" w:after="40"/>
      <w:ind w:left="284"/>
    </w:pPr>
    <w:rPr>
      <w:rFonts w:ascii="Times New Roman" w:hAnsi="Times New Roman"/>
    </w:rPr>
  </w:style>
  <w:style w:type="paragraph" w:styleId="TOC1">
    <w:name w:val="toc 1"/>
    <w:basedOn w:val="TOCBase"/>
    <w:next w:val="Normal"/>
    <w:rsid w:val="00FD7B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BE3"/>
    <w:rPr>
      <w:rFonts w:ascii="Times New Roman" w:eastAsia="Times New Roman" w:hAnsi="Times New Roman" w:cs="Times New Roman"/>
      <w:sz w:val="16"/>
      <w:lang w:eastAsia="en-US"/>
    </w:rPr>
  </w:style>
  <w:style w:type="paragraph" w:styleId="Title">
    <w:name w:val="Title"/>
    <w:basedOn w:val="HeadingBase"/>
    <w:link w:val="TitleChar"/>
    <w:qFormat/>
    <w:rsid w:val="00FD7BE3"/>
    <w:pPr>
      <w:spacing w:before="5040"/>
      <w:jc w:val="center"/>
    </w:pPr>
    <w:rPr>
      <w:sz w:val="48"/>
      <w:szCs w:val="72"/>
      <w:lang w:val="en-US"/>
    </w:rPr>
  </w:style>
  <w:style w:type="character" w:customStyle="1" w:styleId="TitleChar">
    <w:name w:val="Title Char"/>
    <w:basedOn w:val="DefaultParagraphFont"/>
    <w:link w:val="Title"/>
    <w:rsid w:val="00FD7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BE3"/>
    <w:pPr>
      <w:tabs>
        <w:tab w:val="left" w:pos="3600"/>
        <w:tab w:val="left" w:pos="3958"/>
      </w:tabs>
    </w:pPr>
  </w:style>
  <w:style w:type="paragraph" w:styleId="List">
    <w:name w:val="List"/>
    <w:basedOn w:val="BodyText"/>
    <w:next w:val="BodyText"/>
    <w:rsid w:val="00FD7BE3"/>
    <w:pPr>
      <w:tabs>
        <w:tab w:val="left" w:pos="340"/>
      </w:tabs>
      <w:spacing w:before="60" w:after="60"/>
      <w:ind w:left="340" w:hanging="340"/>
    </w:pPr>
  </w:style>
  <w:style w:type="paragraph" w:customStyle="1" w:styleId="Note">
    <w:name w:val="Note"/>
    <w:basedOn w:val="BodyText"/>
    <w:rsid w:val="00FD7B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7BE3"/>
    <w:rPr>
      <w:b/>
      <w:spacing w:val="0"/>
    </w:rPr>
  </w:style>
  <w:style w:type="paragraph" w:customStyle="1" w:styleId="SuperTitle">
    <w:name w:val="SuperTitle"/>
    <w:basedOn w:val="Title"/>
    <w:rsid w:val="00FD7BE3"/>
    <w:pPr>
      <w:framePr w:wrap="auto" w:hAnchor="text" w:y="6049"/>
    </w:pPr>
    <w:rPr>
      <w:color w:val="000000"/>
      <w:sz w:val="40"/>
    </w:rPr>
  </w:style>
  <w:style w:type="paragraph" w:customStyle="1" w:styleId="TOCTitle">
    <w:name w:val="TOCTitle"/>
    <w:basedOn w:val="Heading1"/>
    <w:rsid w:val="00FD7BE3"/>
    <w:pPr>
      <w:spacing w:after="240"/>
      <w:jc w:val="center"/>
      <w:outlineLvl w:val="9"/>
    </w:pPr>
    <w:rPr>
      <w:caps/>
    </w:rPr>
  </w:style>
  <w:style w:type="paragraph" w:customStyle="1" w:styleId="Version">
    <w:name w:val="Version"/>
    <w:rsid w:val="00FD7B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BE3"/>
    <w:pPr>
      <w:keepNext w:val="0"/>
      <w:tabs>
        <w:tab w:val="right" w:pos="4176"/>
      </w:tabs>
      <w:ind w:left="198" w:hanging="198"/>
    </w:pPr>
    <w:rPr>
      <w:rFonts w:ascii="Garamond" w:hAnsi="Garamond"/>
    </w:rPr>
  </w:style>
  <w:style w:type="paragraph" w:styleId="IndexHeading">
    <w:name w:val="index heading"/>
    <w:basedOn w:val="Normal"/>
    <w:next w:val="Index1"/>
    <w:semiHidden/>
    <w:rsid w:val="00FD7BE3"/>
    <w:pPr>
      <w:spacing w:before="120" w:after="120"/>
    </w:pPr>
    <w:rPr>
      <w:rFonts w:ascii="Arial" w:hAnsi="Arial"/>
      <w:b/>
      <w:color w:val="918585"/>
      <w:sz w:val="24"/>
    </w:rPr>
  </w:style>
  <w:style w:type="paragraph" w:styleId="Header">
    <w:name w:val="header"/>
    <w:basedOn w:val="Normal"/>
    <w:link w:val="HeaderChar"/>
    <w:rsid w:val="00FD7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BE3"/>
    <w:rPr>
      <w:rFonts w:ascii="Times New Roman" w:eastAsia="Times New Roman" w:hAnsi="Times New Roman" w:cs="Times New Roman"/>
      <w:sz w:val="16"/>
      <w:szCs w:val="20"/>
      <w:lang w:val="en-GB" w:eastAsia="en-US"/>
    </w:rPr>
  </w:style>
  <w:style w:type="paragraph" w:customStyle="1" w:styleId="Chapter">
    <w:name w:val="Chapter"/>
    <w:basedOn w:val="Normal"/>
    <w:rsid w:val="00FD7BE3"/>
    <w:pPr>
      <w:spacing w:before="240"/>
    </w:pPr>
    <w:rPr>
      <w:rFonts w:ascii="Times New Roman" w:hAnsi="Times New Roman"/>
      <w:smallCaps/>
      <w:spacing w:val="80"/>
      <w:sz w:val="28"/>
    </w:rPr>
  </w:style>
  <w:style w:type="paragraph" w:customStyle="1" w:styleId="InChapter">
    <w:name w:val="InChapter"/>
    <w:basedOn w:val="Heading3"/>
    <w:rsid w:val="00FD7BE3"/>
    <w:pPr>
      <w:spacing w:after="240"/>
      <w:outlineLvl w:val="9"/>
    </w:pPr>
    <w:rPr>
      <w:noProof/>
    </w:rPr>
  </w:style>
  <w:style w:type="paragraph" w:styleId="Index2">
    <w:name w:val="index 2"/>
    <w:basedOn w:val="Normal"/>
    <w:next w:val="Normal"/>
    <w:semiHidden/>
    <w:rsid w:val="00FD7BE3"/>
    <w:pPr>
      <w:tabs>
        <w:tab w:val="right" w:pos="4176"/>
      </w:tabs>
      <w:ind w:left="568" w:hanging="284"/>
    </w:pPr>
    <w:rPr>
      <w:rFonts w:ascii="Garamond" w:hAnsi="Garamond"/>
    </w:rPr>
  </w:style>
  <w:style w:type="paragraph" w:customStyle="1" w:styleId="Byline">
    <w:name w:val="Byline"/>
    <w:rsid w:val="00FD7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BE3"/>
    <w:pPr>
      <w:tabs>
        <w:tab w:val="clear" w:pos="3600"/>
        <w:tab w:val="clear" w:pos="3958"/>
      </w:tabs>
      <w:jc w:val="right"/>
    </w:pPr>
  </w:style>
  <w:style w:type="character" w:styleId="Emphasis">
    <w:name w:val="Emphasis"/>
    <w:basedOn w:val="DefaultParagraphFont"/>
    <w:qFormat/>
    <w:rsid w:val="00FD7BE3"/>
    <w:rPr>
      <w:i/>
    </w:rPr>
  </w:style>
  <w:style w:type="paragraph" w:styleId="Caption">
    <w:name w:val="caption"/>
    <w:basedOn w:val="BodyText"/>
    <w:next w:val="Normal"/>
    <w:qFormat/>
    <w:rsid w:val="00FD7BE3"/>
    <w:pPr>
      <w:framePr w:w="2268" w:hSpace="181" w:vSpace="181" w:wrap="around" w:vAnchor="text" w:hAnchor="page" w:x="1135" w:y="285" w:anchorLock="1"/>
    </w:pPr>
    <w:rPr>
      <w:i/>
    </w:rPr>
  </w:style>
  <w:style w:type="paragraph" w:customStyle="1" w:styleId="MiniTOCTitle">
    <w:name w:val="MiniTOCTitle"/>
    <w:basedOn w:val="Heading4"/>
    <w:rsid w:val="00FD7BE3"/>
    <w:pPr>
      <w:spacing w:before="240"/>
      <w:outlineLvl w:val="9"/>
    </w:pPr>
    <w:rPr>
      <w:noProof/>
      <w:sz w:val="24"/>
    </w:rPr>
  </w:style>
  <w:style w:type="paragraph" w:customStyle="1" w:styleId="MiniTOCItem">
    <w:name w:val="MiniTOCItem"/>
    <w:basedOn w:val="ListBullet"/>
    <w:rsid w:val="00FD7BE3"/>
    <w:pPr>
      <w:numPr>
        <w:numId w:val="0"/>
      </w:numPr>
      <w:tabs>
        <w:tab w:val="right" w:leader="dot" w:pos="6521"/>
      </w:tabs>
      <w:spacing w:before="0" w:after="0"/>
    </w:pPr>
  </w:style>
  <w:style w:type="paragraph" w:customStyle="1" w:styleId="TOFTitle">
    <w:name w:val="TOFTitle"/>
    <w:basedOn w:val="TOCTitle"/>
    <w:rsid w:val="00FD7BE3"/>
  </w:style>
  <w:style w:type="paragraph" w:styleId="TableofFigures">
    <w:name w:val="table of figures"/>
    <w:basedOn w:val="Normal"/>
    <w:next w:val="Normal"/>
    <w:semiHidden/>
    <w:rsid w:val="00FD7BE3"/>
    <w:pPr>
      <w:tabs>
        <w:tab w:val="right" w:leader="dot" w:pos="9072"/>
      </w:tabs>
      <w:ind w:left="970" w:hanging="403"/>
    </w:pPr>
    <w:rPr>
      <w:rFonts w:ascii="Times New Roman" w:hAnsi="Times New Roman"/>
      <w:b/>
    </w:rPr>
  </w:style>
  <w:style w:type="paragraph" w:styleId="ListNumber">
    <w:name w:val="List Number"/>
    <w:basedOn w:val="List"/>
    <w:rsid w:val="00FD7BE3"/>
    <w:pPr>
      <w:numPr>
        <w:numId w:val="16"/>
      </w:numPr>
      <w:tabs>
        <w:tab w:val="clear" w:pos="340"/>
      </w:tabs>
    </w:pPr>
  </w:style>
  <w:style w:type="character" w:customStyle="1" w:styleId="WingdingSymbols">
    <w:name w:val="Wingding Symbols"/>
    <w:rsid w:val="00FD7BE3"/>
    <w:rPr>
      <w:rFonts w:ascii="Wingdings" w:hAnsi="Wingdings"/>
    </w:rPr>
  </w:style>
  <w:style w:type="paragraph" w:customStyle="1" w:styleId="TableHeading">
    <w:name w:val="Table Heading"/>
    <w:basedOn w:val="HeadingBase"/>
    <w:rsid w:val="00FD7BE3"/>
    <w:pPr>
      <w:keepLines/>
      <w:pBdr>
        <w:bottom w:val="single" w:sz="6" w:space="1" w:color="918585"/>
      </w:pBdr>
      <w:spacing w:before="240"/>
    </w:pPr>
  </w:style>
  <w:style w:type="character" w:customStyle="1" w:styleId="HotSpot">
    <w:name w:val="HotSpot"/>
    <w:rsid w:val="00FD7BE3"/>
    <w:rPr>
      <w:color w:val="0033CC"/>
      <w:u w:val="none"/>
    </w:rPr>
  </w:style>
  <w:style w:type="paragraph" w:customStyle="1" w:styleId="BodyTextRight">
    <w:name w:val="Body Text Right"/>
    <w:basedOn w:val="BodyText"/>
    <w:rsid w:val="00FD7BE3"/>
    <w:pPr>
      <w:spacing w:before="0" w:after="0"/>
      <w:jc w:val="right"/>
    </w:pPr>
  </w:style>
  <w:style w:type="paragraph" w:styleId="Index3">
    <w:name w:val="index 3"/>
    <w:basedOn w:val="ListNumber2"/>
    <w:next w:val="Normal"/>
    <w:semiHidden/>
    <w:rsid w:val="00FD7BE3"/>
    <w:pPr>
      <w:numPr>
        <w:numId w:val="0"/>
      </w:numPr>
      <w:tabs>
        <w:tab w:val="right" w:leader="dot" w:pos="4176"/>
      </w:tabs>
    </w:pPr>
  </w:style>
  <w:style w:type="paragraph" w:styleId="ListNumber2">
    <w:name w:val="List Number 2"/>
    <w:basedOn w:val="List2"/>
    <w:rsid w:val="00FD7BE3"/>
    <w:pPr>
      <w:numPr>
        <w:numId w:val="11"/>
      </w:numPr>
      <w:tabs>
        <w:tab w:val="clear" w:pos="1060"/>
      </w:tabs>
    </w:pPr>
  </w:style>
  <w:style w:type="paragraph" w:customStyle="1" w:styleId="MarginNote">
    <w:name w:val="Margin Note"/>
    <w:basedOn w:val="BodyText"/>
    <w:rsid w:val="00FD7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B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BE3"/>
    <w:rPr>
      <w:sz w:val="32"/>
    </w:rPr>
  </w:style>
  <w:style w:type="paragraph" w:customStyle="1" w:styleId="HeadingProcedure">
    <w:name w:val="Heading Procedure"/>
    <w:basedOn w:val="HeadingBase"/>
    <w:next w:val="Normal"/>
    <w:rsid w:val="00FD7BE3"/>
    <w:pPr>
      <w:tabs>
        <w:tab w:val="left" w:pos="0"/>
      </w:tabs>
      <w:spacing w:before="120" w:after="60"/>
    </w:pPr>
    <w:rPr>
      <w:i/>
      <w:color w:val="918585"/>
      <w:sz w:val="22"/>
    </w:rPr>
  </w:style>
  <w:style w:type="paragraph" w:customStyle="1" w:styleId="TableBodyText">
    <w:name w:val="Table Body Text"/>
    <w:basedOn w:val="BodyText"/>
    <w:rsid w:val="00FD7BE3"/>
    <w:pPr>
      <w:spacing w:before="60" w:after="60"/>
    </w:pPr>
  </w:style>
  <w:style w:type="paragraph" w:styleId="ListContinue">
    <w:name w:val="List Continue"/>
    <w:basedOn w:val="List"/>
    <w:rsid w:val="00FD7BE3"/>
    <w:pPr>
      <w:ind w:firstLine="0"/>
    </w:pPr>
  </w:style>
  <w:style w:type="paragraph" w:customStyle="1" w:styleId="ListNote">
    <w:name w:val="List Note"/>
    <w:basedOn w:val="List"/>
    <w:rsid w:val="00FD7BE3"/>
    <w:pPr>
      <w:pBdr>
        <w:top w:val="single" w:sz="6" w:space="2" w:color="918585"/>
        <w:bottom w:val="single" w:sz="6" w:space="2" w:color="918585"/>
      </w:pBdr>
      <w:tabs>
        <w:tab w:val="left" w:pos="1021"/>
      </w:tabs>
      <w:ind w:firstLine="0"/>
    </w:pPr>
  </w:style>
  <w:style w:type="paragraph" w:customStyle="1" w:styleId="Warning">
    <w:name w:val="Warning"/>
    <w:basedOn w:val="BodyText"/>
    <w:rsid w:val="00FD7BE3"/>
    <w:pPr>
      <w:shd w:val="clear" w:color="auto" w:fill="D9D9D9"/>
      <w:tabs>
        <w:tab w:val="left" w:pos="992"/>
      </w:tabs>
      <w:ind w:left="119" w:right="119"/>
    </w:pPr>
    <w:rPr>
      <w:sz w:val="20"/>
    </w:rPr>
  </w:style>
  <w:style w:type="paragraph" w:customStyle="1" w:styleId="MarginIcons">
    <w:name w:val="Margin Icons"/>
    <w:basedOn w:val="BodyText"/>
    <w:rsid w:val="00FD7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BE3"/>
    <w:rPr>
      <w:rFonts w:ascii="Courier New" w:hAnsi="Courier New"/>
    </w:rPr>
  </w:style>
  <w:style w:type="paragraph" w:customStyle="1" w:styleId="NoteBullet">
    <w:name w:val="Note Bullet"/>
    <w:basedOn w:val="Note"/>
    <w:rsid w:val="00FD7BE3"/>
    <w:pPr>
      <w:tabs>
        <w:tab w:val="clear" w:pos="680"/>
      </w:tabs>
      <w:spacing w:before="60" w:after="60"/>
    </w:pPr>
  </w:style>
  <w:style w:type="paragraph" w:customStyle="1" w:styleId="SubHeading2">
    <w:name w:val="SubHeading2"/>
    <w:basedOn w:val="HeadingBase"/>
    <w:rsid w:val="00FD7BE3"/>
    <w:pPr>
      <w:spacing w:before="240" w:after="60"/>
    </w:pPr>
    <w:rPr>
      <w:sz w:val="20"/>
    </w:rPr>
  </w:style>
  <w:style w:type="paragraph" w:customStyle="1" w:styleId="SubHeading1">
    <w:name w:val="SubHeading1"/>
    <w:basedOn w:val="HeadingBase"/>
    <w:rsid w:val="00FD7BE3"/>
    <w:pPr>
      <w:spacing w:before="240" w:after="60"/>
    </w:pPr>
    <w:rPr>
      <w:color w:val="918585"/>
      <w:sz w:val="22"/>
    </w:rPr>
  </w:style>
  <w:style w:type="paragraph" w:customStyle="1" w:styleId="SideHeading">
    <w:name w:val="Side Heading"/>
    <w:basedOn w:val="HeadingBase"/>
    <w:rsid w:val="00FD7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BE3"/>
    <w:pPr>
      <w:numPr>
        <w:numId w:val="12"/>
      </w:numPr>
    </w:pPr>
  </w:style>
  <w:style w:type="paragraph" w:styleId="PlainText">
    <w:name w:val="Plain Text"/>
    <w:basedOn w:val="Normal"/>
    <w:link w:val="PlainTextChar"/>
    <w:rsid w:val="00FD7BE3"/>
    <w:rPr>
      <w:sz w:val="20"/>
    </w:rPr>
  </w:style>
  <w:style w:type="character" w:customStyle="1" w:styleId="PlainTextChar">
    <w:name w:val="Plain Text Char"/>
    <w:basedOn w:val="DefaultParagraphFont"/>
    <w:link w:val="PlainText"/>
    <w:rsid w:val="00FD7BE3"/>
    <w:rPr>
      <w:rFonts w:ascii="Courier New" w:eastAsia="Times New Roman" w:hAnsi="Courier New" w:cs="Times New Roman"/>
      <w:sz w:val="20"/>
      <w:szCs w:val="20"/>
      <w:lang w:eastAsia="en-US"/>
    </w:rPr>
  </w:style>
  <w:style w:type="character" w:customStyle="1" w:styleId="MenuOption">
    <w:name w:val="Menu Option"/>
    <w:basedOn w:val="DefaultParagraphFont"/>
    <w:rsid w:val="00FD7BE3"/>
    <w:rPr>
      <w:b/>
      <w:smallCaps/>
    </w:rPr>
  </w:style>
  <w:style w:type="paragraph" w:customStyle="1" w:styleId="TableListNumber">
    <w:name w:val="Table List Number"/>
    <w:basedOn w:val="ListNumber"/>
    <w:rsid w:val="00FD7BE3"/>
    <w:pPr>
      <w:numPr>
        <w:numId w:val="0"/>
      </w:numPr>
    </w:pPr>
  </w:style>
  <w:style w:type="paragraph" w:styleId="TOC4">
    <w:name w:val="toc 4"/>
    <w:basedOn w:val="TOCBase"/>
    <w:next w:val="Normal"/>
    <w:semiHidden/>
    <w:rsid w:val="00FD7BE3"/>
    <w:pPr>
      <w:tabs>
        <w:tab w:val="right" w:leader="dot" w:pos="9071"/>
      </w:tabs>
      <w:ind w:left="1701"/>
    </w:pPr>
  </w:style>
  <w:style w:type="paragraph" w:customStyle="1" w:styleId="ListAlpha">
    <w:name w:val="List Alpha"/>
    <w:basedOn w:val="List"/>
    <w:rsid w:val="00FD7BE3"/>
    <w:pPr>
      <w:numPr>
        <w:numId w:val="10"/>
      </w:numPr>
    </w:pPr>
  </w:style>
  <w:style w:type="paragraph" w:customStyle="1" w:styleId="ListAlpha2">
    <w:name w:val="List Alpha 2"/>
    <w:basedOn w:val="List2"/>
    <w:rsid w:val="00FD7BE3"/>
    <w:pPr>
      <w:numPr>
        <w:numId w:val="9"/>
      </w:numPr>
    </w:pPr>
  </w:style>
  <w:style w:type="paragraph" w:styleId="List2">
    <w:name w:val="List 2"/>
    <w:basedOn w:val="BodyText"/>
    <w:rsid w:val="00FD7BE3"/>
    <w:pPr>
      <w:tabs>
        <w:tab w:val="left" w:pos="680"/>
      </w:tabs>
      <w:spacing w:before="60" w:after="60"/>
      <w:ind w:left="680" w:hanging="340"/>
    </w:pPr>
  </w:style>
  <w:style w:type="paragraph" w:styleId="List3">
    <w:name w:val="List 3"/>
    <w:basedOn w:val="BodyText"/>
    <w:rsid w:val="00FD7BE3"/>
    <w:pPr>
      <w:tabs>
        <w:tab w:val="left" w:pos="1021"/>
      </w:tabs>
      <w:spacing w:before="60" w:after="60"/>
      <w:ind w:left="1020" w:hanging="340"/>
    </w:pPr>
  </w:style>
  <w:style w:type="paragraph" w:styleId="List4">
    <w:name w:val="List 4"/>
    <w:basedOn w:val="BodyText"/>
    <w:rsid w:val="00FD7BE3"/>
    <w:pPr>
      <w:tabs>
        <w:tab w:val="left" w:pos="1361"/>
      </w:tabs>
      <w:spacing w:before="60" w:after="60"/>
      <w:ind w:left="1361" w:hanging="340"/>
    </w:pPr>
  </w:style>
  <w:style w:type="paragraph" w:styleId="List5">
    <w:name w:val="List 5"/>
    <w:basedOn w:val="BodyText"/>
    <w:rsid w:val="00FD7BE3"/>
    <w:pPr>
      <w:tabs>
        <w:tab w:val="left" w:pos="1701"/>
      </w:tabs>
      <w:spacing w:before="60" w:after="60"/>
      <w:ind w:left="1701" w:hanging="340"/>
    </w:pPr>
  </w:style>
  <w:style w:type="paragraph" w:styleId="ListBullet4">
    <w:name w:val="List Bullet 4"/>
    <w:basedOn w:val="List4"/>
    <w:rsid w:val="00FD7BE3"/>
    <w:pPr>
      <w:numPr>
        <w:numId w:val="4"/>
      </w:numPr>
      <w:tabs>
        <w:tab w:val="clear" w:pos="1361"/>
      </w:tabs>
    </w:pPr>
  </w:style>
  <w:style w:type="paragraph" w:styleId="ListBullet5">
    <w:name w:val="List Bullet 5"/>
    <w:basedOn w:val="List5"/>
    <w:rsid w:val="00FD7BE3"/>
    <w:pPr>
      <w:numPr>
        <w:numId w:val="5"/>
      </w:numPr>
    </w:pPr>
  </w:style>
  <w:style w:type="paragraph" w:styleId="ListContinue2">
    <w:name w:val="List Continue 2"/>
    <w:basedOn w:val="List2"/>
    <w:rsid w:val="00FD7BE3"/>
    <w:pPr>
      <w:ind w:firstLine="0"/>
    </w:pPr>
  </w:style>
  <w:style w:type="paragraph" w:styleId="ListContinue3">
    <w:name w:val="List Continue 3"/>
    <w:basedOn w:val="List3"/>
    <w:rsid w:val="00FD7BE3"/>
    <w:pPr>
      <w:ind w:left="1021" w:firstLine="0"/>
    </w:pPr>
  </w:style>
  <w:style w:type="paragraph" w:styleId="ListContinue4">
    <w:name w:val="List Continue 4"/>
    <w:basedOn w:val="List4"/>
    <w:rsid w:val="00FD7BE3"/>
    <w:pPr>
      <w:ind w:firstLine="0"/>
    </w:pPr>
  </w:style>
  <w:style w:type="paragraph" w:styleId="ListContinue5">
    <w:name w:val="List Continue 5"/>
    <w:basedOn w:val="List5"/>
    <w:rsid w:val="00FD7BE3"/>
    <w:pPr>
      <w:ind w:firstLine="0"/>
    </w:pPr>
  </w:style>
  <w:style w:type="paragraph" w:styleId="ListNumber3">
    <w:name w:val="List Number 3"/>
    <w:basedOn w:val="List3"/>
    <w:rsid w:val="00FD7BE3"/>
    <w:pPr>
      <w:numPr>
        <w:numId w:val="6"/>
      </w:numPr>
    </w:pPr>
  </w:style>
  <w:style w:type="paragraph" w:styleId="ListNumber4">
    <w:name w:val="List Number 4"/>
    <w:basedOn w:val="List4"/>
    <w:rsid w:val="00FD7BE3"/>
    <w:pPr>
      <w:numPr>
        <w:numId w:val="7"/>
      </w:numPr>
    </w:pPr>
  </w:style>
  <w:style w:type="paragraph" w:styleId="ListNumber5">
    <w:name w:val="List Number 5"/>
    <w:basedOn w:val="List5"/>
    <w:rsid w:val="00FD7BE3"/>
    <w:pPr>
      <w:numPr>
        <w:numId w:val="8"/>
      </w:numPr>
    </w:pPr>
  </w:style>
  <w:style w:type="paragraph" w:styleId="BlockText">
    <w:name w:val="Block Text"/>
    <w:basedOn w:val="Normal"/>
    <w:rsid w:val="00FD7BE3"/>
    <w:pPr>
      <w:spacing w:after="120"/>
      <w:ind w:left="1440" w:right="1440"/>
    </w:pPr>
  </w:style>
  <w:style w:type="character" w:customStyle="1" w:styleId="Subscript">
    <w:name w:val="Subscript"/>
    <w:basedOn w:val="DefaultParagraphFont"/>
    <w:rsid w:val="00FD7BE3"/>
    <w:rPr>
      <w:sz w:val="16"/>
      <w:vertAlign w:val="subscript"/>
    </w:rPr>
  </w:style>
  <w:style w:type="character" w:customStyle="1" w:styleId="Superscript">
    <w:name w:val="Superscript"/>
    <w:basedOn w:val="DefaultParagraphFont"/>
    <w:rsid w:val="00FD7BE3"/>
    <w:rPr>
      <w:sz w:val="16"/>
      <w:vertAlign w:val="superscript"/>
    </w:rPr>
  </w:style>
  <w:style w:type="character" w:customStyle="1" w:styleId="Symbols">
    <w:name w:val="Symbols"/>
    <w:basedOn w:val="DefaultParagraphFont"/>
    <w:rsid w:val="00FD7BE3"/>
    <w:rPr>
      <w:rFonts w:ascii="Symbol" w:hAnsi="Symbol"/>
    </w:rPr>
  </w:style>
  <w:style w:type="character" w:customStyle="1" w:styleId="MenuOptions">
    <w:name w:val="Menu Options"/>
    <w:basedOn w:val="DefaultParagraphFont"/>
    <w:rsid w:val="00FD7BE3"/>
    <w:rPr>
      <w:rFonts w:ascii="Arial Narrow" w:hAnsi="Arial Narrow"/>
      <w:smallCaps/>
    </w:rPr>
  </w:style>
  <w:style w:type="character" w:customStyle="1" w:styleId="Buttons">
    <w:name w:val="Buttons"/>
    <w:basedOn w:val="DefaultParagraphFont"/>
    <w:rsid w:val="00FD7BE3"/>
    <w:rPr>
      <w:b/>
    </w:rPr>
  </w:style>
  <w:style w:type="character" w:customStyle="1" w:styleId="Underlined">
    <w:name w:val="Underlined"/>
    <w:basedOn w:val="DefaultParagraphFont"/>
    <w:rsid w:val="00FD7BE3"/>
    <w:rPr>
      <w:u w:val="single"/>
    </w:rPr>
  </w:style>
  <w:style w:type="paragraph" w:customStyle="1" w:styleId="TableBodyTextRight">
    <w:name w:val="Table Body Text Right"/>
    <w:basedOn w:val="TableBodyText"/>
    <w:rsid w:val="00FD7BE3"/>
    <w:pPr>
      <w:widowControl w:val="0"/>
      <w:autoSpaceDE w:val="0"/>
      <w:autoSpaceDN w:val="0"/>
      <w:adjustRightInd w:val="0"/>
      <w:jc w:val="right"/>
    </w:pPr>
    <w:rPr>
      <w:rFonts w:cs="Arial"/>
      <w:szCs w:val="18"/>
    </w:rPr>
  </w:style>
  <w:style w:type="paragraph" w:customStyle="1" w:styleId="CopyrightText">
    <w:name w:val="Copyright Text"/>
    <w:basedOn w:val="BodyText"/>
    <w:rsid w:val="00FD7BE3"/>
    <w:rPr>
      <w:sz w:val="18"/>
    </w:rPr>
  </w:style>
  <w:style w:type="paragraph" w:customStyle="1" w:styleId="BodySmallRight">
    <w:name w:val="Body Small Right"/>
    <w:basedOn w:val="BodyTextRight"/>
    <w:rsid w:val="00FD7BE3"/>
    <w:rPr>
      <w:sz w:val="18"/>
      <w:szCs w:val="18"/>
    </w:rPr>
  </w:style>
  <w:style w:type="paragraph" w:customStyle="1" w:styleId="MarginEdition">
    <w:name w:val="Margin Edition"/>
    <w:basedOn w:val="MarginNote"/>
    <w:rsid w:val="00FD7BE3"/>
    <w:pPr>
      <w:spacing w:before="0" w:after="0"/>
    </w:pPr>
    <w:rPr>
      <w:rFonts w:ascii="Times New Roman" w:hAnsi="Times New Roman"/>
      <w:color w:val="999999"/>
    </w:rPr>
  </w:style>
  <w:style w:type="paragraph" w:customStyle="1" w:styleId="Spacer">
    <w:name w:val="Spacer"/>
    <w:basedOn w:val="Normal"/>
    <w:rsid w:val="00FD7BE3"/>
    <w:rPr>
      <w:sz w:val="2"/>
      <w:szCs w:val="2"/>
    </w:rPr>
  </w:style>
  <w:style w:type="character" w:customStyle="1" w:styleId="Small">
    <w:name w:val="Small"/>
    <w:basedOn w:val="DefaultParagraphFont"/>
    <w:rsid w:val="00FD7BE3"/>
    <w:rPr>
      <w:sz w:val="16"/>
    </w:rPr>
  </w:style>
  <w:style w:type="paragraph" w:customStyle="1" w:styleId="WideTable">
    <w:name w:val="Wide Table"/>
    <w:basedOn w:val="Normal"/>
    <w:rsid w:val="00FD7BE3"/>
    <w:pPr>
      <w:ind w:left="-1418"/>
    </w:pPr>
    <w:rPr>
      <w:sz w:val="2"/>
      <w:szCs w:val="2"/>
    </w:rPr>
  </w:style>
  <w:style w:type="character" w:styleId="PageNumber">
    <w:name w:val="page number"/>
    <w:basedOn w:val="DefaultParagraphFont"/>
    <w:rsid w:val="00FD7BE3"/>
  </w:style>
  <w:style w:type="paragraph" w:styleId="Quote">
    <w:name w:val="Quote"/>
    <w:basedOn w:val="Heading1"/>
    <w:link w:val="QuoteChar"/>
    <w:qFormat/>
    <w:rsid w:val="00FD7BE3"/>
    <w:rPr>
      <w:b w:val="0"/>
      <w:sz w:val="72"/>
      <w:szCs w:val="72"/>
      <w:lang w:val="en-NZ"/>
    </w:rPr>
  </w:style>
  <w:style w:type="character" w:customStyle="1" w:styleId="QuoteChar">
    <w:name w:val="Quote Char"/>
    <w:basedOn w:val="DefaultParagraphFont"/>
    <w:link w:val="Quote"/>
    <w:rsid w:val="00FD7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BE3"/>
    <w:pPr>
      <w:pageBreakBefore/>
    </w:pPr>
  </w:style>
  <w:style w:type="paragraph" w:customStyle="1" w:styleId="Border">
    <w:name w:val="Border"/>
    <w:basedOn w:val="Normal"/>
    <w:qFormat/>
    <w:rsid w:val="00FD7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BE3"/>
    <w:rPr>
      <w:b/>
      <w:bCs/>
      <w:i/>
      <w:iCs/>
      <w:color w:val="auto"/>
    </w:rPr>
  </w:style>
  <w:style w:type="paragraph" w:styleId="IntenseQuote">
    <w:name w:val="Intense Quote"/>
    <w:basedOn w:val="Normal"/>
    <w:next w:val="Normal"/>
    <w:link w:val="IntenseQuoteChar"/>
    <w:uiPriority w:val="30"/>
    <w:qFormat/>
    <w:rsid w:val="00FD7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B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BE3"/>
    <w:rPr>
      <w:smallCaps/>
      <w:color w:val="auto"/>
      <w:u w:val="single"/>
    </w:rPr>
  </w:style>
  <w:style w:type="character" w:styleId="IntenseReference">
    <w:name w:val="Intense Reference"/>
    <w:basedOn w:val="DefaultParagraphFont"/>
    <w:uiPriority w:val="32"/>
    <w:qFormat/>
    <w:rsid w:val="00FD7BE3"/>
    <w:rPr>
      <w:b/>
      <w:bCs/>
      <w:smallCaps/>
      <w:color w:val="auto"/>
      <w:spacing w:val="5"/>
      <w:u w:val="single"/>
    </w:rPr>
  </w:style>
  <w:style w:type="paragraph" w:customStyle="1" w:styleId="2ColumnHeading">
    <w:name w:val="2Column Heading"/>
    <w:basedOn w:val="BodyText"/>
    <w:qFormat/>
    <w:rsid w:val="00FD7BE3"/>
    <w:pPr>
      <w:spacing w:after="60"/>
      <w:ind w:left="-2268"/>
    </w:pPr>
    <w:rPr>
      <w:b/>
    </w:rPr>
  </w:style>
  <w:style w:type="paragraph" w:customStyle="1" w:styleId="Heading1TOC">
    <w:name w:val="Heading1 TOC"/>
    <w:basedOn w:val="Normal"/>
    <w:qFormat/>
    <w:rsid w:val="00FD7BE3"/>
    <w:pPr>
      <w:spacing w:before="240" w:after="120"/>
    </w:pPr>
    <w:rPr>
      <w:rFonts w:ascii="Times New Roman" w:hAnsi="Times New Roman"/>
      <w:b/>
      <w:sz w:val="32"/>
    </w:rPr>
  </w:style>
  <w:style w:type="paragraph" w:customStyle="1" w:styleId="Heading2TOC">
    <w:name w:val="Heading2 TOC"/>
    <w:basedOn w:val="Normal"/>
    <w:qFormat/>
    <w:rsid w:val="00FD7BE3"/>
    <w:pPr>
      <w:spacing w:before="240" w:after="60"/>
    </w:pPr>
    <w:rPr>
      <w:rFonts w:ascii="Times New Roman" w:hAnsi="Times New Roman"/>
      <w:b/>
      <w:sz w:val="28"/>
    </w:rPr>
  </w:style>
  <w:style w:type="character" w:customStyle="1" w:styleId="Underline">
    <w:name w:val="Underline"/>
    <w:basedOn w:val="DefaultParagraphFont"/>
    <w:qFormat/>
    <w:rsid w:val="00FD7BE3"/>
    <w:rPr>
      <w:u w:val="single"/>
    </w:rPr>
  </w:style>
  <w:style w:type="character" w:customStyle="1" w:styleId="BoldandItalics">
    <w:name w:val="Bold and Italics"/>
    <w:qFormat/>
    <w:rsid w:val="00FD7BE3"/>
    <w:rPr>
      <w:b/>
      <w:i/>
      <w:u w:val="none"/>
    </w:rPr>
  </w:style>
  <w:style w:type="paragraph" w:styleId="BalloonText">
    <w:name w:val="Balloon Text"/>
    <w:basedOn w:val="Normal"/>
    <w:link w:val="BalloonTextChar"/>
    <w:rsid w:val="00FD7BE3"/>
    <w:rPr>
      <w:rFonts w:ascii="Tahoma" w:hAnsi="Tahoma" w:cs="Tahoma"/>
      <w:sz w:val="16"/>
      <w:szCs w:val="16"/>
    </w:rPr>
  </w:style>
  <w:style w:type="character" w:customStyle="1" w:styleId="BalloonTextChar">
    <w:name w:val="Balloon Text Char"/>
    <w:basedOn w:val="DefaultParagraphFont"/>
    <w:link w:val="BalloonText"/>
    <w:rsid w:val="00FD7B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B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B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BE3"/>
    <w:rPr>
      <w:b/>
      <w:color w:val="660033"/>
      <w:spacing w:val="0"/>
    </w:rPr>
  </w:style>
  <w:style w:type="paragraph" w:customStyle="1" w:styleId="Nameditemlist">
    <w:name w:val="Named item list"/>
    <w:basedOn w:val="BodyText"/>
    <w:qFormat/>
    <w:rsid w:val="00FD7BE3"/>
    <w:pPr>
      <w:tabs>
        <w:tab w:val="left" w:pos="2835"/>
      </w:tabs>
      <w:ind w:left="2835" w:hanging="2835"/>
    </w:pPr>
  </w:style>
  <w:style w:type="paragraph" w:customStyle="1" w:styleId="BodyTextnopadding">
    <w:name w:val="Body Text no padding"/>
    <w:basedOn w:val="BodyText"/>
    <w:qFormat/>
    <w:rsid w:val="00FD7BE3"/>
    <w:pPr>
      <w:spacing w:before="0" w:after="0"/>
    </w:pPr>
  </w:style>
  <w:style w:type="paragraph" w:customStyle="1" w:styleId="BodyTextBold">
    <w:name w:val="Body Text Bold"/>
    <w:basedOn w:val="BodyText"/>
    <w:qFormat/>
    <w:rsid w:val="00FD7BE3"/>
    <w:rPr>
      <w:b/>
    </w:rPr>
  </w:style>
  <w:style w:type="character" w:styleId="Hyperlink">
    <w:name w:val="Hyperlink"/>
    <w:basedOn w:val="DefaultParagraphFont"/>
    <w:uiPriority w:val="99"/>
    <w:unhideWhenUsed/>
    <w:rsid w:val="006920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1064</Words>
  <Characters>6759</Characters>
  <Application>Microsoft Office Word</Application>
  <DocSecurity>0</DocSecurity>
  <Lines>140</Lines>
  <Paragraphs>86</Paragraphs>
  <ScaleCrop>false</ScaleCrop>
  <Company>Author-it Software Corporation Ltd.</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MEA318 Inspect aircraft hydro-mechanical, mechanical, gaseous and landing gear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