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2429" w:rsidP="00752429">
      <w:pPr>
        <w:pStyle w:val="Title"/>
      </w:pPr>
      <w:r>
        <w:fldChar w:fldCharType="begin"/>
      </w:r>
      <w:r>
        <w:instrText xml:space="preserve"> TITLE   \* MERGEFORMAT </w:instrText>
      </w:r>
      <w:r>
        <w:fldChar w:fldCharType="separate"/>
      </w:r>
      <w:r>
        <w:t>MEA306 Remove and install engines and engine system components</w:t>
      </w:r>
      <w:r>
        <w:fldChar w:fldCharType="end"/>
      </w:r>
    </w:p>
    <w:p w:rsidR="00752429" w:rsidP="00752429">
      <w:pPr>
        <w:pStyle w:val="Version"/>
        <w:sectPr w:rsidSect="00AF31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F3100" w:rsidP="00AF3100">
      <w:pPr>
        <w:pStyle w:val="SuperHeading"/>
      </w:pPr>
      <w:r w:rsidRPr="00AF3100">
        <w:t>MEA306 Remove</w:t>
      </w:r>
      <w:r w:rsidRPr="00AF3100">
        <w:t xml:space="preserve"> and install engines and engine system components</w:t>
      </w:r>
    </w:p>
    <w:p w:rsidR="00000000" w:rsidRPr="00AF3100" w:rsidP="00AF3100">
      <w:pPr>
        <w:pStyle w:val="Heading1"/>
      </w:pPr>
      <w:bookmarkStart w:id="1" w:name="O_998482"/>
      <w:bookmarkEnd w:id="1"/>
      <w:r w:rsidRPr="00AF3100">
        <w:t>Modification History</w:t>
      </w:r>
    </w:p>
    <w:p w:rsidR="00000000" w:rsidRPr="00AF3100" w:rsidP="00752429">
      <w:pPr>
        <w:pStyle w:val="BodyText"/>
      </w:pPr>
      <w:r w:rsidRPr="00AF3100">
        <w:t>Release 2. Equivalent to MEA306 Remove and install engines and engine system components with amended prerequisite codes.</w:t>
      </w:r>
    </w:p>
    <w:p w:rsidR="00000000" w:rsidRPr="00AF3100" w:rsidP="00AF3100">
      <w:pPr>
        <w:pStyle w:val="Heading1"/>
      </w:pPr>
      <w:bookmarkStart w:id="2" w:name="O_998481"/>
      <w:bookmarkEnd w:id="2"/>
      <w:r w:rsidRPr="00AF3100">
        <w:t>Application</w:t>
      </w:r>
    </w:p>
    <w:p w:rsidR="00000000" w:rsidRPr="00AF3100" w:rsidP="00752429">
      <w:pPr>
        <w:pStyle w:val="BodyText"/>
      </w:pPr>
      <w:r w:rsidRPr="00AF3100">
        <w:t>This unit of competency requires application of hand skills and the use of maintenance publications to remove and install gas turbine or piston engines and engine system components of fixed and rotary wing aircraft during scheduled and unscheduled maintena</w:t>
      </w:r>
      <w:r w:rsidRPr="00AF3100">
        <w:t>nce.</w:t>
      </w:r>
    </w:p>
    <w:p w:rsidR="00000000" w:rsidRPr="00AF3100" w:rsidP="00752429">
      <w:pPr>
        <w:pStyle w:val="BodyText"/>
      </w:pPr>
      <w:r w:rsidRPr="00AF3100">
        <w:t>Work may be performed individually or as part of a team.</w:t>
      </w:r>
    </w:p>
    <w:p w:rsidR="00000000" w:rsidRPr="00AF3100" w:rsidP="00752429">
      <w:pPr>
        <w:pStyle w:val="BodyText"/>
      </w:pPr>
      <w:r w:rsidRPr="00AF3100">
        <w:t xml:space="preserve">The unit is part of the Mechanical Certificate IV (Aircraft Maintenance Stream) training pathway. </w:t>
      </w:r>
    </w:p>
    <w:p w:rsidR="00000000" w:rsidRPr="00AF3100" w:rsidP="00752429">
      <w:pPr>
        <w:pStyle w:val="BodyText"/>
      </w:pPr>
      <w:r w:rsidRPr="00AF3100">
        <w:t>The unit is used in workplaces that operate under the airworthiness regulatory systems of the</w:t>
      </w:r>
      <w:r w:rsidRPr="00AF3100">
        <w:t xml:space="preserve"> Australian Defence Force (ADF) and the Civil Aviation safety Authority (CASA). </w:t>
      </w:r>
    </w:p>
    <w:p w:rsidR="00000000" w:rsidRPr="00AF3100" w:rsidP="00752429">
      <w:pPr>
        <w:pStyle w:val="BodyText"/>
      </w:pPr>
      <w:r w:rsidRPr="00AF3100">
        <w:t>Where a CASA licensing outcome is sought this unit forms part of the CASA requirement for the granting of the chosen maintenance certification licence under Civil Aviation Sa</w:t>
      </w:r>
      <w:r w:rsidRPr="00AF3100">
        <w:t>fety Regulation (CASR) Part 66, in accordance with the licensing provisions in the Companion Volume Implementation Guide.</w:t>
      </w:r>
    </w:p>
    <w:p w:rsidR="00000000" w:rsidRPr="00AF3100" w:rsidP="00AF3100">
      <w:pPr>
        <w:pStyle w:val="Heading1"/>
      </w:pPr>
      <w:bookmarkStart w:id="3" w:name="O_998480"/>
      <w:bookmarkEnd w:id="3"/>
      <w:r w:rsidRPr="00AF3100">
        <w:t>Pre-requisite Unit</w:t>
      </w:r>
    </w:p>
    <w:tbl>
      <w:tblPr>
        <w:tblW w:w="0" w:type="auto"/>
        <w:tblLayout w:type="fixed"/>
        <w:tblCellMar>
          <w:left w:w="62" w:type="dxa"/>
          <w:right w:w="62" w:type="dxa"/>
        </w:tblCellMar>
        <w:tblLook w:val="0000"/>
      </w:tblPr>
      <w:tblGrid>
        <w:gridCol w:w="1781"/>
        <w:gridCol w:w="7402"/>
      </w:tblGrid>
      <w:tr w:rsidTr="00AF3100">
        <w:tblPrEx>
          <w:tblW w:w="0" w:type="auto"/>
          <w:tblLayout w:type="fixed"/>
          <w:tblCellMar>
            <w:left w:w="62" w:type="dxa"/>
            <w:right w:w="62" w:type="dxa"/>
          </w:tblCellMar>
          <w:tblLook w:val="0000"/>
        </w:tblPrEx>
        <w:tc>
          <w:tcPr>
            <w:tcW w:w="1781"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MEA107</w:t>
            </w:r>
          </w:p>
        </w:tc>
        <w:tc>
          <w:tcPr>
            <w:tcW w:w="7402"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Interpret and use aviation maintenance industry manuals and specifications</w:t>
            </w:r>
          </w:p>
        </w:tc>
      </w:tr>
      <w:tr w:rsidTr="00AF3100">
        <w:tblPrEx>
          <w:tblW w:w="0" w:type="auto"/>
          <w:tblLayout w:type="fixed"/>
          <w:tblCellMar>
            <w:left w:w="62" w:type="dxa"/>
            <w:right w:w="62" w:type="dxa"/>
          </w:tblCellMar>
          <w:tblLook w:val="0000"/>
        </w:tblPrEx>
        <w:tc>
          <w:tcPr>
            <w:tcW w:w="1781"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MEA154</w:t>
            </w:r>
          </w:p>
        </w:tc>
        <w:tc>
          <w:tcPr>
            <w:tcW w:w="7402"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Apply wo</w:t>
            </w:r>
            <w:r w:rsidRPr="00AF3100">
              <w:t>rk health and safety practices in aviation maintenance</w:t>
            </w:r>
          </w:p>
        </w:tc>
      </w:tr>
      <w:tr w:rsidTr="00AF3100">
        <w:tblPrEx>
          <w:tblW w:w="0" w:type="auto"/>
          <w:tblLayout w:type="fixed"/>
          <w:tblCellMar>
            <w:left w:w="62" w:type="dxa"/>
            <w:right w:w="62" w:type="dxa"/>
          </w:tblCellMar>
          <w:tblLook w:val="0000"/>
        </w:tblPrEx>
        <w:tc>
          <w:tcPr>
            <w:tcW w:w="1781"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MEA155</w:t>
            </w:r>
          </w:p>
        </w:tc>
        <w:tc>
          <w:tcPr>
            <w:tcW w:w="7402"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Plan and organise aviation maintenance work activities</w:t>
            </w:r>
          </w:p>
        </w:tc>
      </w:tr>
      <w:tr w:rsidTr="00AF3100">
        <w:tblPrEx>
          <w:tblW w:w="0" w:type="auto"/>
          <w:tblLayout w:type="fixed"/>
          <w:tblCellMar>
            <w:left w:w="62" w:type="dxa"/>
            <w:right w:w="62" w:type="dxa"/>
          </w:tblCellMar>
          <w:tblLook w:val="0000"/>
        </w:tblPrEx>
        <w:tc>
          <w:tcPr>
            <w:tcW w:w="1781"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MEA156</w:t>
            </w:r>
          </w:p>
        </w:tc>
        <w:tc>
          <w:tcPr>
            <w:tcW w:w="7402"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Apply quality standards during aviation maintenance activities</w:t>
            </w:r>
          </w:p>
        </w:tc>
      </w:tr>
      <w:tr w:rsidTr="00AF3100">
        <w:tblPrEx>
          <w:tblW w:w="0" w:type="auto"/>
          <w:tblLayout w:type="fixed"/>
          <w:tblCellMar>
            <w:left w:w="62" w:type="dxa"/>
            <w:right w:w="62" w:type="dxa"/>
          </w:tblCellMar>
          <w:tblLook w:val="0000"/>
        </w:tblPrEx>
        <w:tc>
          <w:tcPr>
            <w:tcW w:w="1781"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MEA157</w:t>
            </w:r>
          </w:p>
        </w:tc>
        <w:tc>
          <w:tcPr>
            <w:tcW w:w="7402"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Complete aviation maintenance industry documentation</w:t>
            </w:r>
          </w:p>
        </w:tc>
      </w:tr>
      <w:tr w:rsidTr="00AF3100">
        <w:tblPrEx>
          <w:tblW w:w="0" w:type="auto"/>
          <w:tblLayout w:type="fixed"/>
          <w:tblCellMar>
            <w:left w:w="62" w:type="dxa"/>
            <w:right w:w="62" w:type="dxa"/>
          </w:tblCellMar>
          <w:tblLook w:val="0000"/>
        </w:tblPrEx>
        <w:tc>
          <w:tcPr>
            <w:tcW w:w="1781"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MEA158</w:t>
            </w:r>
          </w:p>
        </w:tc>
        <w:tc>
          <w:tcPr>
            <w:tcW w:w="7402" w:type="dxa"/>
            <w:tcBorders>
              <w:top w:val="nil"/>
              <w:left w:val="nil"/>
              <w:bottom w:val="nil"/>
              <w:right w:val="nil"/>
            </w:tcBorders>
            <w:tcMar>
              <w:top w:w="0" w:type="dxa"/>
              <w:left w:w="62" w:type="dxa"/>
              <w:bottom w:w="0" w:type="dxa"/>
              <w:right w:w="62" w:type="dxa"/>
            </w:tcMar>
          </w:tcPr>
          <w:p w:rsidR="00000000" w:rsidRPr="00AF3100" w:rsidP="00AF3100">
            <w:pPr>
              <w:pStyle w:val="BodyText"/>
            </w:pPr>
            <w:r w:rsidRPr="00AF3100">
              <w:t>Perform basic hand skills, standard trade practices and fundamentals in aviation maintenance</w:t>
            </w:r>
          </w:p>
        </w:tc>
      </w:tr>
    </w:tbl>
    <w:p w:rsidR="00000000" w:rsidRPr="00AF3100" w:rsidP="00AF3100">
      <w:pPr>
        <w:pStyle w:val="BodyText"/>
      </w:pPr>
    </w:p>
    <w:p w:rsidR="00000000" w:rsidRPr="00AF3100" w:rsidP="00AF3100">
      <w:pPr>
        <w:pStyle w:val="AllowPageBreak"/>
      </w:pPr>
    </w:p>
    <w:p w:rsidR="00000000" w:rsidRPr="00AF3100" w:rsidP="00AF3100">
      <w:pPr>
        <w:pStyle w:val="Heading1"/>
      </w:pPr>
      <w:bookmarkStart w:id="4" w:name="O_998479"/>
      <w:bookmarkEnd w:id="4"/>
      <w:r w:rsidRPr="00AF3100">
        <w:t>Competency Field</w:t>
      </w:r>
    </w:p>
    <w:p w:rsidR="00000000" w:rsidRPr="00AF3100" w:rsidP="00752429">
      <w:pPr>
        <w:pStyle w:val="BodyText"/>
      </w:pPr>
      <w:r w:rsidRPr="00AF3100">
        <w:t>Aviation maintenance</w:t>
      </w:r>
    </w:p>
    <w:p w:rsidR="00000000" w:rsidRPr="00AF3100" w:rsidP="00AF3100">
      <w:pPr>
        <w:pStyle w:val="Heading1"/>
      </w:pPr>
      <w:bookmarkStart w:id="5" w:name="O_998478"/>
      <w:bookmarkEnd w:id="5"/>
      <w:r w:rsidRPr="00AF3100">
        <w:t>Unit Sector</w:t>
      </w:r>
    </w:p>
    <w:p w:rsidR="00000000" w:rsidRPr="00AF3100" w:rsidP="00AF3100">
      <w:pPr>
        <w:pStyle w:val="Heading1"/>
      </w:pPr>
      <w:bookmarkStart w:id="6" w:name="O_998477"/>
      <w:bookmarkEnd w:id="6"/>
      <w:r w:rsidRPr="00AF3100">
        <w:t>Elements and Performance Criteria</w:t>
      </w:r>
    </w:p>
    <w:tbl>
      <w:tblPr>
        <w:tblW w:w="9482" w:type="dxa"/>
        <w:tblLayout w:type="fixed"/>
        <w:tblCellMar>
          <w:left w:w="62" w:type="dxa"/>
          <w:right w:w="62" w:type="dxa"/>
        </w:tblCellMar>
        <w:tblLook w:val="0000"/>
      </w:tblPr>
      <w:tblGrid>
        <w:gridCol w:w="613"/>
        <w:gridCol w:w="2267"/>
        <w:gridCol w:w="720"/>
        <w:gridCol w:w="5882"/>
      </w:tblGrid>
      <w:tr w:rsidTr="00AF3100">
        <w:tblPrEx>
          <w:tblW w:w="9482"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Elements describe th</w:t>
            </w:r>
            <w:r w:rsidRPr="00AF3100">
              <w:t>e essential outcomes.</w:t>
            </w:r>
          </w:p>
        </w:tc>
        <w:tc>
          <w:tcPr>
            <w:tcW w:w="6602" w:type="dxa"/>
            <w:gridSpan w:val="2"/>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 xml:space="preserve">Performance criteria describe the performance needed to demonstrate achievement of the element. </w:t>
            </w:r>
          </w:p>
        </w:tc>
      </w:tr>
      <w:tr w:rsidTr="00AF3100">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1.</w:t>
            </w:r>
          </w:p>
        </w:tc>
        <w:tc>
          <w:tcPr>
            <w:tcW w:w="2267"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Remove engine</w:t>
            </w:r>
          </w:p>
        </w:tc>
        <w:tc>
          <w:tcPr>
            <w:tcW w:w="720"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1.1</w:t>
            </w:r>
          </w:p>
        </w:tc>
        <w:tc>
          <w:tcPr>
            <w:tcW w:w="5882"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Aircraft is prepared and supported and rendered safe in accordance with the applicable maintenance manual and isolation tags are fitted, where necessary, to ensure the safety of personnel and freedom from damage during engine removal</w:t>
            </w:r>
          </w:p>
        </w:tc>
      </w:tr>
      <w:tr w:rsidTr="00AF3100">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1.2</w:t>
            </w:r>
          </w:p>
        </w:tc>
        <w:tc>
          <w:tcPr>
            <w:tcW w:w="5882"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Removal is carr</w:t>
            </w:r>
            <w:r w:rsidRPr="00AF3100">
              <w:t>ied out in accordance with the applicable maintenance manual while observing all relevant work health and safety (WHS) requirements, including the use of material safety data sheets (MSDS) and items of personal protective equipment (PPE)</w:t>
            </w:r>
          </w:p>
        </w:tc>
      </w:tr>
      <w:tr w:rsidTr="00AF3100">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1.3</w:t>
            </w:r>
          </w:p>
        </w:tc>
        <w:tc>
          <w:tcPr>
            <w:tcW w:w="5882"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Engine is t</w:t>
            </w:r>
            <w:r w:rsidRPr="00AF3100">
              <w:t>agged and prepared for transport or storage in accordance with the specified procedures</w:t>
            </w:r>
          </w:p>
        </w:tc>
      </w:tr>
      <w:tr w:rsidTr="00AF3100">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1.4</w:t>
            </w:r>
          </w:p>
        </w:tc>
        <w:tc>
          <w:tcPr>
            <w:tcW w:w="5882"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Required maintenance documentation is completed and processed in accordance with standard enterprise procedures</w:t>
            </w:r>
          </w:p>
        </w:tc>
      </w:tr>
      <w:tr w:rsidTr="00AF3100">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2.</w:t>
            </w:r>
          </w:p>
        </w:tc>
        <w:tc>
          <w:tcPr>
            <w:tcW w:w="2267"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Remove engine system components</w:t>
            </w:r>
          </w:p>
        </w:tc>
        <w:tc>
          <w:tcPr>
            <w:tcW w:w="720"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2.1</w:t>
            </w:r>
          </w:p>
        </w:tc>
        <w:tc>
          <w:tcPr>
            <w:tcW w:w="5882"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Aircraft and/or engine system is prepared and rendered safe in accordance with the applicable maintenance manual and isolation tags are fitted, where necessary, to ensure the safety of personnel</w:t>
            </w:r>
          </w:p>
        </w:tc>
      </w:tr>
      <w:tr w:rsidTr="00AF3100">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2.2</w:t>
            </w:r>
          </w:p>
        </w:tc>
        <w:tc>
          <w:tcPr>
            <w:tcW w:w="5882"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Removal is carried out in accordance with the applicab</w:t>
            </w:r>
            <w:r w:rsidRPr="00AF3100">
              <w:t>le maintenance manual while observing all relevant WHS requirements, including the use of MSDS and items of PPE</w:t>
            </w:r>
          </w:p>
        </w:tc>
      </w:tr>
      <w:tr w:rsidTr="00AF3100">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2.3</w:t>
            </w:r>
          </w:p>
        </w:tc>
        <w:tc>
          <w:tcPr>
            <w:tcW w:w="5882"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Engine system component is tagged and prepared for transport or storage in accordance with the specified procedures</w:t>
            </w:r>
          </w:p>
        </w:tc>
      </w:tr>
      <w:tr w:rsidTr="00AF3100">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2.4</w:t>
            </w:r>
          </w:p>
        </w:tc>
        <w:tc>
          <w:tcPr>
            <w:tcW w:w="5882"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Required maintenance documentation is completed and processed in accordance with standard enterprise procedures</w:t>
            </w:r>
          </w:p>
        </w:tc>
      </w:tr>
      <w:tr w:rsidTr="00AF3100">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3.</w:t>
            </w:r>
          </w:p>
        </w:tc>
        <w:tc>
          <w:tcPr>
            <w:tcW w:w="2267"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Install engine</w:t>
            </w:r>
          </w:p>
        </w:tc>
        <w:tc>
          <w:tcPr>
            <w:tcW w:w="720"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3.1</w:t>
            </w:r>
          </w:p>
        </w:tc>
        <w:tc>
          <w:tcPr>
            <w:tcW w:w="5882"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 xml:space="preserve">Engine to be installed is checked to confirm correct part or </w:t>
            </w:r>
            <w:r w:rsidRPr="00AF3100">
              <w:t>model numbers, modification status and serviceability</w:t>
            </w:r>
          </w:p>
        </w:tc>
      </w:tr>
      <w:tr w:rsidTr="00AF3100">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3.2</w:t>
            </w:r>
          </w:p>
        </w:tc>
        <w:tc>
          <w:tcPr>
            <w:tcW w:w="5882"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Installation is carried out in accordance with the applicable maintenance manual</w:t>
            </w:r>
          </w:p>
        </w:tc>
      </w:tr>
      <w:tr w:rsidTr="00AF3100">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3.3</w:t>
            </w:r>
          </w:p>
        </w:tc>
        <w:tc>
          <w:tcPr>
            <w:tcW w:w="5882"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Support/safety equipment is removed at the appropriate time to ensure personnel safety and freedom from structural damage</w:t>
            </w:r>
          </w:p>
        </w:tc>
      </w:tr>
      <w:tr w:rsidTr="00AF3100">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3.4</w:t>
            </w:r>
          </w:p>
        </w:tc>
        <w:tc>
          <w:tcPr>
            <w:tcW w:w="5882"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Required maintenance documentation is completed and processed in accordance with standard enterprise procedures</w:t>
            </w:r>
          </w:p>
        </w:tc>
      </w:tr>
      <w:tr w:rsidTr="00AF3100">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4.</w:t>
            </w:r>
          </w:p>
        </w:tc>
        <w:tc>
          <w:tcPr>
            <w:tcW w:w="2267"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Install engine system components</w:t>
            </w:r>
          </w:p>
        </w:tc>
        <w:tc>
          <w:tcPr>
            <w:tcW w:w="720"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4.1</w:t>
            </w:r>
          </w:p>
        </w:tc>
        <w:tc>
          <w:tcPr>
            <w:tcW w:w="5882"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Engine components to be installed are checked to confirm correct part or model numbers, modification st</w:t>
            </w:r>
            <w:r w:rsidRPr="00AF3100">
              <w:t>atus and serviceability</w:t>
            </w:r>
          </w:p>
        </w:tc>
      </w:tr>
      <w:tr w:rsidTr="00AF3100">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4.2</w:t>
            </w:r>
          </w:p>
        </w:tc>
        <w:tc>
          <w:tcPr>
            <w:tcW w:w="5882"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Installation is carried out in accordance with the applicable maintenance manual while observing all relevant WHS requirements, including the use of MSDS and items of PPE</w:t>
            </w:r>
          </w:p>
        </w:tc>
      </w:tr>
      <w:tr w:rsidTr="00AF3100">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4.3</w:t>
            </w:r>
          </w:p>
        </w:tc>
        <w:tc>
          <w:tcPr>
            <w:tcW w:w="5882"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Support/safety equipment is removed at the appr</w:t>
            </w:r>
            <w:r w:rsidRPr="00AF3100">
              <w:t>opriate time to ensure personnel safety and freedom from structural damage</w:t>
            </w:r>
          </w:p>
        </w:tc>
      </w:tr>
      <w:tr w:rsidTr="00AF3100">
        <w:tblPrEx>
          <w:tblW w:w="9482" w:type="dxa"/>
          <w:tblLayout w:type="fixed"/>
          <w:tblCellMar>
            <w:left w:w="62" w:type="dxa"/>
            <w:right w:w="62" w:type="dxa"/>
          </w:tblCellMar>
          <w:tblLook w:val="0000"/>
        </w:tblPrEx>
        <w:tc>
          <w:tcPr>
            <w:tcW w:w="61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26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4.4</w:t>
            </w:r>
          </w:p>
        </w:tc>
        <w:tc>
          <w:tcPr>
            <w:tcW w:w="5882" w:type="dxa"/>
            <w:tcBorders>
              <w:top w:val="nil"/>
              <w:left w:val="nil"/>
              <w:bottom w:val="nil"/>
              <w:right w:val="nil"/>
            </w:tcBorders>
            <w:tcMar>
              <w:top w:w="0" w:type="dxa"/>
              <w:left w:w="62" w:type="dxa"/>
              <w:bottom w:w="0" w:type="dxa"/>
              <w:right w:w="62" w:type="dxa"/>
            </w:tcMar>
          </w:tcPr>
          <w:p w:rsidR="00000000" w:rsidRPr="00AF3100" w:rsidP="00AF3100">
            <w:pPr>
              <w:pStyle w:val="BodyText"/>
            </w:pPr>
            <w:r w:rsidRPr="00AF3100">
              <w:t>Required maintenance documentation is completed and processed in accordance with standard enterprise procedures</w:t>
            </w:r>
          </w:p>
        </w:tc>
      </w:tr>
    </w:tbl>
    <w:p w:rsidR="00000000" w:rsidRPr="00AF3100" w:rsidP="00AF3100">
      <w:pPr>
        <w:pStyle w:val="BodyText"/>
      </w:pPr>
    </w:p>
    <w:p w:rsidR="00000000" w:rsidRPr="00AF3100" w:rsidP="00AF3100">
      <w:pPr>
        <w:pStyle w:val="AllowPageBreak"/>
      </w:pPr>
    </w:p>
    <w:p w:rsidR="00000000" w:rsidRPr="00AF3100" w:rsidP="00AF3100">
      <w:pPr>
        <w:pStyle w:val="Heading1"/>
      </w:pPr>
      <w:bookmarkStart w:id="7" w:name="O_998476"/>
      <w:bookmarkEnd w:id="7"/>
      <w:r w:rsidRPr="00AF3100">
        <w:t>Foundation Skills</w:t>
      </w:r>
    </w:p>
    <w:p w:rsidR="00000000" w:rsidRPr="00AF3100" w:rsidP="00752429">
      <w:pPr>
        <w:pStyle w:val="BodyText"/>
      </w:pPr>
      <w:r w:rsidRPr="00AF3100">
        <w:t>Foundation skills essential to performance are explicit in the performance criteria of this unit of competency.</w:t>
      </w:r>
    </w:p>
    <w:p w:rsidR="00000000" w:rsidRPr="00AF3100" w:rsidP="00AF3100">
      <w:pPr>
        <w:pStyle w:val="Heading1"/>
      </w:pPr>
      <w:bookmarkStart w:id="8" w:name="O_998475"/>
      <w:bookmarkEnd w:id="8"/>
      <w:r w:rsidRPr="00AF3100">
        <w:t>Range of Conditions</w:t>
      </w:r>
    </w:p>
    <w:tbl>
      <w:tblPr>
        <w:tblW w:w="0" w:type="auto"/>
        <w:tblLayout w:type="fixed"/>
        <w:tblCellMar>
          <w:left w:w="62" w:type="dxa"/>
          <w:right w:w="62" w:type="dxa"/>
        </w:tblCellMar>
        <w:tblLook w:val="0000"/>
      </w:tblPr>
      <w:tblGrid>
        <w:gridCol w:w="3150"/>
        <w:gridCol w:w="5922"/>
      </w:tblGrid>
      <w:tr w:rsidTr="00AF310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t>This field allows for different work environments and conditions that may affect performance. Essential ope</w:t>
            </w:r>
            <w:r w:rsidRPr="00AF3100">
              <w:t>rating conditions that may be present (depending on the work situation, needs of the candidate, accessibility of the item, and local industry and regional contexts) are included.</w:t>
            </w:r>
          </w:p>
        </w:tc>
      </w:tr>
      <w:tr w:rsidTr="00AF310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rPr>
                <w:rStyle w:val="SpecialBold"/>
              </w:rPr>
              <w:t>Engines and engine system components include:</w:t>
            </w:r>
          </w:p>
        </w:tc>
        <w:tc>
          <w:tcPr>
            <w:tcW w:w="5922" w:type="dxa"/>
            <w:tcBorders>
              <w:top w:val="nil"/>
              <w:left w:val="nil"/>
              <w:bottom w:val="nil"/>
              <w:right w:val="nil"/>
            </w:tcBorders>
            <w:tcMar>
              <w:top w:w="0" w:type="dxa"/>
              <w:left w:w="62" w:type="dxa"/>
              <w:bottom w:w="0" w:type="dxa"/>
              <w:right w:w="62" w:type="dxa"/>
            </w:tcMar>
          </w:tcPr>
          <w:p w:rsidR="00000000" w:rsidRPr="00AF3100" w:rsidP="00AF3100">
            <w:pPr>
              <w:pStyle w:val="ListBullet"/>
            </w:pPr>
            <w:r w:rsidRPr="00AF3100">
              <w:t>Engine change unit or auxili</w:t>
            </w:r>
            <w:r w:rsidRPr="00AF3100">
              <w:t>ary power unit (turbo-prop, turbofan, turboshaft, turbojet and piston)</w:t>
            </w:r>
          </w:p>
          <w:p w:rsidR="00000000" w:rsidRPr="00AF3100" w:rsidP="00AF3100">
            <w:pPr>
              <w:pStyle w:val="ListBullet"/>
            </w:pPr>
            <w:r w:rsidRPr="00AF3100">
              <w:t>Fuel, oil and air system (or induction and super/turbo charger systems in the case of piston engine) components</w:t>
            </w:r>
          </w:p>
          <w:p w:rsidR="00000000" w:rsidRPr="00AF3100" w:rsidP="00AF3100">
            <w:pPr>
              <w:pStyle w:val="ListBullet"/>
            </w:pPr>
            <w:r w:rsidRPr="00AF3100">
              <w:t>Engine control system components</w:t>
            </w:r>
          </w:p>
          <w:p w:rsidR="00000000" w:rsidRPr="00AF3100" w:rsidP="00AF3100">
            <w:pPr>
              <w:pStyle w:val="ListBullet"/>
            </w:pPr>
            <w:r w:rsidRPr="00AF3100">
              <w:t>Ignition or igniter system components</w:t>
            </w:r>
          </w:p>
          <w:p w:rsidR="00000000" w:rsidRPr="00AF3100" w:rsidP="00AF3100">
            <w:pPr>
              <w:pStyle w:val="ListBullet"/>
            </w:pPr>
            <w:r w:rsidRPr="00AF3100">
              <w:t>Starting system components</w:t>
            </w:r>
          </w:p>
          <w:p w:rsidR="00000000" w:rsidRPr="00AF3100" w:rsidP="00AF3100">
            <w:pPr>
              <w:pStyle w:val="ListBullet"/>
            </w:pPr>
            <w:r w:rsidRPr="00AF3100">
              <w:t>Fire protection system components.</w:t>
            </w:r>
          </w:p>
          <w:p w:rsidR="00000000" w:rsidP="00AF3100">
            <w:pPr>
              <w:pStyle w:val="ListBullet"/>
              <w:rPr>
                <w:lang w:val="en-NZ"/>
              </w:rPr>
            </w:pPr>
            <w:r w:rsidRPr="00AF3100">
              <w:t>Accessories and associated drives</w:t>
            </w:r>
          </w:p>
        </w:tc>
      </w:tr>
      <w:tr w:rsidTr="00AF310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AF3100">
            <w:pPr>
              <w:pStyle w:val="BodyText"/>
              <w:rPr>
                <w:lang w:val="en-NZ"/>
              </w:rPr>
            </w:pPr>
            <w:r w:rsidRPr="00AF3100">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AF3100" w:rsidP="00AF3100">
            <w:pPr>
              <w:pStyle w:val="ListBullet"/>
            </w:pPr>
            <w:r w:rsidRPr="00AF3100">
              <w:t>Industry standard procedures specified by manufacturers, regulatory authorities or the enterprise</w:t>
            </w:r>
          </w:p>
        </w:tc>
      </w:tr>
    </w:tbl>
    <w:p w:rsidR="00000000" w:rsidRPr="00AF3100" w:rsidP="00AF3100">
      <w:pPr>
        <w:pStyle w:val="BodyText"/>
      </w:pPr>
    </w:p>
    <w:p w:rsidR="00000000" w:rsidRPr="00AF3100" w:rsidP="00AF3100">
      <w:pPr>
        <w:pStyle w:val="AllowPageBreak"/>
      </w:pPr>
    </w:p>
    <w:p w:rsidR="00000000" w:rsidRPr="00AF3100" w:rsidP="00AF3100">
      <w:pPr>
        <w:pStyle w:val="Heading1"/>
      </w:pPr>
      <w:bookmarkStart w:id="9" w:name="O_998474"/>
      <w:bookmarkEnd w:id="9"/>
      <w:r w:rsidRPr="00AF3100">
        <w:t>Unit</w:t>
      </w:r>
      <w:r w:rsidRPr="00AF3100">
        <w:t xml:space="preserve"> Mapping Information</w:t>
      </w:r>
    </w:p>
    <w:p w:rsidR="00000000" w:rsidRPr="00AF3100" w:rsidP="00752429">
      <w:pPr>
        <w:pStyle w:val="BodyText"/>
      </w:pPr>
      <w:r w:rsidRPr="00AF3100">
        <w:t>Release 2. Equivalent to MEA306 Remove and install engines and engine system components</w:t>
      </w:r>
    </w:p>
    <w:p w:rsidR="00000000" w:rsidRPr="00AF3100" w:rsidP="00AF3100">
      <w:pPr>
        <w:pStyle w:val="Heading1"/>
      </w:pPr>
      <w:bookmarkStart w:id="10" w:name="O_998483"/>
      <w:bookmarkEnd w:id="10"/>
      <w:r w:rsidRPr="00AF3100">
        <w:t>Links</w:t>
      </w:r>
    </w:p>
    <w:p w:rsidR="00000000" w:rsidRPr="00AF3100" w:rsidP="00752429">
      <w:pPr>
        <w:pStyle w:val="BodyText"/>
      </w:pPr>
      <w:r w:rsidRPr="00AF310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1527F7">
        <w:rPr>
          <w:rStyle w:val="Hyperlink"/>
        </w:rPr>
        <w:t>https://vetnet.gov.au/Pages/TrainingDocs.aspx?q=ce216c9c-04d5-4b3b-9bcf-4e81d0950371</w:t>
      </w:r>
      <w:r>
        <w:fldChar w:fldCharType="end"/>
      </w:r>
    </w:p>
    <w:p w:rsidR="00000000" w:rsidRPr="00AF3100" w:rsidP="00AF3100"/>
    <w:sectPr w:rsidSect="00AF310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00" w:rsidRPr="00752429" w:rsidP="007524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429" w:rsidP="00AF31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52429" w:rsidP="00AF310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52429" w:rsidP="00AF31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4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3100" w:rsidRPr="00752429" w:rsidP="007524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31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2429" w:rsidRPr="002D2AF8" w:rsidP="00AF3100">
    <w:pPr>
      <w:pStyle w:val="Header"/>
      <w:framePr w:wrap="around"/>
    </w:pPr>
    <w:r>
      <w:fldChar w:fldCharType="begin"/>
    </w:r>
    <w:r>
      <w:instrText xml:space="preserve"> TITLE   \* MERGEFORMAT </w:instrText>
    </w:r>
    <w:r>
      <w:fldChar w:fldCharType="separate"/>
    </w:r>
    <w:r>
      <w:t>MEA306 Remove and install engines and engine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752429" w:rsidP="00AF31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BFC00A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B4EF3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31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3100"/>
    <w:pPr>
      <w:spacing w:before="360" w:after="60"/>
      <w:outlineLvl w:val="0"/>
    </w:pPr>
    <w:rPr>
      <w:sz w:val="32"/>
    </w:rPr>
  </w:style>
  <w:style w:type="paragraph" w:styleId="Heading2">
    <w:name w:val="heading 2"/>
    <w:basedOn w:val="HeadingBase"/>
    <w:next w:val="BodyText"/>
    <w:link w:val="Heading2Char"/>
    <w:qFormat/>
    <w:rsid w:val="00AF3100"/>
    <w:pPr>
      <w:keepLines/>
      <w:spacing w:before="240" w:after="120"/>
      <w:outlineLvl w:val="1"/>
    </w:pPr>
    <w:rPr>
      <w:sz w:val="28"/>
      <w:szCs w:val="40"/>
    </w:rPr>
  </w:style>
  <w:style w:type="paragraph" w:styleId="Heading3">
    <w:name w:val="heading 3"/>
    <w:basedOn w:val="HeadingBase"/>
    <w:next w:val="BodyText"/>
    <w:link w:val="Heading3Char"/>
    <w:qFormat/>
    <w:rsid w:val="00AF3100"/>
    <w:pPr>
      <w:spacing w:before="180" w:after="120"/>
      <w:outlineLvl w:val="2"/>
    </w:pPr>
    <w:rPr>
      <w:spacing w:val="-10"/>
      <w:kern w:val="32"/>
    </w:rPr>
  </w:style>
  <w:style w:type="paragraph" w:styleId="Heading4">
    <w:name w:val="heading 4"/>
    <w:basedOn w:val="HeadingBase"/>
    <w:next w:val="BodyText"/>
    <w:link w:val="Heading4Char"/>
    <w:qFormat/>
    <w:rsid w:val="00AF3100"/>
    <w:pPr>
      <w:spacing w:before="160" w:after="120"/>
      <w:outlineLvl w:val="3"/>
    </w:pPr>
    <w:rPr>
      <w:sz w:val="22"/>
    </w:rPr>
  </w:style>
  <w:style w:type="paragraph" w:styleId="Heading5">
    <w:name w:val="heading 5"/>
    <w:basedOn w:val="HeadingBase"/>
    <w:next w:val="Normal"/>
    <w:link w:val="Heading5Char"/>
    <w:qFormat/>
    <w:rsid w:val="00AF3100"/>
    <w:pPr>
      <w:spacing w:before="80"/>
      <w:outlineLvl w:val="4"/>
    </w:pPr>
    <w:rPr>
      <w:color w:val="918585"/>
      <w:sz w:val="20"/>
    </w:rPr>
  </w:style>
  <w:style w:type="paragraph" w:styleId="Heading6">
    <w:name w:val="heading 6"/>
    <w:basedOn w:val="HeadingBase"/>
    <w:next w:val="Normal"/>
    <w:link w:val="Heading6Char"/>
    <w:qFormat/>
    <w:rsid w:val="00AF3100"/>
    <w:pPr>
      <w:spacing w:before="60"/>
      <w:outlineLvl w:val="5"/>
    </w:pPr>
    <w:rPr>
      <w:color w:val="918585"/>
      <w:sz w:val="20"/>
    </w:rPr>
  </w:style>
  <w:style w:type="paragraph" w:styleId="Heading7">
    <w:name w:val="heading 7"/>
    <w:basedOn w:val="Normal"/>
    <w:next w:val="Normal"/>
    <w:link w:val="Heading7Char"/>
    <w:qFormat/>
    <w:rsid w:val="00AF3100"/>
    <w:pPr>
      <w:ind w:left="720"/>
      <w:outlineLvl w:val="6"/>
    </w:pPr>
    <w:rPr>
      <w:i/>
    </w:rPr>
  </w:style>
  <w:style w:type="paragraph" w:styleId="Heading8">
    <w:name w:val="heading 8"/>
    <w:basedOn w:val="Normal"/>
    <w:next w:val="Normal"/>
    <w:link w:val="Heading8Char"/>
    <w:qFormat/>
    <w:rsid w:val="00AF3100"/>
    <w:pPr>
      <w:ind w:left="720"/>
      <w:outlineLvl w:val="7"/>
    </w:pPr>
    <w:rPr>
      <w:i/>
    </w:rPr>
  </w:style>
  <w:style w:type="paragraph" w:styleId="Heading9">
    <w:name w:val="heading 9"/>
    <w:basedOn w:val="Normal"/>
    <w:next w:val="Normal"/>
    <w:link w:val="Heading9Char"/>
    <w:qFormat/>
    <w:rsid w:val="00AF3100"/>
    <w:pPr>
      <w:ind w:left="720"/>
      <w:outlineLvl w:val="8"/>
    </w:pPr>
    <w:rPr>
      <w:i/>
    </w:rPr>
  </w:style>
  <w:style w:type="character" w:default="1" w:styleId="DefaultParagraphFont">
    <w:name w:val="Default Paragraph Font"/>
    <w:uiPriority w:val="1"/>
    <w:unhideWhenUsed/>
    <w:rsid w:val="00AF31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3100"/>
  </w:style>
  <w:style w:type="character" w:customStyle="1" w:styleId="Heading1Char">
    <w:name w:val="Heading 1 Char"/>
    <w:basedOn w:val="DefaultParagraphFont"/>
    <w:link w:val="Heading1"/>
    <w:rsid w:val="00AF3100"/>
    <w:rPr>
      <w:rFonts w:ascii="Times New Roman" w:eastAsia="Times New Roman" w:hAnsi="Times New Roman" w:cs="Times New Roman"/>
      <w:b/>
      <w:sz w:val="32"/>
      <w:szCs w:val="20"/>
      <w:lang w:eastAsia="en-US"/>
    </w:rPr>
  </w:style>
  <w:style w:type="paragraph" w:styleId="BodyText">
    <w:name w:val="Body Text"/>
    <w:basedOn w:val="Normal"/>
    <w:link w:val="BodyTextChar"/>
    <w:rsid w:val="00AF31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3100"/>
    <w:rPr>
      <w:rFonts w:ascii="Times New Roman" w:eastAsia="Times New Roman" w:hAnsi="Times New Roman" w:cs="Times New Roman"/>
      <w:sz w:val="24"/>
      <w:lang w:eastAsia="en-US"/>
    </w:rPr>
  </w:style>
  <w:style w:type="paragraph" w:styleId="ListBullet">
    <w:name w:val="List Bullet"/>
    <w:basedOn w:val="List"/>
    <w:rsid w:val="00AF3100"/>
    <w:pPr>
      <w:numPr>
        <w:numId w:val="11"/>
      </w:numPr>
      <w:tabs>
        <w:tab w:val="clear" w:pos="340"/>
      </w:tabs>
      <w:spacing w:before="40" w:after="40"/>
    </w:pPr>
  </w:style>
  <w:style w:type="character" w:customStyle="1" w:styleId="SpecialBold">
    <w:name w:val="Special Bold"/>
    <w:basedOn w:val="DefaultParagraphFont"/>
    <w:rsid w:val="00AF3100"/>
    <w:rPr>
      <w:b/>
      <w:spacing w:val="0"/>
    </w:rPr>
  </w:style>
  <w:style w:type="paragraph" w:customStyle="1" w:styleId="SuperHeading">
    <w:name w:val="SuperHeading"/>
    <w:basedOn w:val="Normal"/>
    <w:rsid w:val="00AF3100"/>
    <w:pPr>
      <w:spacing w:before="240" w:after="120"/>
      <w:outlineLvl w:val="0"/>
    </w:pPr>
    <w:rPr>
      <w:rFonts w:ascii="Times New Roman" w:hAnsi="Times New Roman"/>
      <w:b/>
      <w:sz w:val="32"/>
    </w:rPr>
  </w:style>
  <w:style w:type="paragraph" w:customStyle="1" w:styleId="AllowPageBreak">
    <w:name w:val="AllowPageBreak"/>
    <w:rsid w:val="00AF31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F31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31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31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31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31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31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31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3100"/>
    <w:rPr>
      <w:rFonts w:ascii="Courier New" w:eastAsia="Times New Roman" w:hAnsi="Courier New" w:cs="Times New Roman"/>
      <w:i/>
      <w:szCs w:val="20"/>
      <w:lang w:eastAsia="en-US"/>
    </w:rPr>
  </w:style>
  <w:style w:type="paragraph" w:customStyle="1" w:styleId="HeadingBase">
    <w:name w:val="Heading Base"/>
    <w:rsid w:val="00AF31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3100"/>
    <w:pPr>
      <w:tabs>
        <w:tab w:val="right" w:leader="dot" w:pos="9072"/>
      </w:tabs>
      <w:ind w:left="567"/>
    </w:pPr>
    <w:rPr>
      <w:szCs w:val="22"/>
    </w:rPr>
  </w:style>
  <w:style w:type="paragraph" w:customStyle="1" w:styleId="TOCBase">
    <w:name w:val="TOC Base"/>
    <w:rsid w:val="00AF31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3100"/>
    <w:pPr>
      <w:tabs>
        <w:tab w:val="right" w:leader="dot" w:pos="9072"/>
      </w:tabs>
      <w:spacing w:before="40" w:after="40"/>
      <w:ind w:left="284"/>
    </w:pPr>
    <w:rPr>
      <w:rFonts w:ascii="Times New Roman" w:hAnsi="Times New Roman"/>
    </w:rPr>
  </w:style>
  <w:style w:type="paragraph" w:styleId="TOC1">
    <w:name w:val="toc 1"/>
    <w:basedOn w:val="TOCBase"/>
    <w:next w:val="Normal"/>
    <w:rsid w:val="00AF31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31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3100"/>
    <w:rPr>
      <w:rFonts w:ascii="Times New Roman" w:eastAsia="Times New Roman" w:hAnsi="Times New Roman" w:cs="Times New Roman"/>
      <w:sz w:val="16"/>
      <w:lang w:eastAsia="en-US"/>
    </w:rPr>
  </w:style>
  <w:style w:type="paragraph" w:styleId="Title">
    <w:name w:val="Title"/>
    <w:basedOn w:val="HeadingBase"/>
    <w:link w:val="TitleChar"/>
    <w:qFormat/>
    <w:rsid w:val="00AF3100"/>
    <w:pPr>
      <w:spacing w:before="5040"/>
      <w:jc w:val="center"/>
    </w:pPr>
    <w:rPr>
      <w:sz w:val="48"/>
      <w:szCs w:val="72"/>
      <w:lang w:val="en-US"/>
    </w:rPr>
  </w:style>
  <w:style w:type="character" w:customStyle="1" w:styleId="TitleChar">
    <w:name w:val="Title Char"/>
    <w:basedOn w:val="DefaultParagraphFont"/>
    <w:link w:val="Title"/>
    <w:rsid w:val="00AF31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3100"/>
    <w:pPr>
      <w:tabs>
        <w:tab w:val="left" w:pos="3600"/>
        <w:tab w:val="left" w:pos="3958"/>
      </w:tabs>
    </w:pPr>
  </w:style>
  <w:style w:type="paragraph" w:styleId="List">
    <w:name w:val="List"/>
    <w:basedOn w:val="BodyText"/>
    <w:next w:val="BodyText"/>
    <w:rsid w:val="00AF3100"/>
    <w:pPr>
      <w:tabs>
        <w:tab w:val="left" w:pos="340"/>
      </w:tabs>
      <w:spacing w:before="60" w:after="60"/>
      <w:ind w:left="340" w:hanging="340"/>
    </w:pPr>
  </w:style>
  <w:style w:type="paragraph" w:customStyle="1" w:styleId="Note">
    <w:name w:val="Note"/>
    <w:basedOn w:val="BodyText"/>
    <w:rsid w:val="00AF31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3100"/>
    <w:pPr>
      <w:framePr w:wrap="auto" w:hAnchor="text" w:y="6049"/>
    </w:pPr>
    <w:rPr>
      <w:color w:val="000000"/>
      <w:sz w:val="40"/>
    </w:rPr>
  </w:style>
  <w:style w:type="paragraph" w:customStyle="1" w:styleId="TOCTitle">
    <w:name w:val="TOCTitle"/>
    <w:basedOn w:val="Heading1"/>
    <w:rsid w:val="00AF3100"/>
    <w:pPr>
      <w:spacing w:after="240"/>
      <w:jc w:val="center"/>
      <w:outlineLvl w:val="9"/>
    </w:pPr>
    <w:rPr>
      <w:caps/>
    </w:rPr>
  </w:style>
  <w:style w:type="paragraph" w:customStyle="1" w:styleId="Version">
    <w:name w:val="Version"/>
    <w:rsid w:val="00AF31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F3100"/>
    <w:pPr>
      <w:numPr>
        <w:numId w:val="12"/>
      </w:numPr>
      <w:tabs>
        <w:tab w:val="clear" w:pos="680"/>
      </w:tabs>
    </w:pPr>
  </w:style>
  <w:style w:type="paragraph" w:styleId="Index1">
    <w:name w:val="index 1"/>
    <w:basedOn w:val="Normal"/>
    <w:next w:val="Normal"/>
    <w:semiHidden/>
    <w:rsid w:val="00AF3100"/>
    <w:pPr>
      <w:keepNext w:val="0"/>
      <w:tabs>
        <w:tab w:val="right" w:pos="4176"/>
      </w:tabs>
      <w:ind w:left="198" w:hanging="198"/>
    </w:pPr>
    <w:rPr>
      <w:rFonts w:ascii="Garamond" w:hAnsi="Garamond"/>
    </w:rPr>
  </w:style>
  <w:style w:type="paragraph" w:styleId="IndexHeading">
    <w:name w:val="index heading"/>
    <w:basedOn w:val="Normal"/>
    <w:next w:val="Index1"/>
    <w:semiHidden/>
    <w:rsid w:val="00AF3100"/>
    <w:pPr>
      <w:spacing w:before="120" w:after="120"/>
    </w:pPr>
    <w:rPr>
      <w:rFonts w:ascii="Arial" w:hAnsi="Arial"/>
      <w:b/>
      <w:color w:val="918585"/>
      <w:sz w:val="24"/>
    </w:rPr>
  </w:style>
  <w:style w:type="paragraph" w:styleId="Header">
    <w:name w:val="header"/>
    <w:basedOn w:val="Normal"/>
    <w:link w:val="HeaderChar"/>
    <w:rsid w:val="00AF31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3100"/>
    <w:rPr>
      <w:rFonts w:ascii="Times New Roman" w:eastAsia="Times New Roman" w:hAnsi="Times New Roman" w:cs="Times New Roman"/>
      <w:sz w:val="16"/>
      <w:szCs w:val="20"/>
      <w:lang w:val="en-GB" w:eastAsia="en-US"/>
    </w:rPr>
  </w:style>
  <w:style w:type="paragraph" w:customStyle="1" w:styleId="Chapter">
    <w:name w:val="Chapter"/>
    <w:basedOn w:val="Normal"/>
    <w:rsid w:val="00AF3100"/>
    <w:pPr>
      <w:spacing w:before="240"/>
    </w:pPr>
    <w:rPr>
      <w:rFonts w:ascii="Times New Roman" w:hAnsi="Times New Roman"/>
      <w:smallCaps/>
      <w:spacing w:val="80"/>
      <w:sz w:val="28"/>
    </w:rPr>
  </w:style>
  <w:style w:type="paragraph" w:customStyle="1" w:styleId="InChapter">
    <w:name w:val="InChapter"/>
    <w:basedOn w:val="Heading3"/>
    <w:rsid w:val="00AF3100"/>
    <w:pPr>
      <w:spacing w:after="240"/>
      <w:outlineLvl w:val="9"/>
    </w:pPr>
    <w:rPr>
      <w:noProof/>
    </w:rPr>
  </w:style>
  <w:style w:type="paragraph" w:styleId="Index2">
    <w:name w:val="index 2"/>
    <w:basedOn w:val="Normal"/>
    <w:next w:val="Normal"/>
    <w:semiHidden/>
    <w:rsid w:val="00AF3100"/>
    <w:pPr>
      <w:tabs>
        <w:tab w:val="right" w:pos="4176"/>
      </w:tabs>
      <w:ind w:left="568" w:hanging="284"/>
    </w:pPr>
    <w:rPr>
      <w:rFonts w:ascii="Garamond" w:hAnsi="Garamond"/>
    </w:rPr>
  </w:style>
  <w:style w:type="paragraph" w:customStyle="1" w:styleId="Byline">
    <w:name w:val="Byline"/>
    <w:rsid w:val="00AF31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3100"/>
    <w:pPr>
      <w:tabs>
        <w:tab w:val="clear" w:pos="3600"/>
        <w:tab w:val="clear" w:pos="3958"/>
      </w:tabs>
      <w:jc w:val="right"/>
    </w:pPr>
  </w:style>
  <w:style w:type="character" w:styleId="Emphasis">
    <w:name w:val="Emphasis"/>
    <w:basedOn w:val="DefaultParagraphFont"/>
    <w:qFormat/>
    <w:rsid w:val="00AF3100"/>
    <w:rPr>
      <w:i/>
    </w:rPr>
  </w:style>
  <w:style w:type="paragraph" w:styleId="Caption">
    <w:name w:val="caption"/>
    <w:basedOn w:val="BodyText"/>
    <w:next w:val="Normal"/>
    <w:qFormat/>
    <w:rsid w:val="00AF3100"/>
    <w:pPr>
      <w:framePr w:w="2268" w:hSpace="181" w:vSpace="181" w:wrap="around" w:vAnchor="text" w:hAnchor="page" w:x="1135" w:y="285" w:anchorLock="1"/>
    </w:pPr>
    <w:rPr>
      <w:i/>
    </w:rPr>
  </w:style>
  <w:style w:type="paragraph" w:customStyle="1" w:styleId="MiniTOCTitle">
    <w:name w:val="MiniTOCTitle"/>
    <w:basedOn w:val="Heading4"/>
    <w:rsid w:val="00AF3100"/>
    <w:pPr>
      <w:spacing w:before="240"/>
      <w:outlineLvl w:val="9"/>
    </w:pPr>
    <w:rPr>
      <w:noProof/>
      <w:sz w:val="24"/>
    </w:rPr>
  </w:style>
  <w:style w:type="paragraph" w:customStyle="1" w:styleId="MiniTOCItem">
    <w:name w:val="MiniTOCItem"/>
    <w:basedOn w:val="ListBullet"/>
    <w:rsid w:val="00AF3100"/>
    <w:pPr>
      <w:numPr>
        <w:numId w:val="0"/>
      </w:numPr>
      <w:tabs>
        <w:tab w:val="right" w:leader="dot" w:pos="6521"/>
      </w:tabs>
      <w:spacing w:before="0" w:after="0"/>
    </w:pPr>
  </w:style>
  <w:style w:type="paragraph" w:customStyle="1" w:styleId="TOFTitle">
    <w:name w:val="TOFTitle"/>
    <w:basedOn w:val="TOCTitle"/>
    <w:rsid w:val="00AF3100"/>
  </w:style>
  <w:style w:type="paragraph" w:styleId="TableofFigures">
    <w:name w:val="table of figures"/>
    <w:basedOn w:val="Normal"/>
    <w:next w:val="Normal"/>
    <w:semiHidden/>
    <w:rsid w:val="00AF3100"/>
    <w:pPr>
      <w:tabs>
        <w:tab w:val="right" w:leader="dot" w:pos="9072"/>
      </w:tabs>
      <w:ind w:left="970" w:hanging="403"/>
    </w:pPr>
    <w:rPr>
      <w:rFonts w:ascii="Times New Roman" w:hAnsi="Times New Roman"/>
      <w:b/>
    </w:rPr>
  </w:style>
  <w:style w:type="paragraph" w:styleId="ListNumber">
    <w:name w:val="List Number"/>
    <w:basedOn w:val="List"/>
    <w:rsid w:val="00AF3100"/>
    <w:pPr>
      <w:numPr>
        <w:numId w:val="14"/>
      </w:numPr>
      <w:tabs>
        <w:tab w:val="clear" w:pos="340"/>
      </w:tabs>
    </w:pPr>
  </w:style>
  <w:style w:type="character" w:customStyle="1" w:styleId="WingdingSymbols">
    <w:name w:val="Wingding Symbols"/>
    <w:rsid w:val="00AF3100"/>
    <w:rPr>
      <w:rFonts w:ascii="Wingdings" w:hAnsi="Wingdings"/>
    </w:rPr>
  </w:style>
  <w:style w:type="paragraph" w:customStyle="1" w:styleId="TableHeading">
    <w:name w:val="Table Heading"/>
    <w:basedOn w:val="HeadingBase"/>
    <w:rsid w:val="00AF3100"/>
    <w:pPr>
      <w:keepLines/>
      <w:pBdr>
        <w:bottom w:val="single" w:sz="6" w:space="1" w:color="918585"/>
      </w:pBdr>
      <w:spacing w:before="240"/>
    </w:pPr>
  </w:style>
  <w:style w:type="character" w:customStyle="1" w:styleId="HotSpot">
    <w:name w:val="HotSpot"/>
    <w:rsid w:val="00AF3100"/>
    <w:rPr>
      <w:color w:val="0033CC"/>
      <w:u w:val="none"/>
    </w:rPr>
  </w:style>
  <w:style w:type="paragraph" w:customStyle="1" w:styleId="BodyTextRight">
    <w:name w:val="Body Text Right"/>
    <w:basedOn w:val="BodyText"/>
    <w:rsid w:val="00AF3100"/>
    <w:pPr>
      <w:spacing w:before="0" w:after="0"/>
      <w:jc w:val="right"/>
    </w:pPr>
  </w:style>
  <w:style w:type="paragraph" w:styleId="Index3">
    <w:name w:val="index 3"/>
    <w:basedOn w:val="ListNumber2"/>
    <w:next w:val="Normal"/>
    <w:semiHidden/>
    <w:rsid w:val="00AF3100"/>
    <w:pPr>
      <w:numPr>
        <w:numId w:val="0"/>
      </w:numPr>
      <w:tabs>
        <w:tab w:val="right" w:leader="dot" w:pos="4176"/>
      </w:tabs>
    </w:pPr>
  </w:style>
  <w:style w:type="paragraph" w:styleId="ListNumber2">
    <w:name w:val="List Number 2"/>
    <w:basedOn w:val="List2"/>
    <w:rsid w:val="00AF3100"/>
    <w:pPr>
      <w:numPr>
        <w:numId w:val="9"/>
      </w:numPr>
      <w:tabs>
        <w:tab w:val="clear" w:pos="1060"/>
      </w:tabs>
    </w:pPr>
  </w:style>
  <w:style w:type="paragraph" w:customStyle="1" w:styleId="MarginNote">
    <w:name w:val="Margin Note"/>
    <w:basedOn w:val="BodyText"/>
    <w:rsid w:val="00AF31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31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31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3100"/>
    <w:rPr>
      <w:sz w:val="32"/>
    </w:rPr>
  </w:style>
  <w:style w:type="paragraph" w:customStyle="1" w:styleId="HeadingProcedure">
    <w:name w:val="Heading Procedure"/>
    <w:basedOn w:val="HeadingBase"/>
    <w:next w:val="Normal"/>
    <w:rsid w:val="00AF3100"/>
    <w:pPr>
      <w:tabs>
        <w:tab w:val="left" w:pos="0"/>
      </w:tabs>
      <w:spacing w:before="120" w:after="60"/>
    </w:pPr>
    <w:rPr>
      <w:i/>
      <w:color w:val="918585"/>
      <w:sz w:val="22"/>
    </w:rPr>
  </w:style>
  <w:style w:type="paragraph" w:customStyle="1" w:styleId="TableBodyText">
    <w:name w:val="Table Body Text"/>
    <w:basedOn w:val="BodyText"/>
    <w:rsid w:val="00AF3100"/>
    <w:pPr>
      <w:spacing w:before="60" w:after="60"/>
    </w:pPr>
  </w:style>
  <w:style w:type="paragraph" w:styleId="ListContinue">
    <w:name w:val="List Continue"/>
    <w:basedOn w:val="List"/>
    <w:rsid w:val="00AF3100"/>
    <w:pPr>
      <w:ind w:firstLine="0"/>
    </w:pPr>
  </w:style>
  <w:style w:type="paragraph" w:customStyle="1" w:styleId="ListNote">
    <w:name w:val="List Note"/>
    <w:basedOn w:val="List"/>
    <w:rsid w:val="00AF3100"/>
    <w:pPr>
      <w:pBdr>
        <w:top w:val="single" w:sz="6" w:space="2" w:color="918585"/>
        <w:bottom w:val="single" w:sz="6" w:space="2" w:color="918585"/>
      </w:pBdr>
      <w:tabs>
        <w:tab w:val="left" w:pos="1021"/>
      </w:tabs>
      <w:ind w:firstLine="0"/>
    </w:pPr>
  </w:style>
  <w:style w:type="paragraph" w:customStyle="1" w:styleId="Warning">
    <w:name w:val="Warning"/>
    <w:basedOn w:val="BodyText"/>
    <w:rsid w:val="00AF3100"/>
    <w:pPr>
      <w:shd w:val="clear" w:color="auto" w:fill="D9D9D9"/>
      <w:tabs>
        <w:tab w:val="left" w:pos="992"/>
      </w:tabs>
      <w:ind w:left="119" w:right="119"/>
    </w:pPr>
    <w:rPr>
      <w:sz w:val="20"/>
    </w:rPr>
  </w:style>
  <w:style w:type="paragraph" w:customStyle="1" w:styleId="MarginIcons">
    <w:name w:val="Margin Icons"/>
    <w:basedOn w:val="BodyText"/>
    <w:rsid w:val="00AF31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3100"/>
    <w:rPr>
      <w:rFonts w:ascii="Courier New" w:hAnsi="Courier New"/>
    </w:rPr>
  </w:style>
  <w:style w:type="paragraph" w:customStyle="1" w:styleId="NoteBullet">
    <w:name w:val="Note Bullet"/>
    <w:basedOn w:val="Note"/>
    <w:rsid w:val="00AF3100"/>
    <w:pPr>
      <w:tabs>
        <w:tab w:val="clear" w:pos="680"/>
      </w:tabs>
      <w:spacing w:before="60" w:after="60"/>
    </w:pPr>
  </w:style>
  <w:style w:type="paragraph" w:customStyle="1" w:styleId="SubHeading2">
    <w:name w:val="SubHeading2"/>
    <w:basedOn w:val="HeadingBase"/>
    <w:rsid w:val="00AF3100"/>
    <w:pPr>
      <w:spacing w:before="240" w:after="60"/>
    </w:pPr>
    <w:rPr>
      <w:sz w:val="20"/>
    </w:rPr>
  </w:style>
  <w:style w:type="paragraph" w:customStyle="1" w:styleId="SubHeading1">
    <w:name w:val="SubHeading1"/>
    <w:basedOn w:val="HeadingBase"/>
    <w:rsid w:val="00AF3100"/>
    <w:pPr>
      <w:spacing w:before="240" w:after="60"/>
    </w:pPr>
    <w:rPr>
      <w:color w:val="918585"/>
      <w:sz w:val="22"/>
    </w:rPr>
  </w:style>
  <w:style w:type="paragraph" w:customStyle="1" w:styleId="SideHeading">
    <w:name w:val="Side Heading"/>
    <w:basedOn w:val="HeadingBase"/>
    <w:rsid w:val="00AF31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3100"/>
    <w:pPr>
      <w:numPr>
        <w:numId w:val="10"/>
      </w:numPr>
    </w:pPr>
  </w:style>
  <w:style w:type="paragraph" w:styleId="PlainText">
    <w:name w:val="Plain Text"/>
    <w:basedOn w:val="Normal"/>
    <w:link w:val="PlainTextChar"/>
    <w:rsid w:val="00AF3100"/>
    <w:rPr>
      <w:sz w:val="20"/>
    </w:rPr>
  </w:style>
  <w:style w:type="character" w:customStyle="1" w:styleId="PlainTextChar">
    <w:name w:val="Plain Text Char"/>
    <w:basedOn w:val="DefaultParagraphFont"/>
    <w:link w:val="PlainText"/>
    <w:rsid w:val="00AF3100"/>
    <w:rPr>
      <w:rFonts w:ascii="Courier New" w:eastAsia="Times New Roman" w:hAnsi="Courier New" w:cs="Times New Roman"/>
      <w:sz w:val="20"/>
      <w:szCs w:val="20"/>
      <w:lang w:eastAsia="en-US"/>
    </w:rPr>
  </w:style>
  <w:style w:type="character" w:customStyle="1" w:styleId="MenuOption">
    <w:name w:val="Menu Option"/>
    <w:basedOn w:val="DefaultParagraphFont"/>
    <w:rsid w:val="00AF3100"/>
    <w:rPr>
      <w:b/>
      <w:smallCaps/>
    </w:rPr>
  </w:style>
  <w:style w:type="paragraph" w:customStyle="1" w:styleId="TableListNumber">
    <w:name w:val="Table List Number"/>
    <w:basedOn w:val="ListNumber"/>
    <w:rsid w:val="00AF3100"/>
    <w:pPr>
      <w:numPr>
        <w:numId w:val="0"/>
      </w:numPr>
    </w:pPr>
  </w:style>
  <w:style w:type="paragraph" w:styleId="TOC4">
    <w:name w:val="toc 4"/>
    <w:basedOn w:val="TOCBase"/>
    <w:next w:val="Normal"/>
    <w:semiHidden/>
    <w:rsid w:val="00AF3100"/>
    <w:pPr>
      <w:tabs>
        <w:tab w:val="right" w:leader="dot" w:pos="9071"/>
      </w:tabs>
      <w:ind w:left="1701"/>
    </w:pPr>
  </w:style>
  <w:style w:type="paragraph" w:customStyle="1" w:styleId="ListAlpha">
    <w:name w:val="List Alpha"/>
    <w:basedOn w:val="List"/>
    <w:rsid w:val="00AF3100"/>
    <w:pPr>
      <w:numPr>
        <w:numId w:val="8"/>
      </w:numPr>
    </w:pPr>
  </w:style>
  <w:style w:type="paragraph" w:customStyle="1" w:styleId="ListAlpha2">
    <w:name w:val="List Alpha 2"/>
    <w:basedOn w:val="List2"/>
    <w:rsid w:val="00AF3100"/>
    <w:pPr>
      <w:numPr>
        <w:numId w:val="7"/>
      </w:numPr>
    </w:pPr>
  </w:style>
  <w:style w:type="paragraph" w:styleId="List2">
    <w:name w:val="List 2"/>
    <w:basedOn w:val="BodyText"/>
    <w:rsid w:val="00AF3100"/>
    <w:pPr>
      <w:tabs>
        <w:tab w:val="left" w:pos="680"/>
      </w:tabs>
      <w:spacing w:before="60" w:after="60"/>
      <w:ind w:left="680" w:hanging="340"/>
    </w:pPr>
  </w:style>
  <w:style w:type="paragraph" w:styleId="List3">
    <w:name w:val="List 3"/>
    <w:basedOn w:val="BodyText"/>
    <w:rsid w:val="00AF3100"/>
    <w:pPr>
      <w:tabs>
        <w:tab w:val="left" w:pos="1021"/>
      </w:tabs>
      <w:spacing w:before="60" w:after="60"/>
      <w:ind w:left="1020" w:hanging="340"/>
    </w:pPr>
  </w:style>
  <w:style w:type="paragraph" w:styleId="List4">
    <w:name w:val="List 4"/>
    <w:basedOn w:val="BodyText"/>
    <w:rsid w:val="00AF3100"/>
    <w:pPr>
      <w:tabs>
        <w:tab w:val="left" w:pos="1361"/>
      </w:tabs>
      <w:spacing w:before="60" w:after="60"/>
      <w:ind w:left="1361" w:hanging="340"/>
    </w:pPr>
  </w:style>
  <w:style w:type="paragraph" w:styleId="List5">
    <w:name w:val="List 5"/>
    <w:basedOn w:val="BodyText"/>
    <w:rsid w:val="00AF3100"/>
    <w:pPr>
      <w:tabs>
        <w:tab w:val="left" w:pos="1701"/>
      </w:tabs>
      <w:spacing w:before="60" w:after="60"/>
      <w:ind w:left="1701" w:hanging="340"/>
    </w:pPr>
  </w:style>
  <w:style w:type="paragraph" w:styleId="ListBullet3">
    <w:name w:val="List Bullet 3"/>
    <w:basedOn w:val="List3"/>
    <w:rsid w:val="00AF3100"/>
    <w:pPr>
      <w:numPr>
        <w:numId w:val="13"/>
      </w:numPr>
      <w:tabs>
        <w:tab w:val="clear" w:pos="1021"/>
      </w:tabs>
      <w:ind w:left="1037" w:hanging="357"/>
    </w:pPr>
  </w:style>
  <w:style w:type="paragraph" w:styleId="ListBullet4">
    <w:name w:val="List Bullet 4"/>
    <w:basedOn w:val="List4"/>
    <w:rsid w:val="00AF3100"/>
    <w:pPr>
      <w:numPr>
        <w:numId w:val="2"/>
      </w:numPr>
      <w:tabs>
        <w:tab w:val="clear" w:pos="1361"/>
      </w:tabs>
    </w:pPr>
  </w:style>
  <w:style w:type="paragraph" w:styleId="ListBullet5">
    <w:name w:val="List Bullet 5"/>
    <w:basedOn w:val="List5"/>
    <w:rsid w:val="00AF3100"/>
    <w:pPr>
      <w:numPr>
        <w:numId w:val="3"/>
      </w:numPr>
    </w:pPr>
  </w:style>
  <w:style w:type="paragraph" w:styleId="ListContinue2">
    <w:name w:val="List Continue 2"/>
    <w:basedOn w:val="List2"/>
    <w:rsid w:val="00AF3100"/>
    <w:pPr>
      <w:ind w:firstLine="0"/>
    </w:pPr>
  </w:style>
  <w:style w:type="paragraph" w:styleId="ListContinue3">
    <w:name w:val="List Continue 3"/>
    <w:basedOn w:val="List3"/>
    <w:rsid w:val="00AF3100"/>
    <w:pPr>
      <w:ind w:left="1021" w:firstLine="0"/>
    </w:pPr>
  </w:style>
  <w:style w:type="paragraph" w:styleId="ListContinue4">
    <w:name w:val="List Continue 4"/>
    <w:basedOn w:val="List4"/>
    <w:rsid w:val="00AF3100"/>
    <w:pPr>
      <w:ind w:firstLine="0"/>
    </w:pPr>
  </w:style>
  <w:style w:type="paragraph" w:styleId="ListContinue5">
    <w:name w:val="List Continue 5"/>
    <w:basedOn w:val="List5"/>
    <w:rsid w:val="00AF3100"/>
    <w:pPr>
      <w:ind w:firstLine="0"/>
    </w:pPr>
  </w:style>
  <w:style w:type="paragraph" w:styleId="ListNumber3">
    <w:name w:val="List Number 3"/>
    <w:basedOn w:val="List3"/>
    <w:rsid w:val="00AF3100"/>
    <w:pPr>
      <w:numPr>
        <w:numId w:val="4"/>
      </w:numPr>
    </w:pPr>
  </w:style>
  <w:style w:type="paragraph" w:styleId="ListNumber4">
    <w:name w:val="List Number 4"/>
    <w:basedOn w:val="List4"/>
    <w:rsid w:val="00AF3100"/>
    <w:pPr>
      <w:numPr>
        <w:numId w:val="5"/>
      </w:numPr>
    </w:pPr>
  </w:style>
  <w:style w:type="paragraph" w:styleId="ListNumber5">
    <w:name w:val="List Number 5"/>
    <w:basedOn w:val="List5"/>
    <w:rsid w:val="00AF3100"/>
    <w:pPr>
      <w:numPr>
        <w:numId w:val="6"/>
      </w:numPr>
    </w:pPr>
  </w:style>
  <w:style w:type="paragraph" w:styleId="BlockText">
    <w:name w:val="Block Text"/>
    <w:basedOn w:val="Normal"/>
    <w:rsid w:val="00AF3100"/>
    <w:pPr>
      <w:spacing w:after="120"/>
      <w:ind w:left="1440" w:right="1440"/>
    </w:pPr>
  </w:style>
  <w:style w:type="character" w:customStyle="1" w:styleId="Subscript">
    <w:name w:val="Subscript"/>
    <w:basedOn w:val="DefaultParagraphFont"/>
    <w:rsid w:val="00AF3100"/>
    <w:rPr>
      <w:sz w:val="16"/>
      <w:vertAlign w:val="subscript"/>
    </w:rPr>
  </w:style>
  <w:style w:type="character" w:customStyle="1" w:styleId="Superscript">
    <w:name w:val="Superscript"/>
    <w:basedOn w:val="DefaultParagraphFont"/>
    <w:rsid w:val="00AF3100"/>
    <w:rPr>
      <w:sz w:val="16"/>
      <w:vertAlign w:val="superscript"/>
    </w:rPr>
  </w:style>
  <w:style w:type="character" w:customStyle="1" w:styleId="Symbols">
    <w:name w:val="Symbols"/>
    <w:basedOn w:val="DefaultParagraphFont"/>
    <w:rsid w:val="00AF3100"/>
    <w:rPr>
      <w:rFonts w:ascii="Symbol" w:hAnsi="Symbol"/>
    </w:rPr>
  </w:style>
  <w:style w:type="character" w:customStyle="1" w:styleId="MenuOptions">
    <w:name w:val="Menu Options"/>
    <w:basedOn w:val="DefaultParagraphFont"/>
    <w:rsid w:val="00AF3100"/>
    <w:rPr>
      <w:rFonts w:ascii="Arial Narrow" w:hAnsi="Arial Narrow"/>
      <w:smallCaps/>
    </w:rPr>
  </w:style>
  <w:style w:type="character" w:customStyle="1" w:styleId="Buttons">
    <w:name w:val="Buttons"/>
    <w:basedOn w:val="DefaultParagraphFont"/>
    <w:rsid w:val="00AF3100"/>
    <w:rPr>
      <w:b/>
    </w:rPr>
  </w:style>
  <w:style w:type="character" w:customStyle="1" w:styleId="Underlined">
    <w:name w:val="Underlined"/>
    <w:basedOn w:val="DefaultParagraphFont"/>
    <w:rsid w:val="00AF3100"/>
    <w:rPr>
      <w:u w:val="single"/>
    </w:rPr>
  </w:style>
  <w:style w:type="paragraph" w:customStyle="1" w:styleId="TableBodyTextRight">
    <w:name w:val="Table Body Text Right"/>
    <w:basedOn w:val="TableBodyText"/>
    <w:rsid w:val="00AF3100"/>
    <w:pPr>
      <w:widowControl w:val="0"/>
      <w:autoSpaceDE w:val="0"/>
      <w:autoSpaceDN w:val="0"/>
      <w:adjustRightInd w:val="0"/>
      <w:jc w:val="right"/>
    </w:pPr>
    <w:rPr>
      <w:rFonts w:cs="Arial"/>
      <w:szCs w:val="18"/>
    </w:rPr>
  </w:style>
  <w:style w:type="paragraph" w:customStyle="1" w:styleId="CopyrightText">
    <w:name w:val="Copyright Text"/>
    <w:basedOn w:val="BodyText"/>
    <w:rsid w:val="00AF3100"/>
    <w:rPr>
      <w:sz w:val="18"/>
    </w:rPr>
  </w:style>
  <w:style w:type="paragraph" w:customStyle="1" w:styleId="BodySmallRight">
    <w:name w:val="Body Small Right"/>
    <w:basedOn w:val="BodyTextRight"/>
    <w:rsid w:val="00AF3100"/>
    <w:rPr>
      <w:sz w:val="18"/>
      <w:szCs w:val="18"/>
    </w:rPr>
  </w:style>
  <w:style w:type="paragraph" w:customStyle="1" w:styleId="MarginEdition">
    <w:name w:val="Margin Edition"/>
    <w:basedOn w:val="MarginNote"/>
    <w:rsid w:val="00AF3100"/>
    <w:pPr>
      <w:spacing w:before="0" w:after="0"/>
    </w:pPr>
    <w:rPr>
      <w:rFonts w:ascii="Times New Roman" w:hAnsi="Times New Roman"/>
      <w:color w:val="999999"/>
    </w:rPr>
  </w:style>
  <w:style w:type="paragraph" w:customStyle="1" w:styleId="Spacer">
    <w:name w:val="Spacer"/>
    <w:basedOn w:val="Normal"/>
    <w:rsid w:val="00AF3100"/>
    <w:rPr>
      <w:sz w:val="2"/>
      <w:szCs w:val="2"/>
    </w:rPr>
  </w:style>
  <w:style w:type="character" w:customStyle="1" w:styleId="Small">
    <w:name w:val="Small"/>
    <w:basedOn w:val="DefaultParagraphFont"/>
    <w:rsid w:val="00AF3100"/>
    <w:rPr>
      <w:sz w:val="16"/>
    </w:rPr>
  </w:style>
  <w:style w:type="paragraph" w:customStyle="1" w:styleId="WideTable">
    <w:name w:val="Wide Table"/>
    <w:basedOn w:val="Normal"/>
    <w:rsid w:val="00AF3100"/>
    <w:pPr>
      <w:ind w:left="-1418"/>
    </w:pPr>
    <w:rPr>
      <w:sz w:val="2"/>
      <w:szCs w:val="2"/>
    </w:rPr>
  </w:style>
  <w:style w:type="character" w:styleId="PageNumber">
    <w:name w:val="page number"/>
    <w:basedOn w:val="DefaultParagraphFont"/>
    <w:rsid w:val="00AF3100"/>
  </w:style>
  <w:style w:type="paragraph" w:styleId="Quote">
    <w:name w:val="Quote"/>
    <w:basedOn w:val="Heading1"/>
    <w:link w:val="QuoteChar"/>
    <w:qFormat/>
    <w:rsid w:val="00AF3100"/>
    <w:rPr>
      <w:b w:val="0"/>
      <w:sz w:val="72"/>
      <w:szCs w:val="72"/>
      <w:lang w:val="en-NZ"/>
    </w:rPr>
  </w:style>
  <w:style w:type="character" w:customStyle="1" w:styleId="QuoteChar">
    <w:name w:val="Quote Char"/>
    <w:basedOn w:val="DefaultParagraphFont"/>
    <w:link w:val="Quote"/>
    <w:rsid w:val="00AF31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3100"/>
    <w:pPr>
      <w:pageBreakBefore/>
    </w:pPr>
  </w:style>
  <w:style w:type="paragraph" w:customStyle="1" w:styleId="Border">
    <w:name w:val="Border"/>
    <w:basedOn w:val="Normal"/>
    <w:qFormat/>
    <w:rsid w:val="00AF31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3100"/>
    <w:rPr>
      <w:b/>
      <w:bCs/>
      <w:i/>
      <w:iCs/>
      <w:color w:val="auto"/>
    </w:rPr>
  </w:style>
  <w:style w:type="paragraph" w:styleId="IntenseQuote">
    <w:name w:val="Intense Quote"/>
    <w:basedOn w:val="Normal"/>
    <w:next w:val="Normal"/>
    <w:link w:val="IntenseQuoteChar"/>
    <w:uiPriority w:val="30"/>
    <w:qFormat/>
    <w:rsid w:val="00AF31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31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3100"/>
    <w:rPr>
      <w:smallCaps/>
      <w:color w:val="auto"/>
      <w:u w:val="single"/>
    </w:rPr>
  </w:style>
  <w:style w:type="character" w:styleId="IntenseReference">
    <w:name w:val="Intense Reference"/>
    <w:basedOn w:val="DefaultParagraphFont"/>
    <w:uiPriority w:val="32"/>
    <w:qFormat/>
    <w:rsid w:val="00AF3100"/>
    <w:rPr>
      <w:b/>
      <w:bCs/>
      <w:smallCaps/>
      <w:color w:val="auto"/>
      <w:spacing w:val="5"/>
      <w:u w:val="single"/>
    </w:rPr>
  </w:style>
  <w:style w:type="paragraph" w:customStyle="1" w:styleId="2ColumnHeading">
    <w:name w:val="2Column Heading"/>
    <w:basedOn w:val="BodyText"/>
    <w:qFormat/>
    <w:rsid w:val="00AF3100"/>
    <w:pPr>
      <w:spacing w:after="60"/>
      <w:ind w:left="-2268"/>
    </w:pPr>
    <w:rPr>
      <w:b/>
    </w:rPr>
  </w:style>
  <w:style w:type="paragraph" w:customStyle="1" w:styleId="Heading1TOC">
    <w:name w:val="Heading1 TOC"/>
    <w:basedOn w:val="Normal"/>
    <w:qFormat/>
    <w:rsid w:val="00AF3100"/>
    <w:pPr>
      <w:spacing w:before="240" w:after="120"/>
    </w:pPr>
    <w:rPr>
      <w:rFonts w:ascii="Times New Roman" w:hAnsi="Times New Roman"/>
      <w:b/>
      <w:sz w:val="32"/>
    </w:rPr>
  </w:style>
  <w:style w:type="paragraph" w:customStyle="1" w:styleId="Heading2TOC">
    <w:name w:val="Heading2 TOC"/>
    <w:basedOn w:val="Normal"/>
    <w:qFormat/>
    <w:rsid w:val="00AF3100"/>
    <w:pPr>
      <w:spacing w:before="240" w:after="60"/>
    </w:pPr>
    <w:rPr>
      <w:rFonts w:ascii="Times New Roman" w:hAnsi="Times New Roman"/>
      <w:b/>
      <w:sz w:val="28"/>
    </w:rPr>
  </w:style>
  <w:style w:type="character" w:customStyle="1" w:styleId="Underline">
    <w:name w:val="Underline"/>
    <w:basedOn w:val="DefaultParagraphFont"/>
    <w:qFormat/>
    <w:rsid w:val="00AF3100"/>
    <w:rPr>
      <w:u w:val="single"/>
    </w:rPr>
  </w:style>
  <w:style w:type="character" w:customStyle="1" w:styleId="BoldandItalics">
    <w:name w:val="Bold and Italics"/>
    <w:qFormat/>
    <w:rsid w:val="00AF3100"/>
    <w:rPr>
      <w:b/>
      <w:i/>
      <w:u w:val="none"/>
    </w:rPr>
  </w:style>
  <w:style w:type="paragraph" w:styleId="BalloonText">
    <w:name w:val="Balloon Text"/>
    <w:basedOn w:val="Normal"/>
    <w:link w:val="BalloonTextChar"/>
    <w:rsid w:val="00AF3100"/>
    <w:rPr>
      <w:rFonts w:ascii="Tahoma" w:hAnsi="Tahoma" w:cs="Tahoma"/>
      <w:sz w:val="16"/>
      <w:szCs w:val="16"/>
    </w:rPr>
  </w:style>
  <w:style w:type="character" w:customStyle="1" w:styleId="BalloonTextChar">
    <w:name w:val="Balloon Text Char"/>
    <w:basedOn w:val="DefaultParagraphFont"/>
    <w:link w:val="BalloonText"/>
    <w:rsid w:val="00AF31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31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31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3100"/>
    <w:rPr>
      <w:b/>
      <w:color w:val="660033"/>
      <w:spacing w:val="0"/>
    </w:rPr>
  </w:style>
  <w:style w:type="paragraph" w:customStyle="1" w:styleId="Nameditemlist">
    <w:name w:val="Named item list"/>
    <w:basedOn w:val="BodyText"/>
    <w:qFormat/>
    <w:rsid w:val="00AF3100"/>
    <w:pPr>
      <w:tabs>
        <w:tab w:val="left" w:pos="2835"/>
      </w:tabs>
      <w:ind w:left="2835" w:hanging="2835"/>
    </w:pPr>
  </w:style>
  <w:style w:type="paragraph" w:customStyle="1" w:styleId="BodyTextnopadding">
    <w:name w:val="Body Text no padding"/>
    <w:basedOn w:val="BodyText"/>
    <w:qFormat/>
    <w:rsid w:val="00AF3100"/>
    <w:pPr>
      <w:spacing w:before="0" w:after="0"/>
    </w:pPr>
  </w:style>
  <w:style w:type="paragraph" w:customStyle="1" w:styleId="BodyTextBold">
    <w:name w:val="Body Text Bold"/>
    <w:basedOn w:val="BodyText"/>
    <w:qFormat/>
    <w:rsid w:val="00AF3100"/>
    <w:rPr>
      <w:b/>
    </w:rPr>
  </w:style>
  <w:style w:type="character" w:styleId="Hyperlink">
    <w:name w:val="Hyperlink"/>
    <w:basedOn w:val="DefaultParagraphFont"/>
    <w:uiPriority w:val="99"/>
    <w:unhideWhenUsed/>
    <w:rsid w:val="007524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799</Words>
  <Characters>4971</Characters>
  <Application>Microsoft Office Word</Application>
  <DocSecurity>0</DocSecurity>
  <Lines>198</Lines>
  <Paragraphs>104</Paragraphs>
  <ScaleCrop>false</ScaleCrop>
  <Company>Author-it Software Corporation Ltd.</Company>
  <LinksUpToDate>false</LinksUpToDate>
  <CharactersWithSpaces>5666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MEA306 Remove and install engines and engine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2022-11-22T01:11:00Z</dcterms:created>
  <dcterms:modified xsi:type="dcterms:W3CDTF">2022-11-22T01:11:00Z</dcterms:modified>
</cp:coreProperties>
</file>