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867" w:rsidP="00E16867">
      <w:pPr>
        <w:pStyle w:val="Title"/>
      </w:pPr>
      <w:r>
        <w:fldChar w:fldCharType="begin"/>
      </w:r>
      <w:r>
        <w:instrText xml:space="preserve"> TITLE   \* MERGEFORMAT </w:instrText>
      </w:r>
      <w:r>
        <w:fldChar w:fldCharType="separate"/>
      </w:r>
      <w:r>
        <w:t>MEA304 Remove and install non-pressurised aircraft structural and non-structural components</w:t>
      </w:r>
      <w:r>
        <w:fldChar w:fldCharType="end"/>
      </w:r>
    </w:p>
    <w:p w:rsidR="00E16867" w:rsidP="00E16867">
      <w:pPr>
        <w:pStyle w:val="Version"/>
        <w:sectPr w:rsidSect="00A12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4B7" w:rsidP="00A124B7">
      <w:pPr>
        <w:pStyle w:val="SuperHeading"/>
      </w:pPr>
      <w:r w:rsidRPr="00A124B7">
        <w:t>MEA304 Remove and install non-pressurised aircraft structural and non-structural components</w:t>
      </w:r>
    </w:p>
    <w:p w:rsidR="00000000" w:rsidRPr="00A124B7" w:rsidP="00A124B7">
      <w:pPr>
        <w:pStyle w:val="Heading1"/>
      </w:pPr>
      <w:bookmarkStart w:id="1" w:name="O_998446"/>
      <w:bookmarkEnd w:id="1"/>
      <w:r w:rsidRPr="00A124B7">
        <w:t>Modification History</w:t>
      </w:r>
    </w:p>
    <w:p w:rsidR="00000000" w:rsidRPr="00A124B7" w:rsidP="00E16867">
      <w:pPr>
        <w:pStyle w:val="BodyText"/>
      </w:pPr>
      <w:r w:rsidRPr="00A124B7">
        <w:t>Release 2. Equivalent t</w:t>
      </w:r>
      <w:r w:rsidRPr="00A124B7">
        <w:t>o MEA304 Remove and install non-pressurised aircraft structural and non-structural components with amended prerequisite codes.</w:t>
      </w:r>
    </w:p>
    <w:p w:rsidR="00000000" w:rsidRPr="00A124B7" w:rsidP="00A124B7">
      <w:pPr>
        <w:pStyle w:val="Heading1"/>
      </w:pPr>
      <w:bookmarkStart w:id="2" w:name="O_998445"/>
      <w:bookmarkEnd w:id="2"/>
      <w:r w:rsidRPr="00A124B7">
        <w:t>Application</w:t>
      </w:r>
    </w:p>
    <w:p w:rsidR="00000000" w:rsidRPr="00A124B7" w:rsidP="00E16867">
      <w:pPr>
        <w:pStyle w:val="BodyText"/>
      </w:pPr>
      <w:r w:rsidRPr="00A124B7">
        <w:t>This unit of competency requires application of hand skills and maintenance publications to remove a</w:t>
      </w:r>
      <w:r w:rsidRPr="00A124B7">
        <w:t>nd install structural and non-structural components from non-pressurised fixed and rotary wing aircraft during scheduled and unscheduled maintenance. Work may be performed individually or as part of a team.</w:t>
      </w:r>
    </w:p>
    <w:p w:rsidR="00000000" w:rsidRPr="00A124B7" w:rsidP="00E16867">
      <w:pPr>
        <w:pStyle w:val="BodyText"/>
      </w:pPr>
      <w:r w:rsidRPr="00A124B7">
        <w:t>The unit is part of the Mechanical Certificate I</w:t>
      </w:r>
      <w:r w:rsidRPr="00A124B7">
        <w:t xml:space="preserve">V (Aircraft Maintenance Stream) training pathway. It may also be part of a Structures Maintenance Certificate IV training pathway. </w:t>
      </w:r>
    </w:p>
    <w:p w:rsidR="00000000" w:rsidRPr="00A124B7" w:rsidP="00E16867">
      <w:pPr>
        <w:pStyle w:val="BodyText"/>
      </w:pPr>
      <w:r w:rsidRPr="00A124B7">
        <w:t>The unit is used in workplaces that operate under the airworthiness regulatory systems of the Australian Defence Force (ADF</w:t>
      </w:r>
      <w:r w:rsidRPr="00A124B7">
        <w:t xml:space="preserve">) and the Civil Aviation safety Authority (CASA). </w:t>
      </w:r>
    </w:p>
    <w:p w:rsidR="00000000" w:rsidRPr="00A124B7" w:rsidP="00E16867">
      <w:pPr>
        <w:pStyle w:val="BodyText"/>
      </w:pPr>
      <w:r w:rsidRPr="00A124B7">
        <w:t>Where a CASA licensing outcome is sought this unit forms part of the CASA requirement for the granting of the chosen maintenance certification licence under Civil Aviation Safety Regulation (CASR) Part 66</w:t>
      </w:r>
      <w:r w:rsidRPr="00A124B7">
        <w:t>, in accordance with the licensing provisions in the Companion Volume Implementation Guide.</w:t>
      </w:r>
    </w:p>
    <w:p w:rsidR="00000000" w:rsidRPr="00A124B7" w:rsidP="00A124B7">
      <w:pPr>
        <w:pStyle w:val="Heading1"/>
      </w:pPr>
      <w:bookmarkStart w:id="3" w:name="O_998444"/>
      <w:bookmarkEnd w:id="3"/>
      <w:r w:rsidRPr="00A124B7">
        <w:t>Pre-requisite Unit</w:t>
      </w:r>
    </w:p>
    <w:tbl>
      <w:tblPr>
        <w:tblW w:w="0" w:type="auto"/>
        <w:tblLayout w:type="fixed"/>
        <w:tblCellMar>
          <w:left w:w="62" w:type="dxa"/>
          <w:right w:w="62" w:type="dxa"/>
        </w:tblCellMar>
        <w:tblLook w:val="0000"/>
      </w:tblPr>
      <w:tblGrid>
        <w:gridCol w:w="1592"/>
        <w:gridCol w:w="7149"/>
      </w:tblGrid>
      <w:tr w:rsidTr="00A124B7">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MEA398</w:t>
            </w:r>
          </w:p>
        </w:tc>
        <w:tc>
          <w:tcPr>
            <w:tcW w:w="7149" w:type="dxa"/>
            <w:tcBorders>
              <w:top w:val="nil"/>
              <w:left w:val="nil"/>
              <w:bottom w:val="nil"/>
              <w:right w:val="nil"/>
            </w:tcBorders>
            <w:tcMar>
              <w:top w:w="0" w:type="dxa"/>
              <w:left w:w="62" w:type="dxa"/>
              <w:bottom w:w="0" w:type="dxa"/>
              <w:right w:w="62" w:type="dxa"/>
            </w:tcMar>
          </w:tcPr>
          <w:p w:rsidR="00000000" w:rsidRPr="00A124B7" w:rsidP="00A124B7">
            <w:pPr>
              <w:pStyle w:val="BodyText"/>
            </w:pPr>
            <w:r w:rsidRPr="00A124B7">
              <w:t>Remove and install aircraft hydro-mechanical and landing gear system components</w:t>
            </w:r>
          </w:p>
        </w:tc>
      </w:tr>
    </w:tbl>
    <w:p w:rsidR="00000000" w:rsidRPr="00A124B7" w:rsidP="00A124B7">
      <w:pPr>
        <w:pStyle w:val="BodyText"/>
      </w:pPr>
    </w:p>
    <w:p w:rsidR="00000000" w:rsidRPr="00A124B7" w:rsidP="00A124B7">
      <w:pPr>
        <w:pStyle w:val="AllowPageBreak"/>
      </w:pPr>
    </w:p>
    <w:p w:rsidR="00000000" w:rsidRPr="00A124B7" w:rsidP="00A124B7">
      <w:pPr>
        <w:pStyle w:val="Heading1"/>
      </w:pPr>
      <w:bookmarkStart w:id="4" w:name="O_998443"/>
      <w:bookmarkEnd w:id="4"/>
      <w:r w:rsidRPr="00A124B7">
        <w:t>Competency Field</w:t>
      </w:r>
    </w:p>
    <w:p w:rsidR="00000000" w:rsidRPr="00A124B7" w:rsidP="00E16867">
      <w:pPr>
        <w:pStyle w:val="BodyText"/>
      </w:pPr>
      <w:r w:rsidRPr="00A124B7">
        <w:t>Aviat</w:t>
      </w:r>
      <w:r w:rsidRPr="00A124B7">
        <w:t>ion maintenance</w:t>
      </w:r>
    </w:p>
    <w:p w:rsidR="00000000" w:rsidRPr="00A124B7" w:rsidP="00A124B7">
      <w:pPr>
        <w:pStyle w:val="Heading1"/>
      </w:pPr>
      <w:bookmarkStart w:id="5" w:name="O_998442"/>
      <w:bookmarkEnd w:id="5"/>
      <w:r w:rsidRPr="00A124B7">
        <w:t>Unit Sector</w:t>
      </w:r>
    </w:p>
    <w:p w:rsidR="00000000" w:rsidRPr="00A124B7" w:rsidP="00A124B7">
      <w:pPr>
        <w:pStyle w:val="Heading1"/>
      </w:pPr>
      <w:bookmarkStart w:id="6" w:name="O_998441"/>
      <w:bookmarkEnd w:id="6"/>
      <w:r w:rsidRPr="00A124B7">
        <w:t>Elements and Performance Criteria</w:t>
      </w:r>
    </w:p>
    <w:tbl>
      <w:tblPr>
        <w:tblW w:w="0" w:type="auto"/>
        <w:tblLayout w:type="fixed"/>
        <w:tblCellMar>
          <w:left w:w="62" w:type="dxa"/>
          <w:right w:w="62" w:type="dxa"/>
        </w:tblCellMar>
        <w:tblLook w:val="0000"/>
      </w:tblPr>
      <w:tblGrid>
        <w:gridCol w:w="626"/>
        <w:gridCol w:w="2206"/>
        <w:gridCol w:w="795"/>
        <w:gridCol w:w="5316"/>
      </w:tblGrid>
      <w:tr w:rsidTr="00A124B7">
        <w:tblPrEx>
          <w:tblW w:w="0" w:type="auto"/>
          <w:tblLayout w:type="fixed"/>
          <w:tblCellMar>
            <w:left w:w="62" w:type="dxa"/>
            <w:right w:w="62" w:type="dxa"/>
          </w:tblCellMar>
          <w:tblLook w:val="0000"/>
        </w:tblPrEx>
        <w:tc>
          <w:tcPr>
            <w:tcW w:w="2832" w:type="dxa"/>
            <w:gridSpan w:val="2"/>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Elements describe the essential outcomes.</w:t>
            </w:r>
          </w:p>
        </w:tc>
        <w:tc>
          <w:tcPr>
            <w:tcW w:w="6111" w:type="dxa"/>
            <w:gridSpan w:val="2"/>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 xml:space="preserve">Performance criteria describe the performance needed to demonstrate achievement of the element. </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1.</w:t>
            </w:r>
          </w:p>
        </w:tc>
        <w:tc>
          <w:tcPr>
            <w:tcW w:w="220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Remove components</w:t>
            </w: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1.1</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Structure is supported and prepared in accordance with the applicable maintenance manual to ensure personnel safety and freedom from damage to aircraft or component during component removal</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1.2</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Component removal is carried out in accordance with the applicable maintenance manual while observing all relevant work health and safety (WHS) requirements, including the use of material safety data sheets (MSDS) and items of personal protective equipment</w:t>
            </w:r>
            <w:r w:rsidRPr="00A124B7">
              <w:t xml:space="preserve"> (PPE)</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1.3</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Required maintenance documentation is completed and processed in accordance with standard enterprise procedures</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1.4</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Where applicable, removed components are tagged and prepared for transport in accordance with specified procedures</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2.</w:t>
            </w:r>
          </w:p>
        </w:tc>
        <w:tc>
          <w:tcPr>
            <w:tcW w:w="220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Inst</w:t>
            </w:r>
            <w:r w:rsidRPr="00A124B7">
              <w:t>all components</w:t>
            </w: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2.1</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Structural and/or non-structural components to be installed are checked to confirm correct part numbers, serviceability and modification status</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2.2</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Component installation is carried out in accordance with the applicable maintenance manual while observing all relevant WHS requirements, including the use of MSDS and items of PPE</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2.3</w:t>
            </w:r>
          </w:p>
        </w:tc>
        <w:tc>
          <w:tcPr>
            <w:tcW w:w="5316"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Support/safety equipment is removed at an appropriate time to ensure</w:t>
            </w:r>
            <w:r w:rsidRPr="00A124B7">
              <w:t xml:space="preserve"> personnel safety and freedom from structural damage</w:t>
            </w:r>
          </w:p>
        </w:tc>
      </w:tr>
      <w:tr w:rsidTr="00A124B7">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2.4</w:t>
            </w:r>
          </w:p>
        </w:tc>
        <w:tc>
          <w:tcPr>
            <w:tcW w:w="5316" w:type="dxa"/>
            <w:tcBorders>
              <w:top w:val="nil"/>
              <w:left w:val="nil"/>
              <w:bottom w:val="nil"/>
              <w:right w:val="nil"/>
            </w:tcBorders>
            <w:tcMar>
              <w:top w:w="0" w:type="dxa"/>
              <w:left w:w="62" w:type="dxa"/>
              <w:bottom w:w="0" w:type="dxa"/>
              <w:right w:w="62" w:type="dxa"/>
            </w:tcMar>
          </w:tcPr>
          <w:p w:rsidR="00000000" w:rsidRPr="00A124B7" w:rsidP="00A124B7">
            <w:pPr>
              <w:pStyle w:val="BodyText"/>
            </w:pPr>
            <w:r w:rsidRPr="00A124B7">
              <w:t>Required maintenance documentation is completed and processed in accordance with standard enterprise procedures</w:t>
            </w:r>
          </w:p>
        </w:tc>
      </w:tr>
    </w:tbl>
    <w:p w:rsidR="00000000" w:rsidRPr="00A124B7" w:rsidP="00A124B7">
      <w:pPr>
        <w:pStyle w:val="BodyText"/>
      </w:pPr>
    </w:p>
    <w:p w:rsidR="00000000" w:rsidRPr="00A124B7" w:rsidP="00A124B7">
      <w:pPr>
        <w:pStyle w:val="AllowPageBreak"/>
      </w:pPr>
    </w:p>
    <w:p w:rsidR="00000000" w:rsidRPr="00A124B7" w:rsidP="00A124B7">
      <w:pPr>
        <w:pStyle w:val="Heading1"/>
      </w:pPr>
      <w:bookmarkStart w:id="7" w:name="O_998440"/>
      <w:bookmarkEnd w:id="7"/>
      <w:r w:rsidRPr="00A124B7">
        <w:t>Foundation Skills</w:t>
      </w:r>
    </w:p>
    <w:p w:rsidR="00000000" w:rsidRPr="00A124B7" w:rsidP="00E16867">
      <w:pPr>
        <w:pStyle w:val="BodyText"/>
      </w:pPr>
      <w:r w:rsidRPr="00A124B7">
        <w:t xml:space="preserve">Foundation skills essential to performance are </w:t>
      </w:r>
      <w:r w:rsidRPr="00A124B7">
        <w:t>explicit in the performance criteria of this unit of competency.</w:t>
      </w:r>
    </w:p>
    <w:p w:rsidR="00000000" w:rsidRPr="00A124B7" w:rsidP="00A124B7">
      <w:pPr>
        <w:pStyle w:val="Heading1"/>
      </w:pPr>
      <w:bookmarkStart w:id="8" w:name="O_998439"/>
      <w:bookmarkEnd w:id="8"/>
      <w:r w:rsidRPr="00A124B7">
        <w:t>Range of Conditions</w:t>
      </w:r>
    </w:p>
    <w:tbl>
      <w:tblPr>
        <w:tblW w:w="0" w:type="auto"/>
        <w:tblLayout w:type="fixed"/>
        <w:tblCellMar>
          <w:left w:w="62" w:type="dxa"/>
          <w:right w:w="62" w:type="dxa"/>
        </w:tblCellMar>
        <w:tblLook w:val="0000"/>
      </w:tblPr>
      <w:tblGrid>
        <w:gridCol w:w="3150"/>
        <w:gridCol w:w="5922"/>
      </w:tblGrid>
      <w:tr w:rsidTr="00A124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t>This field allows for different work environments and conditions that may affect performance. Essential operating conditions that may be present (dependin</w:t>
            </w:r>
            <w:r w:rsidRPr="00A124B7">
              <w:t>g on the work situation, needs of the candidate, accessibility of the item, and local industry and regional contexts) are included.</w:t>
            </w:r>
          </w:p>
        </w:tc>
      </w:tr>
      <w:tr w:rsidTr="00A124B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rPr>
                <w:rStyle w:val="SpecialBold"/>
              </w:rPr>
              <w:t>Removable components of structure include:</w:t>
            </w:r>
          </w:p>
        </w:tc>
        <w:tc>
          <w:tcPr>
            <w:tcW w:w="5922" w:type="dxa"/>
            <w:tcBorders>
              <w:top w:val="nil"/>
              <w:left w:val="nil"/>
              <w:bottom w:val="nil"/>
              <w:right w:val="nil"/>
            </w:tcBorders>
            <w:tcMar>
              <w:top w:w="0" w:type="dxa"/>
              <w:left w:w="62" w:type="dxa"/>
              <w:bottom w:w="0" w:type="dxa"/>
              <w:right w:w="62" w:type="dxa"/>
            </w:tcMar>
          </w:tcPr>
          <w:p w:rsidR="00000000" w:rsidRPr="00A124B7" w:rsidP="00A124B7">
            <w:pPr>
              <w:pStyle w:val="ListBullet"/>
            </w:pPr>
            <w:r w:rsidRPr="00A124B7">
              <w:t xml:space="preserve">Those that are installed using bolts and/or screws. Where component removal and installation requires the removal and installation of rivets the applicable unit is either MEA339 Inspect, repair and maintain aircraft structures, MEA369 Inspect and maintain </w:t>
            </w:r>
            <w:r w:rsidRPr="00A124B7">
              <w:t>structures and related components of non-pressurised small aircraft or MEA371 Perform major repairs and modifications to small aircraft metal structure.</w:t>
            </w:r>
          </w:p>
          <w:p w:rsidR="00000000" w:rsidRPr="00A124B7" w:rsidP="00A124B7">
            <w:pPr>
              <w:pStyle w:val="ListBullet"/>
            </w:pPr>
            <w:r w:rsidRPr="00A124B7">
              <w:t>Removable components include:</w:t>
            </w:r>
          </w:p>
          <w:p w:rsidR="00000000" w:rsidRPr="00A124B7" w:rsidP="00A124B7">
            <w:pPr>
              <w:pStyle w:val="ListBullet2"/>
            </w:pPr>
            <w:r w:rsidRPr="00A124B7">
              <w:t>removable components of wings, tail booms, pylons, empennage, skids, fai</w:t>
            </w:r>
            <w:r w:rsidRPr="00A124B7">
              <w:t>rings and nacelles</w:t>
            </w:r>
          </w:p>
          <w:p w:rsidR="00000000" w:rsidRPr="00A124B7" w:rsidP="00A124B7">
            <w:pPr>
              <w:pStyle w:val="ListBullet2"/>
            </w:pPr>
            <w:r w:rsidRPr="00A124B7">
              <w:t>removable components or sections of non-pressurised fuselages</w:t>
            </w:r>
          </w:p>
          <w:p w:rsidR="00000000" w:rsidRPr="00A124B7" w:rsidP="00A124B7">
            <w:pPr>
              <w:pStyle w:val="ListBullet2"/>
            </w:pPr>
            <w:r w:rsidRPr="00A124B7">
              <w:t>non-pressurised fuselage entry, cargo, access doors and associated seals, including checking and adjustment of all doors and access panels and associated locking mechanisms</w:t>
            </w:r>
          </w:p>
          <w:p w:rsidR="00000000" w:rsidRPr="00A124B7" w:rsidP="00A124B7">
            <w:pPr>
              <w:pStyle w:val="ListBullet2"/>
            </w:pPr>
            <w:r w:rsidRPr="00A124B7">
              <w:t>non-pressurised fuselage windows and transparent panels</w:t>
            </w:r>
          </w:p>
          <w:p w:rsidR="00000000" w:rsidRPr="00A124B7" w:rsidP="00A124B7">
            <w:pPr>
              <w:pStyle w:val="ListBullet2"/>
            </w:pPr>
            <w:r w:rsidRPr="00A124B7">
              <w:t>where applicable, trim panels, linings, seats, cabin equipment and consoles, floor panels and coverings</w:t>
            </w:r>
          </w:p>
          <w:p w:rsidR="00000000" w:rsidP="00A124B7">
            <w:pPr>
              <w:pStyle w:val="ListBullet2"/>
              <w:rPr>
                <w:lang w:val="en-NZ"/>
              </w:rPr>
            </w:pPr>
            <w:r w:rsidRPr="00A124B7">
              <w:t>applicable emergency equipment, including passenger escape systems, life jackets, rafts, locatio</w:t>
            </w:r>
            <w:r w:rsidRPr="00A124B7">
              <w:t>n transmitters, beacons, crew and passenger seat restraints</w:t>
            </w:r>
          </w:p>
        </w:tc>
      </w:tr>
      <w:tr w:rsidTr="00A124B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rPr>
                <w:rStyle w:val="SpecialBold"/>
              </w:rPr>
              <w:t>Sealant removal and application includes:</w:t>
            </w:r>
          </w:p>
        </w:tc>
        <w:tc>
          <w:tcPr>
            <w:tcW w:w="5922" w:type="dxa"/>
            <w:tcBorders>
              <w:top w:val="nil"/>
              <w:left w:val="nil"/>
              <w:bottom w:val="nil"/>
              <w:right w:val="nil"/>
            </w:tcBorders>
            <w:tcMar>
              <w:top w:w="0" w:type="dxa"/>
              <w:left w:w="62" w:type="dxa"/>
              <w:bottom w:w="0" w:type="dxa"/>
              <w:right w:w="62" w:type="dxa"/>
            </w:tcMar>
          </w:tcPr>
          <w:p w:rsidR="00000000" w:rsidP="00A124B7">
            <w:pPr>
              <w:pStyle w:val="ListBullet"/>
              <w:rPr>
                <w:lang w:val="en-NZ"/>
              </w:rPr>
            </w:pPr>
            <w:r w:rsidRPr="00A124B7">
              <w:t>The removal and application of faying (contact or overlapping) surface and fuel tank sealants is included, where applicable</w:t>
            </w:r>
          </w:p>
        </w:tc>
      </w:tr>
      <w:tr w:rsidTr="00A124B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124B7">
            <w:pPr>
              <w:pStyle w:val="BodyText"/>
              <w:rPr>
                <w:lang w:val="en-NZ"/>
              </w:rPr>
            </w:pPr>
            <w:r w:rsidRPr="00A124B7">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A124B7" w:rsidP="00A124B7">
            <w:pPr>
              <w:pStyle w:val="ListBullet"/>
            </w:pPr>
            <w:r w:rsidRPr="00A124B7">
              <w:t>Industry standard procedures specified by manufacturers, regulatory authorities or the enterprise</w:t>
            </w:r>
          </w:p>
        </w:tc>
      </w:tr>
    </w:tbl>
    <w:p w:rsidR="00000000" w:rsidRPr="00A124B7" w:rsidP="00A124B7">
      <w:pPr>
        <w:pStyle w:val="BodyText"/>
      </w:pPr>
    </w:p>
    <w:p w:rsidR="00000000" w:rsidRPr="00A124B7" w:rsidP="00A124B7">
      <w:pPr>
        <w:pStyle w:val="AllowPageBreak"/>
      </w:pPr>
    </w:p>
    <w:p w:rsidR="00000000" w:rsidRPr="00A124B7" w:rsidP="00A124B7">
      <w:pPr>
        <w:pStyle w:val="Heading1"/>
      </w:pPr>
      <w:bookmarkStart w:id="9" w:name="O_998438"/>
      <w:bookmarkEnd w:id="9"/>
      <w:r w:rsidRPr="00A124B7">
        <w:t>Unit Mapping Information</w:t>
      </w:r>
    </w:p>
    <w:p w:rsidR="00000000" w:rsidRPr="00A124B7" w:rsidP="00E16867">
      <w:pPr>
        <w:pStyle w:val="BodyText"/>
      </w:pPr>
      <w:r w:rsidRPr="00A124B7">
        <w:t xml:space="preserve">Release 2. Equivalent to MEA304 Remove and install non-pressurised aircraft </w:t>
      </w:r>
      <w:r w:rsidRPr="00A124B7">
        <w:t>structural and non-structural components</w:t>
      </w:r>
    </w:p>
    <w:p w:rsidR="00000000" w:rsidRPr="00A124B7" w:rsidP="00A124B7">
      <w:pPr>
        <w:pStyle w:val="Heading1"/>
      </w:pPr>
      <w:bookmarkStart w:id="10" w:name="O_998447"/>
      <w:bookmarkEnd w:id="10"/>
      <w:r w:rsidRPr="00A124B7">
        <w:t>Links</w:t>
      </w:r>
    </w:p>
    <w:p w:rsidR="00000000" w:rsidRPr="00A124B7" w:rsidP="00E16867">
      <w:pPr>
        <w:pStyle w:val="BodyText"/>
      </w:pPr>
      <w:r w:rsidRPr="00A124B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D4181">
        <w:rPr>
          <w:rStyle w:val="Hyperlink"/>
        </w:rPr>
        <w:t>https://vetnet.gov.au/Pages/TrainingDocs.aspx?q=ce216c9c-04d5-4b3b-9bcf-4e81d0950371</w:t>
      </w:r>
      <w:r>
        <w:fldChar w:fldCharType="end"/>
      </w:r>
    </w:p>
    <w:p w:rsidR="00000000" w:rsidRPr="00A124B7" w:rsidP="00E16867">
      <w:pPr>
        <w:pStyle w:val="BodyText"/>
        <w:sectPr w:rsidSect="00A124B7">
          <w:headerReference w:type="default" r:id="rId10"/>
          <w:footerReference w:type="default" r:id="rId11"/>
          <w:pgSz w:w="11908" w:h="16833"/>
          <w:pgMar w:top="1702" w:right="1418" w:bottom="1702" w:left="1418" w:header="992" w:footer="992" w:gutter="0"/>
          <w:cols w:space="720"/>
          <w:noEndnote/>
          <w:docGrid w:linePitch="299"/>
        </w:sectPr>
      </w:pPr>
    </w:p>
    <w:p w:rsidR="00000000" w:rsidRPr="00A124B7" w:rsidP="00A124B7">
      <w:pPr>
        <w:pStyle w:val="SuperHeading"/>
      </w:pPr>
      <w:r w:rsidRPr="00A124B7">
        <w:t>Assessment Requirements for MEA304 Remove and install non-pressurised aircraft structural and non-structural components</w:t>
      </w:r>
    </w:p>
    <w:p w:rsidR="00000000" w:rsidRPr="00A124B7" w:rsidP="00A124B7">
      <w:pPr>
        <w:pStyle w:val="Heading1"/>
      </w:pPr>
      <w:bookmarkStart w:id="11" w:name="O_998436"/>
      <w:bookmarkEnd w:id="11"/>
      <w:r w:rsidRPr="00A124B7">
        <w:t>Modification History</w:t>
      </w:r>
    </w:p>
    <w:p w:rsidR="00000000" w:rsidRPr="00A124B7" w:rsidP="00E16867">
      <w:pPr>
        <w:pStyle w:val="BodyText"/>
      </w:pPr>
      <w:r w:rsidRPr="00A124B7">
        <w:t>Release 2. Equivalent to MEA304 Remove and install non-pressurised aircraft structural and non-str</w:t>
      </w:r>
      <w:r w:rsidRPr="00A124B7">
        <w:t>uctural components with amended prerequisite codes.</w:t>
      </w:r>
    </w:p>
    <w:p w:rsidR="00000000" w:rsidRPr="00A124B7" w:rsidP="00A124B7">
      <w:pPr>
        <w:pStyle w:val="Heading1"/>
      </w:pPr>
      <w:bookmarkStart w:id="12" w:name="O_998435"/>
      <w:bookmarkEnd w:id="12"/>
      <w:r w:rsidRPr="00A124B7">
        <w:t>Performance Evidence</w:t>
      </w:r>
    </w:p>
    <w:p w:rsidR="00000000" w:rsidRPr="00A124B7" w:rsidP="00E16867">
      <w:pPr>
        <w:pStyle w:val="BodyText"/>
      </w:pPr>
      <w:r w:rsidRPr="00A124B7">
        <w:t>Evidence required to demonstrate competency in this unit must be relevant to and satisfy all of the requirements of the elements and performance criteria under the sp</w:t>
      </w:r>
      <w:r w:rsidRPr="00A124B7">
        <w:t>ecified conditions of assessment, and include:</w:t>
      </w:r>
    </w:p>
    <w:p w:rsidR="00000000" w:rsidRPr="00A124B7" w:rsidP="00A124B7">
      <w:pPr>
        <w:pStyle w:val="ListBullet"/>
      </w:pPr>
      <w:r w:rsidRPr="00A124B7">
        <w:t>applying relevant WHS practices, including the use of MSDS and PPE</w:t>
      </w:r>
    </w:p>
    <w:p w:rsidR="00000000" w:rsidRPr="00A124B7" w:rsidP="00A124B7">
      <w:pPr>
        <w:pStyle w:val="ListBullet"/>
      </w:pPr>
      <w:r w:rsidRPr="00A124B7">
        <w:t>using relevant maintenance documentation and aircraft manuals to:</w:t>
      </w:r>
    </w:p>
    <w:p w:rsidR="00000000" w:rsidRPr="00A124B7" w:rsidP="00A124B7">
      <w:pPr>
        <w:pStyle w:val="ListBullet2"/>
      </w:pPr>
      <w:r w:rsidRPr="00A124B7">
        <w:t>remove and install structural and non-structural components</w:t>
      </w:r>
    </w:p>
    <w:p w:rsidR="00000000" w:rsidRPr="00A124B7" w:rsidP="00A124B7">
      <w:pPr>
        <w:pStyle w:val="ListBullet2"/>
      </w:pPr>
      <w:r w:rsidRPr="00A124B7">
        <w:t>remove and install aircraft interior fittings</w:t>
      </w:r>
    </w:p>
    <w:p w:rsidR="00000000" w:rsidRPr="00A124B7" w:rsidP="00A124B7">
      <w:pPr>
        <w:pStyle w:val="ListBullet2"/>
      </w:pPr>
      <w:r w:rsidRPr="00A124B7">
        <w:t>remove and install doors, door seals, windows and transparent panels</w:t>
      </w:r>
    </w:p>
    <w:p w:rsidR="00000000" w:rsidRPr="00A124B7" w:rsidP="00A124B7">
      <w:pPr>
        <w:pStyle w:val="ListBullet2"/>
      </w:pPr>
      <w:r w:rsidRPr="00A124B7">
        <w:t>checking and adjusting all doors and access panels, including locking mechanisms</w:t>
      </w:r>
    </w:p>
    <w:p w:rsidR="00000000" w:rsidRPr="00A124B7" w:rsidP="00A124B7">
      <w:pPr>
        <w:pStyle w:val="ListBullet"/>
      </w:pPr>
      <w:r w:rsidRPr="00A124B7">
        <w:t>removing and installing emergency equipment.</w:t>
      </w:r>
    </w:p>
    <w:p w:rsidR="00000000" w:rsidRPr="00A124B7" w:rsidP="00E16867">
      <w:pPr>
        <w:pStyle w:val="BodyText"/>
      </w:pPr>
      <w:r w:rsidRPr="00A124B7">
        <w:t>It is essentia</w:t>
      </w:r>
      <w:r w:rsidRPr="00A124B7">
        <w:t>l that shoring, trestling and lifting requirements and safety precautions applicable to the structure being maintained are fully observed, understood and complied with.</w:t>
      </w:r>
    </w:p>
    <w:p w:rsidR="00E16867" w:rsidP="00E16867">
      <w:pPr>
        <w:pStyle w:val="BodyText"/>
      </w:pPr>
      <w:r w:rsidRPr="00A124B7">
        <w:t>Evidence of transferability of skills and knowledge related to removal and installation</w:t>
      </w:r>
      <w:r w:rsidRPr="00A124B7">
        <w:t xml:space="preserve"> is essential. This may be demonstrated through application across the component groups listed in the Assessment Conditions. </w:t>
      </w:r>
    </w:p>
    <w:p w:rsidR="00000000" w:rsidRPr="00A124B7" w:rsidP="00A124B7">
      <w:pPr>
        <w:pStyle w:val="Heading1"/>
      </w:pPr>
      <w:bookmarkStart w:id="13" w:name="O_998434"/>
      <w:bookmarkEnd w:id="13"/>
      <w:r w:rsidRPr="00A124B7">
        <w:t>Knowledge Evidence</w:t>
      </w:r>
    </w:p>
    <w:p w:rsidR="00000000" w:rsidRPr="00A124B7" w:rsidP="00E16867">
      <w:pPr>
        <w:pStyle w:val="BodyText"/>
      </w:pPr>
      <w:r w:rsidRPr="00A124B7">
        <w:t xml:space="preserve">Evidence required to demonstrate competency in this unit must be relevant to and satisfy all </w:t>
      </w:r>
      <w:r w:rsidRPr="00A124B7">
        <w:t>of the requirements of the elements and performance criteria and include knowledge of:</w:t>
      </w:r>
    </w:p>
    <w:p w:rsidR="00000000" w:rsidRPr="00A124B7" w:rsidP="00A124B7">
      <w:pPr>
        <w:pStyle w:val="ListBullet"/>
      </w:pPr>
      <w:r w:rsidRPr="00A124B7">
        <w:t>structural and non-structural component methods of construction and attachment, faying surface treatment and fuel tank sealing</w:t>
      </w:r>
    </w:p>
    <w:p w:rsidR="00000000" w:rsidRPr="00A124B7" w:rsidP="00A124B7">
      <w:pPr>
        <w:pStyle w:val="ListBullet"/>
      </w:pPr>
      <w:r w:rsidRPr="00A124B7">
        <w:t xml:space="preserve">non-pressurised fuselage aircraft doors, </w:t>
      </w:r>
      <w:r w:rsidRPr="00A124B7">
        <w:t>related seals and window and transparent panel construction, attachment methods and sealing</w:t>
      </w:r>
    </w:p>
    <w:p w:rsidR="00000000" w:rsidRPr="00A124B7" w:rsidP="00A124B7">
      <w:pPr>
        <w:pStyle w:val="ListBullet"/>
      </w:pPr>
      <w:r w:rsidRPr="00A124B7">
        <w:t>aircraft interior fittings (trim, linings, seats, floor panels, and so on) construction and attachment methods</w:t>
      </w:r>
    </w:p>
    <w:p w:rsidR="00000000" w:rsidRPr="00A124B7" w:rsidP="00A124B7">
      <w:pPr>
        <w:pStyle w:val="ListBullet"/>
      </w:pPr>
      <w:r w:rsidRPr="00A124B7">
        <w:t>the location and attachment or stowage methods for emergency equipment</w:t>
      </w:r>
    </w:p>
    <w:p w:rsidR="00000000" w:rsidRPr="00A124B7" w:rsidP="00A124B7">
      <w:pPr>
        <w:pStyle w:val="ListBullet"/>
      </w:pPr>
      <w:r w:rsidRPr="00A124B7">
        <w:t>relevant WHS practices</w:t>
      </w:r>
    </w:p>
    <w:p w:rsidR="00000000" w:rsidRPr="00A124B7" w:rsidP="00A124B7">
      <w:pPr>
        <w:pStyle w:val="ListBullet"/>
      </w:pPr>
      <w:r w:rsidRPr="00A124B7">
        <w:t>how to obtain MSDS</w:t>
      </w:r>
    </w:p>
    <w:p w:rsidR="00000000" w:rsidRPr="00A124B7" w:rsidP="00A124B7">
      <w:pPr>
        <w:pStyle w:val="ListBullet"/>
      </w:pPr>
      <w:r w:rsidRPr="00A124B7">
        <w:t>use of PPE</w:t>
      </w:r>
    </w:p>
    <w:p w:rsidR="00000000" w:rsidRPr="00A124B7" w:rsidP="00A124B7">
      <w:pPr>
        <w:pStyle w:val="ListBullet"/>
      </w:pPr>
      <w:r w:rsidRPr="00A124B7">
        <w:t>relevant maintenance manuals</w:t>
      </w:r>
    </w:p>
    <w:p w:rsidR="00000000" w:rsidRPr="00A124B7" w:rsidP="00A124B7">
      <w:pPr>
        <w:pStyle w:val="ListBullet"/>
      </w:pPr>
      <w:r w:rsidRPr="00A124B7">
        <w:t>relevant regulatory requirements and standard procedures.</w:t>
      </w:r>
    </w:p>
    <w:p w:rsidR="00000000" w:rsidRPr="00A124B7" w:rsidP="00A124B7">
      <w:pPr>
        <w:pStyle w:val="AllowPageBreak"/>
      </w:pPr>
    </w:p>
    <w:p w:rsidR="00000000" w:rsidRPr="00A124B7" w:rsidP="00A124B7">
      <w:pPr>
        <w:pStyle w:val="Heading1"/>
      </w:pPr>
      <w:bookmarkStart w:id="14" w:name="O_998433"/>
      <w:bookmarkEnd w:id="14"/>
      <w:r w:rsidRPr="00A124B7">
        <w:t>Assessment Conditions</w:t>
      </w:r>
    </w:p>
    <w:p w:rsidR="00000000" w:rsidRPr="00A124B7" w:rsidP="00A124B7">
      <w:pPr>
        <w:pStyle w:val="ListBullet"/>
      </w:pPr>
      <w:r w:rsidRPr="00A124B7">
        <w:t>Competency should be assessed in the work environment or simulated work environment using tools and equipment specified in maintenance manuals. It is also expected that general-purpose tools, test and ground support equipment found in most routine situatio</w:t>
      </w:r>
      <w:r w:rsidRPr="00A124B7">
        <w:t>ns would be used where appropriate.</w:t>
      </w:r>
    </w:p>
    <w:p w:rsidR="00000000" w:rsidRPr="00A124B7" w:rsidP="00A124B7">
      <w:pPr>
        <w:pStyle w:val="ListBullet"/>
      </w:pPr>
      <w:r w:rsidRPr="00A124B7">
        <w:t xml:space="preserve">An understanding of component handling, attachment methods, adjustment and sealing as it relates to the </w:t>
      </w:r>
      <w:r w:rsidRPr="00A124B7">
        <w:t xml:space="preserve">work must be demonstrated before undertaking any action. The work plan should take account of applicable safety and </w:t>
      </w:r>
      <w:r w:rsidRPr="00A124B7">
        <w:t>quality requirements in accordance with the industry and regulatory standards.</w:t>
      </w:r>
    </w:p>
    <w:p w:rsidR="00000000" w:rsidRPr="00A124B7" w:rsidP="00A124B7">
      <w:pPr>
        <w:pStyle w:val="ListBullet"/>
      </w:pPr>
      <w:r w:rsidRPr="00A124B7">
        <w:t>The following conditions of assessment represent the requirements of the Regulators (ADF and CASA) and maintenance stakeholders and must be rigorously observed.</w:t>
      </w:r>
    </w:p>
    <w:p w:rsidR="00000000" w:rsidRPr="00A124B7" w:rsidP="00A124B7">
      <w:pPr>
        <w:pStyle w:val="ListBullet"/>
      </w:pPr>
      <w:r w:rsidRPr="00A124B7">
        <w:t xml:space="preserve">A person cannot </w:t>
      </w:r>
      <w:r w:rsidRPr="00A124B7">
        <w:t>be assessed as competent until it can be demonstrated to the satisfaction of the workplace assessor that the relevant elements and performance criteria of the unit of competency are being achieved under routine supervision on at least one (1) item from eac</w:t>
      </w:r>
      <w:r w:rsidRPr="00A124B7">
        <w:t>h of the following component groups:</w:t>
      </w:r>
    </w:p>
    <w:p w:rsidR="00000000" w:rsidRPr="00A124B7" w:rsidP="00A124B7">
      <w:pPr>
        <w:pStyle w:val="ListBullet2"/>
      </w:pPr>
      <w:r w:rsidRPr="00A124B7">
        <w:t>removable components of wings, tail booms, pylons, empennage, skids, fairings and nacelles</w:t>
      </w:r>
    </w:p>
    <w:p w:rsidR="00000000" w:rsidRPr="00A124B7" w:rsidP="00A124B7">
      <w:pPr>
        <w:pStyle w:val="ListBullet2"/>
      </w:pPr>
      <w:r w:rsidRPr="00A124B7">
        <w:t>removable components or sections of non-pressurised fuselages</w:t>
      </w:r>
    </w:p>
    <w:p w:rsidR="00000000" w:rsidRPr="00A124B7" w:rsidP="00A124B7">
      <w:pPr>
        <w:pStyle w:val="ListBullet2"/>
      </w:pPr>
      <w:r w:rsidRPr="00A124B7">
        <w:t>non-pressurised fuselage entry</w:t>
      </w:r>
      <w:r w:rsidRPr="00A124B7">
        <w:t>, cargo, access doors and associated seals, including checking and adjustment of all doors and access panels and associated locking mechanisms</w:t>
      </w:r>
    </w:p>
    <w:p w:rsidR="00000000" w:rsidRPr="00A124B7" w:rsidP="00A124B7">
      <w:pPr>
        <w:pStyle w:val="ListBullet2"/>
      </w:pPr>
      <w:r w:rsidRPr="00A124B7">
        <w:t>non-pressurised fuselage windows and transparent panels</w:t>
      </w:r>
    </w:p>
    <w:p w:rsidR="00000000" w:rsidRPr="00A124B7" w:rsidP="00A124B7">
      <w:pPr>
        <w:pStyle w:val="ListBullet2"/>
      </w:pPr>
      <w:r w:rsidRPr="00A124B7">
        <w:t>where applicable, trim panels, linings, seats, cabin equi</w:t>
      </w:r>
      <w:r w:rsidRPr="00A124B7">
        <w:t>pment and consoles, floor panels and coverings</w:t>
      </w:r>
    </w:p>
    <w:p w:rsidR="00000000" w:rsidRPr="00A124B7" w:rsidP="00A124B7">
      <w:pPr>
        <w:pStyle w:val="ListBullet2"/>
      </w:pPr>
      <w:r w:rsidRPr="00A124B7">
        <w:t>applicable emergency equipment, including passenger escape systems, life jackets, rafts, location transmitters, beacons, crew and passenger seat restraints.</w:t>
      </w:r>
    </w:p>
    <w:p w:rsidR="00000000" w:rsidRPr="00A124B7" w:rsidP="00A124B7">
      <w:pPr>
        <w:pStyle w:val="ListBullet"/>
      </w:pPr>
      <w:r w:rsidRPr="00A124B7">
        <w:t>This shall be established via the records in the Lo</w:t>
      </w:r>
      <w:r w:rsidRPr="00A124B7">
        <w:t>g of Industrial Experience and Achievement or, where appropriate, an equivalent Industry Evidence Guide (for details refer to the Companion Volume Assessment Guidelines).</w:t>
      </w:r>
    </w:p>
    <w:p w:rsidR="00000000" w:rsidRPr="00A124B7" w:rsidP="00A124B7">
      <w:pPr>
        <w:pStyle w:val="ListBullet"/>
      </w:pPr>
      <w:r w:rsidRPr="00A124B7">
        <w:t>Assessors must satisfy the requirements of the National Vocational Education and Trai</w:t>
      </w:r>
      <w:r w:rsidRPr="00A124B7">
        <w:t>ning Regulator (Australian Skills Quality Authority, or its successors).</w:t>
      </w:r>
    </w:p>
    <w:p w:rsidR="00000000" w:rsidRPr="00A124B7" w:rsidP="00A124B7">
      <w:pPr>
        <w:pStyle w:val="ListBullet"/>
      </w:pPr>
      <w:r w:rsidRPr="00A124B7">
        <w:t>Where the unit is to be used for CASA licensing purposes the Assessor must also meet the criteria specified in the CASR Part 147 Manual of Standards.</w:t>
      </w:r>
    </w:p>
    <w:p w:rsidR="00000000" w:rsidRPr="00A124B7" w:rsidP="00A124B7">
      <w:pPr>
        <w:pStyle w:val="AllowPageBreak"/>
      </w:pPr>
    </w:p>
    <w:p w:rsidR="00000000" w:rsidRPr="00A124B7" w:rsidP="00A124B7">
      <w:pPr>
        <w:pStyle w:val="Heading1"/>
      </w:pPr>
      <w:bookmarkStart w:id="15" w:name="O_998448"/>
      <w:bookmarkEnd w:id="15"/>
      <w:r w:rsidRPr="00A124B7">
        <w:t>Links</w:t>
      </w:r>
    </w:p>
    <w:p w:rsidR="00000000" w:rsidRPr="00A124B7" w:rsidP="00E16867">
      <w:pPr>
        <w:pStyle w:val="BodyText"/>
      </w:pPr>
      <w:r w:rsidRPr="00A124B7">
        <w:t xml:space="preserve">Companion </w:t>
      </w:r>
      <w:r w:rsidRPr="00A124B7">
        <w:t xml:space="preserve">Volume implementation guides are found in VETNet - </w:t>
      </w:r>
      <w:r>
        <w:fldChar w:fldCharType="begin"/>
      </w:r>
      <w:r>
        <w:instrText xml:space="preserve"> HYPERLINK "https://vetnet.gov.au/Pages/TrainingDocs.aspx?q=ce216c9c-04d5-4b3b-9bcf-4e81d0950371" </w:instrText>
      </w:r>
      <w:r>
        <w:fldChar w:fldCharType="separate"/>
      </w:r>
      <w:r w:rsidRPr="002D4181">
        <w:rPr>
          <w:rStyle w:val="Hyperlink"/>
        </w:rPr>
        <w:t>https://vetnet.gov.au/Pages/TrainingDocs.aspx?q=ce216c9c-04d5-4b3b-9bcf-4e81d0950371</w:t>
      </w:r>
      <w:r>
        <w:fldChar w:fldCharType="end"/>
      </w:r>
    </w:p>
    <w:p w:rsidR="00000000" w:rsidRPr="00A124B7" w:rsidP="00A124B7"/>
    <w:sectPr w:rsidSect="00A124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rsidRPr="00E16867" w:rsidP="00E16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67" w:rsidP="00A12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6867" w:rsidP="00A124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16867" w:rsidP="00A124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rsidP="00A124B7">
    <w:pPr>
      <w:pStyle w:val="Footer"/>
      <w:framePr w:wrap="around"/>
    </w:pPr>
    <w:r>
      <w:fldChar w:fldCharType="begin"/>
    </w:r>
    <w:r>
      <w:instrText xml:space="preserve"> DOCPROPERTY  Subject  \* MERGEFORMAT </w:instrText>
    </w:r>
    <w:r>
      <w:fldChar w:fldCharType="separate"/>
    </w:r>
    <w:r w:rsidR="00E16867">
      <w:t>Approved</w:t>
    </w:r>
    <w:r w:rsidR="00E16867">
      <w:fldChar w:fldCharType="end"/>
    </w:r>
    <w:r>
      <w:tab/>
      <w:t xml:space="preserve">Page </w:t>
    </w:r>
    <w:r>
      <w:fldChar w:fldCharType="begin"/>
    </w:r>
    <w:r>
      <w:instrText xml:space="preserve"> PAGE  \* Arabic  \* MERGEFORMAT </w:instrText>
    </w:r>
    <w:r>
      <w:fldChar w:fldCharType="separate"/>
    </w:r>
    <w:r w:rsidR="00E168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867">
      <w:rPr>
        <w:noProof/>
      </w:rPr>
      <w:t>5</w:t>
    </w:r>
    <w:r>
      <w:rPr>
        <w:noProof/>
      </w:rPr>
      <w:fldChar w:fldCharType="end"/>
    </w:r>
  </w:p>
  <w:p w:rsidR="00A124B7" w:rsidP="00A124B7">
    <w:pPr>
      <w:pStyle w:val="Footer"/>
      <w:framePr w:wrap="around"/>
    </w:pPr>
    <w:r>
      <w:t xml:space="preserve">© Commonwealth of Australia, </w:t>
    </w:r>
    <w:r>
      <w:fldChar w:fldCharType="begin"/>
    </w:r>
    <w:r>
      <w:instrText xml:space="preserve"> DATE  \@ "yyyy"  \* MERGEFORMAT </w:instrText>
    </w:r>
    <w:r>
      <w:fldChar w:fldCharType="separate"/>
    </w:r>
    <w:r w:rsidR="00E16867">
      <w:rPr>
        <w:noProof/>
      </w:rPr>
      <w:t>2025</w:t>
    </w:r>
    <w:r>
      <w:fldChar w:fldCharType="end"/>
    </w:r>
    <w:r>
      <w:tab/>
    </w:r>
    <w:r>
      <w:fldChar w:fldCharType="begin"/>
    </w:r>
    <w:r>
      <w:instrText xml:space="preserve"> DOCPROPERTY  Author  \* MERGEFORMAT </w:instrText>
    </w:r>
    <w:r>
      <w:fldChar w:fldCharType="separate"/>
    </w:r>
    <w:r w:rsidR="00E16867">
      <w:t>Manufacturing Industry Skills Alliance</w:t>
    </w:r>
    <w:r w:rsidR="00E16867">
      <w:fldChar w:fldCharType="end"/>
    </w:r>
  </w:p>
  <w:p w:rsidR="00A124B7" w:rsidP="00A12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4B7" w:rsidRPr="00E16867" w:rsidP="00E16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67" w:rsidRPr="002D2AF8" w:rsidP="00A124B7">
    <w:pPr>
      <w:pStyle w:val="Header"/>
      <w:framePr w:wrap="around"/>
    </w:pPr>
    <w:r>
      <w:fldChar w:fldCharType="begin"/>
    </w:r>
    <w:r>
      <w:instrText xml:space="preserve"> TITLE   \* MERGEFORMAT </w:instrText>
    </w:r>
    <w:r>
      <w:fldChar w:fldCharType="separate"/>
    </w:r>
    <w:r>
      <w:t>MEA304 Remove and install non-pressurised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6867" w:rsidP="00A124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B7" w:rsidRPr="002D2AF8" w:rsidP="00A124B7">
    <w:pPr>
      <w:pStyle w:val="Header"/>
      <w:framePr w:wrap="around"/>
    </w:pPr>
    <w:r>
      <w:fldChar w:fldCharType="begin"/>
    </w:r>
    <w:r>
      <w:instrText xml:space="preserve"> TITLE   \* MERGEFORMAT </w:instrText>
    </w:r>
    <w:r>
      <w:fldChar w:fldCharType="separate"/>
    </w:r>
    <w:r w:rsidR="00E16867">
      <w:t>MEA304 Remove and install non-pressurised aircraft structural and non-structural components</w:t>
    </w:r>
    <w:r w:rsidR="00E16867">
      <w:fldChar w:fldCharType="end"/>
    </w:r>
    <w:r>
      <w:tab/>
      <w:t xml:space="preserve">Date this document was generated: </w:t>
    </w:r>
    <w:r>
      <w:fldChar w:fldCharType="begin"/>
    </w:r>
    <w:r>
      <w:instrText xml:space="preserve"> CREATEDATE  \@ "d MMMM yyyy"  \* MERGEFORMAT </w:instrText>
    </w:r>
    <w:r>
      <w:fldChar w:fldCharType="separate"/>
    </w:r>
    <w:r w:rsidR="00E16867">
      <w:rPr>
        <w:noProof/>
      </w:rPr>
      <w:t>1 March 2025</w:t>
    </w:r>
    <w:r>
      <w:fldChar w:fldCharType="end"/>
    </w:r>
  </w:p>
  <w:p w:rsidR="00A124B7" w:rsidP="00A12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25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6F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00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4B7"/>
    <w:pPr>
      <w:spacing w:before="360" w:after="60"/>
      <w:outlineLvl w:val="0"/>
    </w:pPr>
    <w:rPr>
      <w:sz w:val="32"/>
    </w:rPr>
  </w:style>
  <w:style w:type="paragraph" w:styleId="Heading2">
    <w:name w:val="heading 2"/>
    <w:basedOn w:val="HeadingBase"/>
    <w:next w:val="BodyText"/>
    <w:link w:val="Heading2Char"/>
    <w:qFormat/>
    <w:rsid w:val="00A124B7"/>
    <w:pPr>
      <w:keepLines/>
      <w:spacing w:before="240" w:after="120"/>
      <w:outlineLvl w:val="1"/>
    </w:pPr>
    <w:rPr>
      <w:sz w:val="28"/>
      <w:szCs w:val="40"/>
    </w:rPr>
  </w:style>
  <w:style w:type="paragraph" w:styleId="Heading3">
    <w:name w:val="heading 3"/>
    <w:basedOn w:val="HeadingBase"/>
    <w:next w:val="BodyText"/>
    <w:link w:val="Heading3Char"/>
    <w:qFormat/>
    <w:rsid w:val="00A124B7"/>
    <w:pPr>
      <w:spacing w:before="180" w:after="120"/>
      <w:outlineLvl w:val="2"/>
    </w:pPr>
    <w:rPr>
      <w:spacing w:val="-10"/>
      <w:kern w:val="32"/>
    </w:rPr>
  </w:style>
  <w:style w:type="paragraph" w:styleId="Heading4">
    <w:name w:val="heading 4"/>
    <w:basedOn w:val="HeadingBase"/>
    <w:next w:val="BodyText"/>
    <w:link w:val="Heading4Char"/>
    <w:qFormat/>
    <w:rsid w:val="00A124B7"/>
    <w:pPr>
      <w:spacing w:before="160" w:after="120"/>
      <w:outlineLvl w:val="3"/>
    </w:pPr>
    <w:rPr>
      <w:sz w:val="22"/>
    </w:rPr>
  </w:style>
  <w:style w:type="paragraph" w:styleId="Heading5">
    <w:name w:val="heading 5"/>
    <w:basedOn w:val="HeadingBase"/>
    <w:next w:val="Normal"/>
    <w:link w:val="Heading5Char"/>
    <w:qFormat/>
    <w:rsid w:val="00A124B7"/>
    <w:pPr>
      <w:spacing w:before="80"/>
      <w:outlineLvl w:val="4"/>
    </w:pPr>
    <w:rPr>
      <w:color w:val="918585"/>
      <w:sz w:val="20"/>
    </w:rPr>
  </w:style>
  <w:style w:type="paragraph" w:styleId="Heading6">
    <w:name w:val="heading 6"/>
    <w:basedOn w:val="HeadingBase"/>
    <w:next w:val="Normal"/>
    <w:link w:val="Heading6Char"/>
    <w:qFormat/>
    <w:rsid w:val="00A124B7"/>
    <w:pPr>
      <w:spacing w:before="60"/>
      <w:outlineLvl w:val="5"/>
    </w:pPr>
    <w:rPr>
      <w:color w:val="918585"/>
      <w:sz w:val="20"/>
    </w:rPr>
  </w:style>
  <w:style w:type="paragraph" w:styleId="Heading7">
    <w:name w:val="heading 7"/>
    <w:basedOn w:val="Normal"/>
    <w:next w:val="Normal"/>
    <w:link w:val="Heading7Char"/>
    <w:qFormat/>
    <w:rsid w:val="00A124B7"/>
    <w:pPr>
      <w:ind w:left="720"/>
      <w:outlineLvl w:val="6"/>
    </w:pPr>
    <w:rPr>
      <w:i/>
    </w:rPr>
  </w:style>
  <w:style w:type="paragraph" w:styleId="Heading8">
    <w:name w:val="heading 8"/>
    <w:basedOn w:val="Normal"/>
    <w:next w:val="Normal"/>
    <w:link w:val="Heading8Char"/>
    <w:qFormat/>
    <w:rsid w:val="00A124B7"/>
    <w:pPr>
      <w:ind w:left="720"/>
      <w:outlineLvl w:val="7"/>
    </w:pPr>
    <w:rPr>
      <w:i/>
    </w:rPr>
  </w:style>
  <w:style w:type="paragraph" w:styleId="Heading9">
    <w:name w:val="heading 9"/>
    <w:basedOn w:val="Normal"/>
    <w:next w:val="Normal"/>
    <w:link w:val="Heading9Char"/>
    <w:qFormat/>
    <w:rsid w:val="00A124B7"/>
    <w:pPr>
      <w:ind w:left="720"/>
      <w:outlineLvl w:val="8"/>
    </w:pPr>
    <w:rPr>
      <w:i/>
    </w:rPr>
  </w:style>
  <w:style w:type="character" w:default="1" w:styleId="DefaultParagraphFont">
    <w:name w:val="Default Paragraph Font"/>
    <w:uiPriority w:val="1"/>
    <w:unhideWhenUsed/>
    <w:rsid w:val="00A12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4B7"/>
  </w:style>
  <w:style w:type="character" w:customStyle="1" w:styleId="Heading1Char">
    <w:name w:val="Heading 1 Char"/>
    <w:basedOn w:val="DefaultParagraphFont"/>
    <w:link w:val="Heading1"/>
    <w:rsid w:val="00A124B7"/>
    <w:rPr>
      <w:rFonts w:ascii="Times New Roman" w:eastAsia="Times New Roman" w:hAnsi="Times New Roman" w:cs="Times New Roman"/>
      <w:b/>
      <w:sz w:val="32"/>
      <w:szCs w:val="20"/>
      <w:lang w:eastAsia="en-US"/>
    </w:rPr>
  </w:style>
  <w:style w:type="paragraph" w:styleId="BodyText">
    <w:name w:val="Body Text"/>
    <w:basedOn w:val="Normal"/>
    <w:link w:val="BodyTextChar"/>
    <w:rsid w:val="00A12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4B7"/>
    <w:rPr>
      <w:rFonts w:ascii="Times New Roman" w:eastAsia="Times New Roman" w:hAnsi="Times New Roman" w:cs="Times New Roman"/>
      <w:sz w:val="24"/>
      <w:lang w:eastAsia="en-US"/>
    </w:rPr>
  </w:style>
  <w:style w:type="paragraph" w:styleId="ListBullet">
    <w:name w:val="List Bullet"/>
    <w:basedOn w:val="List"/>
    <w:rsid w:val="00A124B7"/>
    <w:pPr>
      <w:numPr>
        <w:numId w:val="12"/>
      </w:numPr>
      <w:tabs>
        <w:tab w:val="clear" w:pos="340"/>
      </w:tabs>
      <w:spacing w:before="40" w:after="40"/>
    </w:pPr>
  </w:style>
  <w:style w:type="character" w:customStyle="1" w:styleId="SpecialBold">
    <w:name w:val="Special Bold"/>
    <w:basedOn w:val="DefaultParagraphFont"/>
    <w:rsid w:val="00A124B7"/>
    <w:rPr>
      <w:b/>
      <w:spacing w:val="0"/>
    </w:rPr>
  </w:style>
  <w:style w:type="paragraph" w:styleId="ListBullet2">
    <w:name w:val="List Bullet 2"/>
    <w:basedOn w:val="List2"/>
    <w:rsid w:val="00A124B7"/>
    <w:pPr>
      <w:numPr>
        <w:numId w:val="13"/>
      </w:numPr>
      <w:tabs>
        <w:tab w:val="clear" w:pos="680"/>
      </w:tabs>
    </w:pPr>
  </w:style>
  <w:style w:type="paragraph" w:customStyle="1" w:styleId="SuperHeading">
    <w:name w:val="SuperHeading"/>
    <w:basedOn w:val="Normal"/>
    <w:rsid w:val="00A124B7"/>
    <w:pPr>
      <w:spacing w:before="240" w:after="120"/>
      <w:outlineLvl w:val="0"/>
    </w:pPr>
    <w:rPr>
      <w:rFonts w:ascii="Times New Roman" w:hAnsi="Times New Roman"/>
      <w:b/>
      <w:sz w:val="32"/>
    </w:rPr>
  </w:style>
  <w:style w:type="paragraph" w:customStyle="1" w:styleId="AllowPageBreak">
    <w:name w:val="AllowPageBreak"/>
    <w:rsid w:val="00A12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4B7"/>
    <w:rPr>
      <w:rFonts w:ascii="Courier New" w:eastAsia="Times New Roman" w:hAnsi="Courier New" w:cs="Times New Roman"/>
      <w:i/>
      <w:szCs w:val="20"/>
      <w:lang w:eastAsia="en-US"/>
    </w:rPr>
  </w:style>
  <w:style w:type="paragraph" w:customStyle="1" w:styleId="HeadingBase">
    <w:name w:val="Heading Base"/>
    <w:rsid w:val="00A12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4B7"/>
    <w:pPr>
      <w:tabs>
        <w:tab w:val="right" w:leader="dot" w:pos="9072"/>
      </w:tabs>
      <w:ind w:left="567"/>
    </w:pPr>
    <w:rPr>
      <w:szCs w:val="22"/>
    </w:rPr>
  </w:style>
  <w:style w:type="paragraph" w:customStyle="1" w:styleId="TOCBase">
    <w:name w:val="TOC Base"/>
    <w:rsid w:val="00A12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4B7"/>
    <w:pPr>
      <w:tabs>
        <w:tab w:val="right" w:leader="dot" w:pos="9072"/>
      </w:tabs>
      <w:spacing w:before="40" w:after="40"/>
      <w:ind w:left="284"/>
    </w:pPr>
    <w:rPr>
      <w:rFonts w:ascii="Times New Roman" w:hAnsi="Times New Roman"/>
    </w:rPr>
  </w:style>
  <w:style w:type="paragraph" w:styleId="TOC1">
    <w:name w:val="toc 1"/>
    <w:basedOn w:val="TOCBase"/>
    <w:next w:val="Normal"/>
    <w:rsid w:val="00A12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4B7"/>
    <w:rPr>
      <w:rFonts w:ascii="Times New Roman" w:eastAsia="Times New Roman" w:hAnsi="Times New Roman" w:cs="Times New Roman"/>
      <w:sz w:val="16"/>
      <w:lang w:eastAsia="en-US"/>
    </w:rPr>
  </w:style>
  <w:style w:type="paragraph" w:styleId="Title">
    <w:name w:val="Title"/>
    <w:basedOn w:val="HeadingBase"/>
    <w:link w:val="TitleChar"/>
    <w:qFormat/>
    <w:rsid w:val="00A124B7"/>
    <w:pPr>
      <w:spacing w:before="5040"/>
      <w:jc w:val="center"/>
    </w:pPr>
    <w:rPr>
      <w:sz w:val="48"/>
      <w:szCs w:val="72"/>
      <w:lang w:val="en-US"/>
    </w:rPr>
  </w:style>
  <w:style w:type="character" w:customStyle="1" w:styleId="TitleChar">
    <w:name w:val="Title Char"/>
    <w:basedOn w:val="DefaultParagraphFont"/>
    <w:link w:val="Title"/>
    <w:rsid w:val="00A12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4B7"/>
    <w:pPr>
      <w:tabs>
        <w:tab w:val="left" w:pos="3600"/>
        <w:tab w:val="left" w:pos="3958"/>
      </w:tabs>
    </w:pPr>
  </w:style>
  <w:style w:type="paragraph" w:styleId="List">
    <w:name w:val="List"/>
    <w:basedOn w:val="BodyText"/>
    <w:next w:val="BodyText"/>
    <w:rsid w:val="00A124B7"/>
    <w:pPr>
      <w:tabs>
        <w:tab w:val="left" w:pos="340"/>
      </w:tabs>
      <w:spacing w:before="60" w:after="60"/>
      <w:ind w:left="340" w:hanging="340"/>
    </w:pPr>
  </w:style>
  <w:style w:type="paragraph" w:customStyle="1" w:styleId="Note">
    <w:name w:val="Note"/>
    <w:basedOn w:val="BodyText"/>
    <w:rsid w:val="00A12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4B7"/>
    <w:pPr>
      <w:framePr w:wrap="auto" w:hAnchor="text" w:y="6049"/>
    </w:pPr>
    <w:rPr>
      <w:color w:val="000000"/>
      <w:sz w:val="40"/>
    </w:rPr>
  </w:style>
  <w:style w:type="paragraph" w:customStyle="1" w:styleId="TOCTitle">
    <w:name w:val="TOCTitle"/>
    <w:basedOn w:val="Heading1"/>
    <w:rsid w:val="00A124B7"/>
    <w:pPr>
      <w:spacing w:after="240"/>
      <w:jc w:val="center"/>
      <w:outlineLvl w:val="9"/>
    </w:pPr>
    <w:rPr>
      <w:caps/>
    </w:rPr>
  </w:style>
  <w:style w:type="paragraph" w:customStyle="1" w:styleId="Version">
    <w:name w:val="Version"/>
    <w:rsid w:val="00A12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4B7"/>
    <w:pPr>
      <w:keepNext w:val="0"/>
      <w:tabs>
        <w:tab w:val="right" w:pos="4176"/>
      </w:tabs>
      <w:ind w:left="198" w:hanging="198"/>
    </w:pPr>
    <w:rPr>
      <w:rFonts w:ascii="Garamond" w:hAnsi="Garamond"/>
    </w:rPr>
  </w:style>
  <w:style w:type="paragraph" w:styleId="IndexHeading">
    <w:name w:val="index heading"/>
    <w:basedOn w:val="Normal"/>
    <w:next w:val="Index1"/>
    <w:semiHidden/>
    <w:rsid w:val="00A124B7"/>
    <w:pPr>
      <w:spacing w:before="120" w:after="120"/>
    </w:pPr>
    <w:rPr>
      <w:rFonts w:ascii="Arial" w:hAnsi="Arial"/>
      <w:b/>
      <w:color w:val="918585"/>
      <w:sz w:val="24"/>
    </w:rPr>
  </w:style>
  <w:style w:type="paragraph" w:styleId="Header">
    <w:name w:val="header"/>
    <w:basedOn w:val="Normal"/>
    <w:link w:val="HeaderChar"/>
    <w:rsid w:val="00A12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4B7"/>
    <w:rPr>
      <w:rFonts w:ascii="Times New Roman" w:eastAsia="Times New Roman" w:hAnsi="Times New Roman" w:cs="Times New Roman"/>
      <w:sz w:val="16"/>
      <w:szCs w:val="20"/>
      <w:lang w:val="en-GB" w:eastAsia="en-US"/>
    </w:rPr>
  </w:style>
  <w:style w:type="paragraph" w:customStyle="1" w:styleId="Chapter">
    <w:name w:val="Chapter"/>
    <w:basedOn w:val="Normal"/>
    <w:rsid w:val="00A124B7"/>
    <w:pPr>
      <w:spacing w:before="240"/>
    </w:pPr>
    <w:rPr>
      <w:rFonts w:ascii="Times New Roman" w:hAnsi="Times New Roman"/>
      <w:smallCaps/>
      <w:spacing w:val="80"/>
      <w:sz w:val="28"/>
    </w:rPr>
  </w:style>
  <w:style w:type="paragraph" w:customStyle="1" w:styleId="InChapter">
    <w:name w:val="InChapter"/>
    <w:basedOn w:val="Heading3"/>
    <w:rsid w:val="00A124B7"/>
    <w:pPr>
      <w:spacing w:after="240"/>
      <w:outlineLvl w:val="9"/>
    </w:pPr>
    <w:rPr>
      <w:noProof/>
    </w:rPr>
  </w:style>
  <w:style w:type="paragraph" w:styleId="Index2">
    <w:name w:val="index 2"/>
    <w:basedOn w:val="Normal"/>
    <w:next w:val="Normal"/>
    <w:semiHidden/>
    <w:rsid w:val="00A124B7"/>
    <w:pPr>
      <w:tabs>
        <w:tab w:val="right" w:pos="4176"/>
      </w:tabs>
      <w:ind w:left="568" w:hanging="284"/>
    </w:pPr>
    <w:rPr>
      <w:rFonts w:ascii="Garamond" w:hAnsi="Garamond"/>
    </w:rPr>
  </w:style>
  <w:style w:type="paragraph" w:customStyle="1" w:styleId="Byline">
    <w:name w:val="Byline"/>
    <w:rsid w:val="00A12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4B7"/>
    <w:pPr>
      <w:tabs>
        <w:tab w:val="clear" w:pos="3600"/>
        <w:tab w:val="clear" w:pos="3958"/>
      </w:tabs>
      <w:jc w:val="right"/>
    </w:pPr>
  </w:style>
  <w:style w:type="character" w:styleId="Emphasis">
    <w:name w:val="Emphasis"/>
    <w:basedOn w:val="DefaultParagraphFont"/>
    <w:qFormat/>
    <w:rsid w:val="00A124B7"/>
    <w:rPr>
      <w:i/>
    </w:rPr>
  </w:style>
  <w:style w:type="paragraph" w:styleId="Caption">
    <w:name w:val="caption"/>
    <w:basedOn w:val="BodyText"/>
    <w:next w:val="Normal"/>
    <w:qFormat/>
    <w:rsid w:val="00A124B7"/>
    <w:pPr>
      <w:framePr w:w="2268" w:hSpace="181" w:vSpace="181" w:wrap="around" w:vAnchor="text" w:hAnchor="page" w:x="1135" w:y="285" w:anchorLock="1"/>
    </w:pPr>
    <w:rPr>
      <w:i/>
    </w:rPr>
  </w:style>
  <w:style w:type="paragraph" w:customStyle="1" w:styleId="MiniTOCTitle">
    <w:name w:val="MiniTOCTitle"/>
    <w:basedOn w:val="Heading4"/>
    <w:rsid w:val="00A124B7"/>
    <w:pPr>
      <w:spacing w:before="240"/>
      <w:outlineLvl w:val="9"/>
    </w:pPr>
    <w:rPr>
      <w:noProof/>
      <w:sz w:val="24"/>
    </w:rPr>
  </w:style>
  <w:style w:type="paragraph" w:customStyle="1" w:styleId="MiniTOCItem">
    <w:name w:val="MiniTOCItem"/>
    <w:basedOn w:val="ListBullet"/>
    <w:rsid w:val="00A124B7"/>
    <w:pPr>
      <w:numPr>
        <w:numId w:val="0"/>
      </w:numPr>
      <w:tabs>
        <w:tab w:val="right" w:leader="dot" w:pos="6521"/>
      </w:tabs>
      <w:spacing w:before="0" w:after="0"/>
    </w:pPr>
  </w:style>
  <w:style w:type="paragraph" w:customStyle="1" w:styleId="TOFTitle">
    <w:name w:val="TOFTitle"/>
    <w:basedOn w:val="TOCTitle"/>
    <w:rsid w:val="00A124B7"/>
  </w:style>
  <w:style w:type="paragraph" w:styleId="TableofFigures">
    <w:name w:val="table of figures"/>
    <w:basedOn w:val="Normal"/>
    <w:next w:val="Normal"/>
    <w:semiHidden/>
    <w:rsid w:val="00A124B7"/>
    <w:pPr>
      <w:tabs>
        <w:tab w:val="right" w:leader="dot" w:pos="9072"/>
      </w:tabs>
      <w:ind w:left="970" w:hanging="403"/>
    </w:pPr>
    <w:rPr>
      <w:rFonts w:ascii="Times New Roman" w:hAnsi="Times New Roman"/>
      <w:b/>
    </w:rPr>
  </w:style>
  <w:style w:type="paragraph" w:styleId="ListNumber">
    <w:name w:val="List Number"/>
    <w:basedOn w:val="List"/>
    <w:rsid w:val="00A124B7"/>
    <w:pPr>
      <w:numPr>
        <w:numId w:val="15"/>
      </w:numPr>
      <w:tabs>
        <w:tab w:val="clear" w:pos="340"/>
      </w:tabs>
    </w:pPr>
  </w:style>
  <w:style w:type="character" w:customStyle="1" w:styleId="WingdingSymbols">
    <w:name w:val="Wingding Symbols"/>
    <w:rsid w:val="00A124B7"/>
    <w:rPr>
      <w:rFonts w:ascii="Wingdings" w:hAnsi="Wingdings"/>
    </w:rPr>
  </w:style>
  <w:style w:type="paragraph" w:customStyle="1" w:styleId="TableHeading">
    <w:name w:val="Table Heading"/>
    <w:basedOn w:val="HeadingBase"/>
    <w:rsid w:val="00A124B7"/>
    <w:pPr>
      <w:keepLines/>
      <w:pBdr>
        <w:bottom w:val="single" w:sz="6" w:space="1" w:color="918585"/>
      </w:pBdr>
      <w:spacing w:before="240"/>
    </w:pPr>
  </w:style>
  <w:style w:type="character" w:customStyle="1" w:styleId="HotSpot">
    <w:name w:val="HotSpot"/>
    <w:rsid w:val="00A124B7"/>
    <w:rPr>
      <w:color w:val="0033CC"/>
      <w:u w:val="none"/>
    </w:rPr>
  </w:style>
  <w:style w:type="paragraph" w:customStyle="1" w:styleId="BodyTextRight">
    <w:name w:val="Body Text Right"/>
    <w:basedOn w:val="BodyText"/>
    <w:rsid w:val="00A124B7"/>
    <w:pPr>
      <w:spacing w:before="0" w:after="0"/>
      <w:jc w:val="right"/>
    </w:pPr>
  </w:style>
  <w:style w:type="paragraph" w:styleId="Index3">
    <w:name w:val="index 3"/>
    <w:basedOn w:val="ListNumber2"/>
    <w:next w:val="Normal"/>
    <w:semiHidden/>
    <w:rsid w:val="00A124B7"/>
    <w:pPr>
      <w:numPr>
        <w:numId w:val="0"/>
      </w:numPr>
      <w:tabs>
        <w:tab w:val="right" w:leader="dot" w:pos="4176"/>
      </w:tabs>
    </w:pPr>
  </w:style>
  <w:style w:type="paragraph" w:styleId="ListNumber2">
    <w:name w:val="List Number 2"/>
    <w:basedOn w:val="List2"/>
    <w:rsid w:val="00A124B7"/>
    <w:pPr>
      <w:numPr>
        <w:numId w:val="10"/>
      </w:numPr>
      <w:tabs>
        <w:tab w:val="clear" w:pos="1060"/>
      </w:tabs>
    </w:pPr>
  </w:style>
  <w:style w:type="paragraph" w:customStyle="1" w:styleId="MarginNote">
    <w:name w:val="Margin Note"/>
    <w:basedOn w:val="BodyText"/>
    <w:rsid w:val="00A12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4B7"/>
    <w:rPr>
      <w:sz w:val="32"/>
    </w:rPr>
  </w:style>
  <w:style w:type="paragraph" w:customStyle="1" w:styleId="HeadingProcedure">
    <w:name w:val="Heading Procedure"/>
    <w:basedOn w:val="HeadingBase"/>
    <w:next w:val="Normal"/>
    <w:rsid w:val="00A124B7"/>
    <w:pPr>
      <w:tabs>
        <w:tab w:val="left" w:pos="0"/>
      </w:tabs>
      <w:spacing w:before="120" w:after="60"/>
    </w:pPr>
    <w:rPr>
      <w:i/>
      <w:color w:val="918585"/>
      <w:sz w:val="22"/>
    </w:rPr>
  </w:style>
  <w:style w:type="paragraph" w:customStyle="1" w:styleId="TableBodyText">
    <w:name w:val="Table Body Text"/>
    <w:basedOn w:val="BodyText"/>
    <w:rsid w:val="00A124B7"/>
    <w:pPr>
      <w:spacing w:before="60" w:after="60"/>
    </w:pPr>
  </w:style>
  <w:style w:type="paragraph" w:styleId="ListContinue">
    <w:name w:val="List Continue"/>
    <w:basedOn w:val="List"/>
    <w:rsid w:val="00A124B7"/>
    <w:pPr>
      <w:ind w:firstLine="0"/>
    </w:pPr>
  </w:style>
  <w:style w:type="paragraph" w:customStyle="1" w:styleId="ListNote">
    <w:name w:val="List Note"/>
    <w:basedOn w:val="List"/>
    <w:rsid w:val="00A124B7"/>
    <w:pPr>
      <w:pBdr>
        <w:top w:val="single" w:sz="6" w:space="2" w:color="918585"/>
        <w:bottom w:val="single" w:sz="6" w:space="2" w:color="918585"/>
      </w:pBdr>
      <w:tabs>
        <w:tab w:val="left" w:pos="1021"/>
      </w:tabs>
      <w:ind w:firstLine="0"/>
    </w:pPr>
  </w:style>
  <w:style w:type="paragraph" w:customStyle="1" w:styleId="Warning">
    <w:name w:val="Warning"/>
    <w:basedOn w:val="BodyText"/>
    <w:rsid w:val="00A124B7"/>
    <w:pPr>
      <w:shd w:val="clear" w:color="auto" w:fill="D9D9D9"/>
      <w:tabs>
        <w:tab w:val="left" w:pos="992"/>
      </w:tabs>
      <w:ind w:left="119" w:right="119"/>
    </w:pPr>
    <w:rPr>
      <w:sz w:val="20"/>
    </w:rPr>
  </w:style>
  <w:style w:type="paragraph" w:customStyle="1" w:styleId="MarginIcons">
    <w:name w:val="Margin Icons"/>
    <w:basedOn w:val="BodyText"/>
    <w:rsid w:val="00A12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4B7"/>
    <w:rPr>
      <w:rFonts w:ascii="Courier New" w:hAnsi="Courier New"/>
    </w:rPr>
  </w:style>
  <w:style w:type="paragraph" w:customStyle="1" w:styleId="NoteBullet">
    <w:name w:val="Note Bullet"/>
    <w:basedOn w:val="Note"/>
    <w:rsid w:val="00A124B7"/>
    <w:pPr>
      <w:tabs>
        <w:tab w:val="clear" w:pos="680"/>
      </w:tabs>
      <w:spacing w:before="60" w:after="60"/>
    </w:pPr>
  </w:style>
  <w:style w:type="paragraph" w:customStyle="1" w:styleId="SubHeading2">
    <w:name w:val="SubHeading2"/>
    <w:basedOn w:val="HeadingBase"/>
    <w:rsid w:val="00A124B7"/>
    <w:pPr>
      <w:spacing w:before="240" w:after="60"/>
    </w:pPr>
    <w:rPr>
      <w:sz w:val="20"/>
    </w:rPr>
  </w:style>
  <w:style w:type="paragraph" w:customStyle="1" w:styleId="SubHeading1">
    <w:name w:val="SubHeading1"/>
    <w:basedOn w:val="HeadingBase"/>
    <w:rsid w:val="00A124B7"/>
    <w:pPr>
      <w:spacing w:before="240" w:after="60"/>
    </w:pPr>
    <w:rPr>
      <w:color w:val="918585"/>
      <w:sz w:val="22"/>
    </w:rPr>
  </w:style>
  <w:style w:type="paragraph" w:customStyle="1" w:styleId="SideHeading">
    <w:name w:val="Side Heading"/>
    <w:basedOn w:val="HeadingBase"/>
    <w:rsid w:val="00A12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4B7"/>
    <w:pPr>
      <w:tabs>
        <w:tab w:val="num" w:pos="360"/>
      </w:tabs>
    </w:pPr>
  </w:style>
  <w:style w:type="paragraph" w:styleId="PlainText">
    <w:name w:val="Plain Text"/>
    <w:basedOn w:val="Normal"/>
    <w:link w:val="PlainTextChar"/>
    <w:rsid w:val="00A124B7"/>
    <w:rPr>
      <w:sz w:val="20"/>
    </w:rPr>
  </w:style>
  <w:style w:type="character" w:customStyle="1" w:styleId="PlainTextChar">
    <w:name w:val="Plain Text Char"/>
    <w:basedOn w:val="DefaultParagraphFont"/>
    <w:link w:val="PlainText"/>
    <w:rsid w:val="00A124B7"/>
    <w:rPr>
      <w:rFonts w:ascii="Courier New" w:eastAsia="Times New Roman" w:hAnsi="Courier New" w:cs="Times New Roman"/>
      <w:sz w:val="20"/>
      <w:szCs w:val="20"/>
      <w:lang w:eastAsia="en-US"/>
    </w:rPr>
  </w:style>
  <w:style w:type="character" w:customStyle="1" w:styleId="MenuOption">
    <w:name w:val="Menu Option"/>
    <w:basedOn w:val="DefaultParagraphFont"/>
    <w:rsid w:val="00A124B7"/>
    <w:rPr>
      <w:b/>
      <w:smallCaps/>
    </w:rPr>
  </w:style>
  <w:style w:type="paragraph" w:customStyle="1" w:styleId="TableListNumber">
    <w:name w:val="Table List Number"/>
    <w:basedOn w:val="ListNumber"/>
    <w:rsid w:val="00A124B7"/>
    <w:pPr>
      <w:numPr>
        <w:numId w:val="0"/>
      </w:numPr>
    </w:pPr>
  </w:style>
  <w:style w:type="paragraph" w:styleId="TOC4">
    <w:name w:val="toc 4"/>
    <w:basedOn w:val="TOCBase"/>
    <w:next w:val="Normal"/>
    <w:semiHidden/>
    <w:rsid w:val="00A124B7"/>
    <w:pPr>
      <w:tabs>
        <w:tab w:val="right" w:leader="dot" w:pos="9071"/>
      </w:tabs>
      <w:ind w:left="1701"/>
    </w:pPr>
  </w:style>
  <w:style w:type="paragraph" w:customStyle="1" w:styleId="ListAlpha">
    <w:name w:val="List Alpha"/>
    <w:basedOn w:val="List"/>
    <w:rsid w:val="00A124B7"/>
    <w:pPr>
      <w:numPr>
        <w:numId w:val="9"/>
      </w:numPr>
    </w:pPr>
  </w:style>
  <w:style w:type="paragraph" w:customStyle="1" w:styleId="ListAlpha2">
    <w:name w:val="List Alpha 2"/>
    <w:basedOn w:val="List2"/>
    <w:rsid w:val="00A124B7"/>
    <w:pPr>
      <w:numPr>
        <w:numId w:val="8"/>
      </w:numPr>
    </w:pPr>
  </w:style>
  <w:style w:type="paragraph" w:styleId="List2">
    <w:name w:val="List 2"/>
    <w:basedOn w:val="BodyText"/>
    <w:rsid w:val="00A124B7"/>
    <w:pPr>
      <w:tabs>
        <w:tab w:val="left" w:pos="680"/>
      </w:tabs>
      <w:spacing w:before="60" w:after="60"/>
      <w:ind w:left="680" w:hanging="340"/>
    </w:pPr>
  </w:style>
  <w:style w:type="paragraph" w:styleId="List3">
    <w:name w:val="List 3"/>
    <w:basedOn w:val="BodyText"/>
    <w:rsid w:val="00A124B7"/>
    <w:pPr>
      <w:tabs>
        <w:tab w:val="left" w:pos="1021"/>
      </w:tabs>
      <w:spacing w:before="60" w:after="60"/>
      <w:ind w:left="1020" w:hanging="340"/>
    </w:pPr>
  </w:style>
  <w:style w:type="paragraph" w:styleId="List4">
    <w:name w:val="List 4"/>
    <w:basedOn w:val="BodyText"/>
    <w:rsid w:val="00A124B7"/>
    <w:pPr>
      <w:tabs>
        <w:tab w:val="left" w:pos="1361"/>
      </w:tabs>
      <w:spacing w:before="60" w:after="60"/>
      <w:ind w:left="1361" w:hanging="340"/>
    </w:pPr>
  </w:style>
  <w:style w:type="paragraph" w:styleId="List5">
    <w:name w:val="List 5"/>
    <w:basedOn w:val="BodyText"/>
    <w:rsid w:val="00A124B7"/>
    <w:pPr>
      <w:tabs>
        <w:tab w:val="left" w:pos="1701"/>
      </w:tabs>
      <w:spacing w:before="60" w:after="60"/>
      <w:ind w:left="1701" w:hanging="340"/>
    </w:pPr>
  </w:style>
  <w:style w:type="paragraph" w:styleId="ListBullet3">
    <w:name w:val="List Bullet 3"/>
    <w:basedOn w:val="List3"/>
    <w:rsid w:val="00A124B7"/>
    <w:pPr>
      <w:numPr>
        <w:numId w:val="14"/>
      </w:numPr>
      <w:tabs>
        <w:tab w:val="clear" w:pos="1021"/>
      </w:tabs>
      <w:ind w:left="1037" w:hanging="357"/>
    </w:pPr>
  </w:style>
  <w:style w:type="paragraph" w:styleId="ListBullet4">
    <w:name w:val="List Bullet 4"/>
    <w:basedOn w:val="List4"/>
    <w:rsid w:val="00A124B7"/>
    <w:pPr>
      <w:numPr>
        <w:numId w:val="3"/>
      </w:numPr>
      <w:tabs>
        <w:tab w:val="clear" w:pos="1361"/>
      </w:tabs>
    </w:pPr>
  </w:style>
  <w:style w:type="paragraph" w:styleId="ListBullet5">
    <w:name w:val="List Bullet 5"/>
    <w:basedOn w:val="List5"/>
    <w:rsid w:val="00A124B7"/>
    <w:pPr>
      <w:numPr>
        <w:numId w:val="4"/>
      </w:numPr>
    </w:pPr>
  </w:style>
  <w:style w:type="paragraph" w:styleId="ListContinue2">
    <w:name w:val="List Continue 2"/>
    <w:basedOn w:val="List2"/>
    <w:rsid w:val="00A124B7"/>
    <w:pPr>
      <w:ind w:firstLine="0"/>
    </w:pPr>
  </w:style>
  <w:style w:type="paragraph" w:styleId="ListContinue3">
    <w:name w:val="List Continue 3"/>
    <w:basedOn w:val="List3"/>
    <w:rsid w:val="00A124B7"/>
    <w:pPr>
      <w:ind w:left="1021" w:firstLine="0"/>
    </w:pPr>
  </w:style>
  <w:style w:type="paragraph" w:styleId="ListContinue4">
    <w:name w:val="List Continue 4"/>
    <w:basedOn w:val="List4"/>
    <w:rsid w:val="00A124B7"/>
    <w:pPr>
      <w:ind w:firstLine="0"/>
    </w:pPr>
  </w:style>
  <w:style w:type="paragraph" w:styleId="ListContinue5">
    <w:name w:val="List Continue 5"/>
    <w:basedOn w:val="List5"/>
    <w:rsid w:val="00A124B7"/>
    <w:pPr>
      <w:ind w:firstLine="0"/>
    </w:pPr>
  </w:style>
  <w:style w:type="paragraph" w:styleId="ListNumber3">
    <w:name w:val="List Number 3"/>
    <w:basedOn w:val="List3"/>
    <w:rsid w:val="00A124B7"/>
    <w:pPr>
      <w:numPr>
        <w:numId w:val="5"/>
      </w:numPr>
    </w:pPr>
  </w:style>
  <w:style w:type="paragraph" w:styleId="ListNumber4">
    <w:name w:val="List Number 4"/>
    <w:basedOn w:val="List4"/>
    <w:rsid w:val="00A124B7"/>
    <w:pPr>
      <w:numPr>
        <w:numId w:val="6"/>
      </w:numPr>
    </w:pPr>
  </w:style>
  <w:style w:type="paragraph" w:styleId="ListNumber5">
    <w:name w:val="List Number 5"/>
    <w:basedOn w:val="List5"/>
    <w:rsid w:val="00A124B7"/>
    <w:pPr>
      <w:numPr>
        <w:numId w:val="7"/>
      </w:numPr>
    </w:pPr>
  </w:style>
  <w:style w:type="paragraph" w:styleId="BlockText">
    <w:name w:val="Block Text"/>
    <w:basedOn w:val="Normal"/>
    <w:rsid w:val="00A124B7"/>
    <w:pPr>
      <w:spacing w:after="120"/>
      <w:ind w:left="1440" w:right="1440"/>
    </w:pPr>
  </w:style>
  <w:style w:type="character" w:customStyle="1" w:styleId="Subscript">
    <w:name w:val="Subscript"/>
    <w:basedOn w:val="DefaultParagraphFont"/>
    <w:rsid w:val="00A124B7"/>
    <w:rPr>
      <w:sz w:val="16"/>
      <w:vertAlign w:val="subscript"/>
    </w:rPr>
  </w:style>
  <w:style w:type="character" w:customStyle="1" w:styleId="Superscript">
    <w:name w:val="Superscript"/>
    <w:basedOn w:val="DefaultParagraphFont"/>
    <w:rsid w:val="00A124B7"/>
    <w:rPr>
      <w:sz w:val="16"/>
      <w:vertAlign w:val="superscript"/>
    </w:rPr>
  </w:style>
  <w:style w:type="character" w:customStyle="1" w:styleId="Symbols">
    <w:name w:val="Symbols"/>
    <w:basedOn w:val="DefaultParagraphFont"/>
    <w:rsid w:val="00A124B7"/>
    <w:rPr>
      <w:rFonts w:ascii="Symbol" w:hAnsi="Symbol"/>
    </w:rPr>
  </w:style>
  <w:style w:type="character" w:customStyle="1" w:styleId="MenuOptions">
    <w:name w:val="Menu Options"/>
    <w:basedOn w:val="DefaultParagraphFont"/>
    <w:rsid w:val="00A124B7"/>
    <w:rPr>
      <w:rFonts w:ascii="Arial Narrow" w:hAnsi="Arial Narrow"/>
      <w:smallCaps/>
    </w:rPr>
  </w:style>
  <w:style w:type="character" w:customStyle="1" w:styleId="Buttons">
    <w:name w:val="Buttons"/>
    <w:basedOn w:val="DefaultParagraphFont"/>
    <w:rsid w:val="00A124B7"/>
    <w:rPr>
      <w:b/>
    </w:rPr>
  </w:style>
  <w:style w:type="character" w:customStyle="1" w:styleId="Underlined">
    <w:name w:val="Underlined"/>
    <w:basedOn w:val="DefaultParagraphFont"/>
    <w:rsid w:val="00A124B7"/>
    <w:rPr>
      <w:u w:val="single"/>
    </w:rPr>
  </w:style>
  <w:style w:type="paragraph" w:customStyle="1" w:styleId="TableBodyTextRight">
    <w:name w:val="Table Body Text Right"/>
    <w:basedOn w:val="TableBodyText"/>
    <w:rsid w:val="00A124B7"/>
    <w:pPr>
      <w:widowControl w:val="0"/>
      <w:autoSpaceDE w:val="0"/>
      <w:autoSpaceDN w:val="0"/>
      <w:adjustRightInd w:val="0"/>
      <w:jc w:val="right"/>
    </w:pPr>
    <w:rPr>
      <w:rFonts w:cs="Arial"/>
      <w:szCs w:val="18"/>
    </w:rPr>
  </w:style>
  <w:style w:type="paragraph" w:customStyle="1" w:styleId="CopyrightText">
    <w:name w:val="Copyright Text"/>
    <w:basedOn w:val="BodyText"/>
    <w:rsid w:val="00A124B7"/>
    <w:rPr>
      <w:sz w:val="18"/>
    </w:rPr>
  </w:style>
  <w:style w:type="paragraph" w:customStyle="1" w:styleId="BodySmallRight">
    <w:name w:val="Body Small Right"/>
    <w:basedOn w:val="BodyTextRight"/>
    <w:rsid w:val="00A124B7"/>
    <w:rPr>
      <w:sz w:val="18"/>
      <w:szCs w:val="18"/>
    </w:rPr>
  </w:style>
  <w:style w:type="paragraph" w:customStyle="1" w:styleId="MarginEdition">
    <w:name w:val="Margin Edition"/>
    <w:basedOn w:val="MarginNote"/>
    <w:rsid w:val="00A124B7"/>
    <w:pPr>
      <w:spacing w:before="0" w:after="0"/>
    </w:pPr>
    <w:rPr>
      <w:rFonts w:ascii="Times New Roman" w:hAnsi="Times New Roman"/>
      <w:color w:val="999999"/>
    </w:rPr>
  </w:style>
  <w:style w:type="paragraph" w:customStyle="1" w:styleId="Spacer">
    <w:name w:val="Spacer"/>
    <w:basedOn w:val="Normal"/>
    <w:rsid w:val="00A124B7"/>
    <w:rPr>
      <w:sz w:val="2"/>
      <w:szCs w:val="2"/>
    </w:rPr>
  </w:style>
  <w:style w:type="character" w:customStyle="1" w:styleId="Small">
    <w:name w:val="Small"/>
    <w:basedOn w:val="DefaultParagraphFont"/>
    <w:rsid w:val="00A124B7"/>
    <w:rPr>
      <w:sz w:val="16"/>
    </w:rPr>
  </w:style>
  <w:style w:type="paragraph" w:customStyle="1" w:styleId="WideTable">
    <w:name w:val="Wide Table"/>
    <w:basedOn w:val="Normal"/>
    <w:rsid w:val="00A124B7"/>
    <w:pPr>
      <w:ind w:left="-1418"/>
    </w:pPr>
    <w:rPr>
      <w:sz w:val="2"/>
      <w:szCs w:val="2"/>
    </w:rPr>
  </w:style>
  <w:style w:type="character" w:styleId="PageNumber">
    <w:name w:val="page number"/>
    <w:basedOn w:val="DefaultParagraphFont"/>
    <w:rsid w:val="00A124B7"/>
  </w:style>
  <w:style w:type="paragraph" w:styleId="Quote">
    <w:name w:val="Quote"/>
    <w:basedOn w:val="Heading1"/>
    <w:link w:val="QuoteChar"/>
    <w:qFormat/>
    <w:rsid w:val="00A124B7"/>
    <w:rPr>
      <w:b w:val="0"/>
      <w:sz w:val="72"/>
      <w:szCs w:val="72"/>
      <w:lang w:val="en-NZ"/>
    </w:rPr>
  </w:style>
  <w:style w:type="character" w:customStyle="1" w:styleId="QuoteChar">
    <w:name w:val="Quote Char"/>
    <w:basedOn w:val="DefaultParagraphFont"/>
    <w:link w:val="Quote"/>
    <w:rsid w:val="00A12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4B7"/>
    <w:pPr>
      <w:pageBreakBefore/>
    </w:pPr>
  </w:style>
  <w:style w:type="paragraph" w:customStyle="1" w:styleId="Border">
    <w:name w:val="Border"/>
    <w:basedOn w:val="Normal"/>
    <w:qFormat/>
    <w:rsid w:val="00A12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4B7"/>
    <w:rPr>
      <w:b/>
      <w:bCs/>
      <w:i/>
      <w:iCs/>
      <w:color w:val="auto"/>
    </w:rPr>
  </w:style>
  <w:style w:type="paragraph" w:styleId="IntenseQuote">
    <w:name w:val="Intense Quote"/>
    <w:basedOn w:val="Normal"/>
    <w:next w:val="Normal"/>
    <w:link w:val="IntenseQuoteChar"/>
    <w:uiPriority w:val="30"/>
    <w:qFormat/>
    <w:rsid w:val="00A12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4B7"/>
    <w:rPr>
      <w:smallCaps/>
      <w:color w:val="auto"/>
      <w:u w:val="single"/>
    </w:rPr>
  </w:style>
  <w:style w:type="character" w:styleId="IntenseReference">
    <w:name w:val="Intense Reference"/>
    <w:basedOn w:val="DefaultParagraphFont"/>
    <w:uiPriority w:val="32"/>
    <w:qFormat/>
    <w:rsid w:val="00A124B7"/>
    <w:rPr>
      <w:b/>
      <w:bCs/>
      <w:smallCaps/>
      <w:color w:val="auto"/>
      <w:spacing w:val="5"/>
      <w:u w:val="single"/>
    </w:rPr>
  </w:style>
  <w:style w:type="paragraph" w:customStyle="1" w:styleId="2ColumnHeading">
    <w:name w:val="2Column Heading"/>
    <w:basedOn w:val="BodyText"/>
    <w:qFormat/>
    <w:rsid w:val="00A124B7"/>
    <w:pPr>
      <w:spacing w:after="60"/>
      <w:ind w:left="-2268"/>
    </w:pPr>
    <w:rPr>
      <w:b/>
    </w:rPr>
  </w:style>
  <w:style w:type="paragraph" w:customStyle="1" w:styleId="Heading1TOC">
    <w:name w:val="Heading1 TOC"/>
    <w:basedOn w:val="Normal"/>
    <w:qFormat/>
    <w:rsid w:val="00A124B7"/>
    <w:pPr>
      <w:spacing w:before="240" w:after="120"/>
    </w:pPr>
    <w:rPr>
      <w:rFonts w:ascii="Times New Roman" w:hAnsi="Times New Roman"/>
      <w:b/>
      <w:sz w:val="32"/>
    </w:rPr>
  </w:style>
  <w:style w:type="paragraph" w:customStyle="1" w:styleId="Heading2TOC">
    <w:name w:val="Heading2 TOC"/>
    <w:basedOn w:val="Normal"/>
    <w:qFormat/>
    <w:rsid w:val="00A124B7"/>
    <w:pPr>
      <w:spacing w:before="240" w:after="60"/>
    </w:pPr>
    <w:rPr>
      <w:rFonts w:ascii="Times New Roman" w:hAnsi="Times New Roman"/>
      <w:b/>
      <w:sz w:val="28"/>
    </w:rPr>
  </w:style>
  <w:style w:type="character" w:customStyle="1" w:styleId="Underline">
    <w:name w:val="Underline"/>
    <w:basedOn w:val="DefaultParagraphFont"/>
    <w:qFormat/>
    <w:rsid w:val="00A124B7"/>
    <w:rPr>
      <w:u w:val="single"/>
    </w:rPr>
  </w:style>
  <w:style w:type="character" w:customStyle="1" w:styleId="BoldandItalics">
    <w:name w:val="Bold and Italics"/>
    <w:qFormat/>
    <w:rsid w:val="00A124B7"/>
    <w:rPr>
      <w:b/>
      <w:i/>
      <w:u w:val="none"/>
    </w:rPr>
  </w:style>
  <w:style w:type="paragraph" w:styleId="BalloonText">
    <w:name w:val="Balloon Text"/>
    <w:basedOn w:val="Normal"/>
    <w:link w:val="BalloonTextChar"/>
    <w:rsid w:val="00A124B7"/>
    <w:rPr>
      <w:rFonts w:ascii="Tahoma" w:hAnsi="Tahoma" w:cs="Tahoma"/>
      <w:sz w:val="16"/>
      <w:szCs w:val="16"/>
    </w:rPr>
  </w:style>
  <w:style w:type="character" w:customStyle="1" w:styleId="BalloonTextChar">
    <w:name w:val="Balloon Text Char"/>
    <w:basedOn w:val="DefaultParagraphFont"/>
    <w:link w:val="BalloonText"/>
    <w:rsid w:val="00A12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4B7"/>
    <w:rPr>
      <w:b/>
      <w:color w:val="660033"/>
      <w:spacing w:val="0"/>
    </w:rPr>
  </w:style>
  <w:style w:type="paragraph" w:customStyle="1" w:styleId="Nameditemlist">
    <w:name w:val="Named item list"/>
    <w:basedOn w:val="BodyText"/>
    <w:qFormat/>
    <w:rsid w:val="00A124B7"/>
    <w:pPr>
      <w:tabs>
        <w:tab w:val="left" w:pos="2835"/>
      </w:tabs>
      <w:ind w:left="2835" w:hanging="2835"/>
    </w:pPr>
  </w:style>
  <w:style w:type="paragraph" w:customStyle="1" w:styleId="BodyTextnopadding">
    <w:name w:val="Body Text no padding"/>
    <w:basedOn w:val="BodyText"/>
    <w:qFormat/>
    <w:rsid w:val="00A124B7"/>
    <w:pPr>
      <w:spacing w:before="0" w:after="0"/>
    </w:pPr>
  </w:style>
  <w:style w:type="paragraph" w:customStyle="1" w:styleId="BodyTextBold">
    <w:name w:val="Body Text Bold"/>
    <w:basedOn w:val="BodyText"/>
    <w:qFormat/>
    <w:rsid w:val="00A124B7"/>
    <w:rPr>
      <w:b/>
    </w:rPr>
  </w:style>
  <w:style w:type="character" w:styleId="Hyperlink">
    <w:name w:val="Hyperlink"/>
    <w:basedOn w:val="DefaultParagraphFont"/>
    <w:uiPriority w:val="99"/>
    <w:unhideWhenUsed/>
    <w:rsid w:val="00E16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8656</Characters>
  <Application>Microsoft Office Word</Application>
  <DocSecurity>0</DocSecurity>
  <Lines>240</Lines>
  <Paragraphs>118</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MEA304 Remove and install non-pressurised aircraft structural and non-structural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