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135FC7" w:rsidP="00135FC7">
      <w:pPr>
        <w:pStyle w:val="Title"/>
      </w:pPr>
      <w:r>
        <w:fldChar w:fldCharType="begin"/>
      </w:r>
      <w:r>
        <w:instrText xml:space="preserve"> TITLE   \* MERGEFORMAT </w:instrText>
      </w:r>
      <w:r>
        <w:fldChar w:fldCharType="separate"/>
      </w:r>
      <w:r>
        <w:t>MEA288 Repair or overhaul aircraft audio and visual systems and reproducers</w:t>
      </w:r>
      <w:r>
        <w:fldChar w:fldCharType="end"/>
      </w:r>
    </w:p>
    <w:p w:rsidR="00135FC7" w:rsidP="00135FC7">
      <w:pPr>
        <w:pStyle w:val="Version"/>
        <w:sectPr w:rsidSect="005435BE">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5435BE" w:rsidP="005435BE">
      <w:pPr>
        <w:pStyle w:val="SuperHeading"/>
      </w:pPr>
      <w:r w:rsidRPr="005435BE">
        <w:t>MEA288 Repair or overhaul aircraft audio and visual systems and reproducers</w:t>
      </w:r>
    </w:p>
    <w:p w:rsidR="00000000" w:rsidRPr="005435BE" w:rsidP="005435BE">
      <w:pPr>
        <w:pStyle w:val="Heading1"/>
      </w:pPr>
      <w:bookmarkStart w:id="1" w:name="O_998356"/>
      <w:bookmarkEnd w:id="1"/>
      <w:r w:rsidRPr="005435BE">
        <w:t>Modification History</w:t>
      </w:r>
    </w:p>
    <w:p w:rsidR="00000000" w:rsidRPr="005435BE" w:rsidP="00135FC7">
      <w:pPr>
        <w:pStyle w:val="BodyText"/>
      </w:pPr>
      <w:r w:rsidRPr="005435BE">
        <w:t>Release 2. Equivalent to MEA288 Repair or overhaul aircraft audio and visual systems and reproducers with amended prerequisite codes.</w:t>
      </w:r>
    </w:p>
    <w:p w:rsidR="00000000" w:rsidRPr="005435BE" w:rsidP="005435BE">
      <w:pPr>
        <w:pStyle w:val="Heading1"/>
      </w:pPr>
      <w:bookmarkStart w:id="2" w:name="O_998355"/>
      <w:bookmarkEnd w:id="2"/>
      <w:r w:rsidRPr="005435BE">
        <w:t>Application</w:t>
      </w:r>
    </w:p>
    <w:p w:rsidR="00000000" w:rsidRPr="005435BE" w:rsidP="00135FC7">
      <w:pPr>
        <w:pStyle w:val="BodyText"/>
      </w:pPr>
      <w:r w:rsidRPr="005435BE">
        <w:t>This unit of competency requires application of hand skills and knowledge of component repair and overhaul procedures relating to aircraft analogue and digital passenger entertainment electronic equipment components that are rep</w:t>
      </w:r>
      <w:r w:rsidRPr="005435BE">
        <w:t>aired or overhauled in aviation maintenance workshops during scheduled or unscheduled maintenance. Work may be performed individually or as part of a team.</w:t>
      </w:r>
    </w:p>
    <w:p w:rsidR="00000000" w:rsidRPr="005435BE" w:rsidP="00135FC7">
      <w:pPr>
        <w:pStyle w:val="BodyText"/>
      </w:pPr>
      <w:r w:rsidRPr="005435BE">
        <w:t>The unit is part of the Avionic Certificate IV (Component Workshop Maintenance Stream) training pat</w:t>
      </w:r>
      <w:r w:rsidRPr="005435BE">
        <w:t xml:space="preserve">hway. </w:t>
      </w:r>
    </w:p>
    <w:p w:rsidR="00135FC7" w:rsidP="00135FC7">
      <w:pPr>
        <w:pStyle w:val="BodyText"/>
      </w:pPr>
      <w:r w:rsidRPr="005435BE">
        <w:t xml:space="preserve">The unit is used in workplaces that operate under the airworthiness regulatory systems of the Australian Defence Force (ADF) and the Civil Aviation safety Authority (CASA). </w:t>
      </w:r>
    </w:p>
    <w:p w:rsidR="00000000" w:rsidRPr="005435BE" w:rsidP="005435BE">
      <w:pPr>
        <w:pStyle w:val="Heading1"/>
      </w:pPr>
      <w:bookmarkStart w:id="3" w:name="O_998354"/>
      <w:bookmarkEnd w:id="3"/>
      <w:r w:rsidRPr="005435BE">
        <w:t>Pre-requisite Unit</w:t>
      </w:r>
    </w:p>
    <w:tbl>
      <w:tblPr>
        <w:tblW w:w="0" w:type="auto"/>
        <w:tblLayout w:type="fixed"/>
        <w:tblCellMar>
          <w:left w:w="62" w:type="dxa"/>
          <w:right w:w="62" w:type="dxa"/>
        </w:tblCellMar>
        <w:tblLook w:val="0000"/>
      </w:tblPr>
      <w:tblGrid>
        <w:gridCol w:w="1592"/>
        <w:gridCol w:w="6371"/>
      </w:tblGrid>
      <w:tr w:rsidTr="005435BE">
        <w:tblPrEx>
          <w:tblW w:w="0" w:type="auto"/>
          <w:tblLayout w:type="fixed"/>
          <w:tblCellMar>
            <w:left w:w="62" w:type="dxa"/>
            <w:right w:w="62" w:type="dxa"/>
          </w:tblCellMar>
          <w:tblLook w:val="0000"/>
        </w:tblPrEx>
        <w:tc>
          <w:tcPr>
            <w:tcW w:w="1592" w:type="dxa"/>
            <w:tcBorders>
              <w:top w:val="nil"/>
              <w:left w:val="nil"/>
              <w:bottom w:val="nil"/>
              <w:right w:val="nil"/>
            </w:tcBorders>
            <w:tcMar>
              <w:top w:w="0" w:type="dxa"/>
              <w:left w:w="62" w:type="dxa"/>
              <w:bottom w:w="0" w:type="dxa"/>
              <w:right w:w="62" w:type="dxa"/>
            </w:tcMar>
          </w:tcPr>
          <w:p w:rsidR="00000000" w:rsidP="005435BE">
            <w:pPr>
              <w:pStyle w:val="BodyText"/>
              <w:rPr>
                <w:lang w:val="en-NZ"/>
              </w:rPr>
            </w:pPr>
            <w:r w:rsidRPr="005435BE">
              <w:t>MEA261</w:t>
            </w:r>
          </w:p>
        </w:tc>
        <w:tc>
          <w:tcPr>
            <w:tcW w:w="6371" w:type="dxa"/>
            <w:tcBorders>
              <w:top w:val="nil"/>
              <w:left w:val="nil"/>
              <w:bottom w:val="nil"/>
              <w:right w:val="nil"/>
            </w:tcBorders>
            <w:tcMar>
              <w:top w:w="0" w:type="dxa"/>
              <w:left w:w="62" w:type="dxa"/>
              <w:bottom w:w="0" w:type="dxa"/>
              <w:right w:w="62" w:type="dxa"/>
            </w:tcMar>
          </w:tcPr>
          <w:p w:rsidR="00000000" w:rsidP="005435BE">
            <w:pPr>
              <w:pStyle w:val="BodyText"/>
              <w:rPr>
                <w:lang w:val="en-NZ"/>
              </w:rPr>
            </w:pPr>
            <w:r w:rsidRPr="005435BE">
              <w:t>Use electronic test equipment</w:t>
            </w:r>
          </w:p>
        </w:tc>
      </w:tr>
      <w:tr w:rsidTr="005435BE">
        <w:tblPrEx>
          <w:tblW w:w="0" w:type="auto"/>
          <w:tblLayout w:type="fixed"/>
          <w:tblCellMar>
            <w:left w:w="62" w:type="dxa"/>
            <w:right w:w="62" w:type="dxa"/>
          </w:tblCellMar>
          <w:tblLook w:val="0000"/>
        </w:tblPrEx>
        <w:tc>
          <w:tcPr>
            <w:tcW w:w="1592" w:type="dxa"/>
            <w:tcBorders>
              <w:top w:val="nil"/>
              <w:left w:val="nil"/>
              <w:bottom w:val="nil"/>
              <w:right w:val="nil"/>
            </w:tcBorders>
            <w:tcMar>
              <w:top w:w="0" w:type="dxa"/>
              <w:left w:w="62" w:type="dxa"/>
              <w:bottom w:w="0" w:type="dxa"/>
              <w:right w:w="62" w:type="dxa"/>
            </w:tcMar>
          </w:tcPr>
          <w:p w:rsidR="00000000" w:rsidP="005435BE">
            <w:pPr>
              <w:pStyle w:val="BodyText"/>
              <w:rPr>
                <w:lang w:val="en-NZ"/>
              </w:rPr>
            </w:pPr>
            <w:r w:rsidRPr="005435BE">
              <w:t>MEA296</w:t>
            </w:r>
          </w:p>
        </w:tc>
        <w:tc>
          <w:tcPr>
            <w:tcW w:w="6371" w:type="dxa"/>
            <w:tcBorders>
              <w:top w:val="nil"/>
              <w:left w:val="nil"/>
              <w:bottom w:val="nil"/>
              <w:right w:val="nil"/>
            </w:tcBorders>
            <w:tcMar>
              <w:top w:w="0" w:type="dxa"/>
              <w:left w:w="62" w:type="dxa"/>
              <w:bottom w:w="0" w:type="dxa"/>
              <w:right w:w="62" w:type="dxa"/>
            </w:tcMar>
          </w:tcPr>
          <w:p w:rsidR="00000000" w:rsidRPr="005435BE" w:rsidP="005435BE">
            <w:pPr>
              <w:pStyle w:val="BodyText"/>
            </w:pPr>
            <w:r w:rsidRPr="005435BE">
              <w:t>Use electrical test equipment in aviation maintenance activities</w:t>
            </w:r>
          </w:p>
        </w:tc>
      </w:tr>
    </w:tbl>
    <w:p w:rsidR="00000000" w:rsidRPr="005435BE" w:rsidP="005435BE">
      <w:pPr>
        <w:pStyle w:val="BodyText"/>
      </w:pPr>
    </w:p>
    <w:p w:rsidR="00000000" w:rsidRPr="005435BE" w:rsidP="005435BE">
      <w:pPr>
        <w:pStyle w:val="AllowPageBreak"/>
      </w:pPr>
    </w:p>
    <w:p w:rsidR="00000000" w:rsidRPr="005435BE" w:rsidP="005435BE">
      <w:pPr>
        <w:pStyle w:val="Heading1"/>
      </w:pPr>
      <w:bookmarkStart w:id="4" w:name="O_998353"/>
      <w:bookmarkEnd w:id="4"/>
      <w:r w:rsidRPr="005435BE">
        <w:t>Competency Field</w:t>
      </w:r>
    </w:p>
    <w:p w:rsidR="00000000" w:rsidRPr="005435BE" w:rsidP="00135FC7">
      <w:pPr>
        <w:pStyle w:val="BodyText"/>
      </w:pPr>
      <w:r w:rsidRPr="005435BE">
        <w:t>Aviation maintenance</w:t>
      </w:r>
    </w:p>
    <w:p w:rsidR="00000000" w:rsidRPr="005435BE" w:rsidP="005435BE">
      <w:pPr>
        <w:pStyle w:val="Heading1"/>
      </w:pPr>
      <w:bookmarkStart w:id="5" w:name="O_998352"/>
      <w:bookmarkEnd w:id="5"/>
      <w:r w:rsidRPr="005435BE">
        <w:t>Unit Sector</w:t>
      </w:r>
    </w:p>
    <w:p w:rsidR="00000000" w:rsidRPr="005435BE" w:rsidP="005435BE">
      <w:pPr>
        <w:pStyle w:val="Heading1"/>
      </w:pPr>
      <w:bookmarkStart w:id="6" w:name="O_998351"/>
      <w:bookmarkEnd w:id="6"/>
      <w:r w:rsidRPr="005435BE">
        <w:t>Elements and Performance Criteria</w:t>
      </w:r>
    </w:p>
    <w:tbl>
      <w:tblPr>
        <w:tblW w:w="0" w:type="auto"/>
        <w:tblLayout w:type="fixed"/>
        <w:tblCellMar>
          <w:left w:w="62" w:type="dxa"/>
          <w:right w:w="62" w:type="dxa"/>
        </w:tblCellMar>
        <w:tblLook w:val="0000"/>
      </w:tblPr>
      <w:tblGrid>
        <w:gridCol w:w="574"/>
        <w:gridCol w:w="2295"/>
        <w:gridCol w:w="717"/>
        <w:gridCol w:w="5594"/>
      </w:tblGrid>
      <w:tr w:rsidTr="005435BE">
        <w:tblPrEx>
          <w:tblW w:w="0" w:type="auto"/>
          <w:tblLayout w:type="fixed"/>
          <w:tblCellMar>
            <w:left w:w="62" w:type="dxa"/>
            <w:right w:w="62" w:type="dxa"/>
          </w:tblCellMar>
          <w:tblLook w:val="0000"/>
        </w:tblPrEx>
        <w:tc>
          <w:tcPr>
            <w:tcW w:w="2869" w:type="dxa"/>
            <w:gridSpan w:val="2"/>
            <w:tcBorders>
              <w:top w:val="nil"/>
              <w:left w:val="nil"/>
              <w:bottom w:val="nil"/>
              <w:right w:val="nil"/>
            </w:tcBorders>
            <w:tcMar>
              <w:top w:w="0" w:type="dxa"/>
              <w:left w:w="62" w:type="dxa"/>
              <w:bottom w:w="0" w:type="dxa"/>
              <w:right w:w="62" w:type="dxa"/>
            </w:tcMar>
          </w:tcPr>
          <w:p w:rsidR="00000000" w:rsidP="005435BE">
            <w:pPr>
              <w:pStyle w:val="BodyText"/>
              <w:rPr>
                <w:lang w:val="en-NZ"/>
              </w:rPr>
            </w:pPr>
            <w:r w:rsidRPr="005435BE">
              <w:t>Elements describe the essential outcomes.</w:t>
            </w:r>
          </w:p>
        </w:tc>
        <w:tc>
          <w:tcPr>
            <w:tcW w:w="6311" w:type="dxa"/>
            <w:gridSpan w:val="2"/>
            <w:tcBorders>
              <w:top w:val="nil"/>
              <w:left w:val="nil"/>
              <w:bottom w:val="nil"/>
              <w:right w:val="nil"/>
            </w:tcBorders>
            <w:tcMar>
              <w:top w:w="0" w:type="dxa"/>
              <w:left w:w="62" w:type="dxa"/>
              <w:bottom w:w="0" w:type="dxa"/>
              <w:right w:w="62" w:type="dxa"/>
            </w:tcMar>
          </w:tcPr>
          <w:p w:rsidR="00000000" w:rsidP="005435BE">
            <w:pPr>
              <w:pStyle w:val="BodyText"/>
              <w:rPr>
                <w:lang w:val="en-NZ"/>
              </w:rPr>
            </w:pPr>
            <w:r w:rsidRPr="005435BE">
              <w:t xml:space="preserve">Performance criteria describe the performance needed to demonstrate achievement of the element. </w:t>
            </w:r>
          </w:p>
        </w:tc>
      </w:tr>
      <w:tr w:rsidTr="005435BE">
        <w:tblPrEx>
          <w:tblW w:w="0" w:type="auto"/>
          <w:tblLayout w:type="fixed"/>
          <w:tblCellMar>
            <w:left w:w="62" w:type="dxa"/>
            <w:right w:w="62" w:type="dxa"/>
          </w:tblCellMar>
          <w:tblLook w:val="0000"/>
        </w:tblPrEx>
        <w:tc>
          <w:tcPr>
            <w:tcW w:w="574" w:type="dxa"/>
            <w:tcBorders>
              <w:top w:val="nil"/>
              <w:left w:val="nil"/>
              <w:bottom w:val="nil"/>
              <w:right w:val="nil"/>
            </w:tcBorders>
            <w:tcMar>
              <w:top w:w="0" w:type="dxa"/>
              <w:left w:w="62" w:type="dxa"/>
              <w:bottom w:w="0" w:type="dxa"/>
              <w:right w:w="62" w:type="dxa"/>
            </w:tcMar>
          </w:tcPr>
          <w:p w:rsidR="00000000" w:rsidP="005435BE">
            <w:pPr>
              <w:pStyle w:val="BodyText"/>
              <w:rPr>
                <w:lang w:val="en-NZ"/>
              </w:rPr>
            </w:pPr>
            <w:r w:rsidRPr="005435BE">
              <w:t>1.</w:t>
            </w:r>
          </w:p>
        </w:tc>
        <w:tc>
          <w:tcPr>
            <w:tcW w:w="2295" w:type="dxa"/>
            <w:tcBorders>
              <w:top w:val="nil"/>
              <w:left w:val="nil"/>
              <w:bottom w:val="nil"/>
              <w:right w:val="nil"/>
            </w:tcBorders>
            <w:tcMar>
              <w:top w:w="0" w:type="dxa"/>
              <w:left w:w="62" w:type="dxa"/>
              <w:bottom w:w="0" w:type="dxa"/>
              <w:right w:w="62" w:type="dxa"/>
            </w:tcMar>
          </w:tcPr>
          <w:p w:rsidR="00000000" w:rsidP="005435BE">
            <w:pPr>
              <w:pStyle w:val="BodyText"/>
              <w:rPr>
                <w:lang w:val="en-NZ"/>
              </w:rPr>
            </w:pPr>
            <w:r w:rsidRPr="005435BE">
              <w:t>Determine requirements</w:t>
            </w:r>
          </w:p>
        </w:tc>
        <w:tc>
          <w:tcPr>
            <w:tcW w:w="717" w:type="dxa"/>
            <w:tcBorders>
              <w:top w:val="nil"/>
              <w:left w:val="nil"/>
              <w:bottom w:val="nil"/>
              <w:right w:val="nil"/>
            </w:tcBorders>
            <w:tcMar>
              <w:top w:w="0" w:type="dxa"/>
              <w:left w:w="62" w:type="dxa"/>
              <w:bottom w:w="0" w:type="dxa"/>
              <w:right w:w="62" w:type="dxa"/>
            </w:tcMar>
          </w:tcPr>
          <w:p w:rsidR="00000000" w:rsidP="005435BE">
            <w:pPr>
              <w:pStyle w:val="BodyText"/>
              <w:rPr>
                <w:lang w:val="en-NZ"/>
              </w:rPr>
            </w:pPr>
            <w:r w:rsidRPr="005435BE">
              <w:t>1.1</w:t>
            </w:r>
          </w:p>
        </w:tc>
        <w:tc>
          <w:tcPr>
            <w:tcW w:w="5594" w:type="dxa"/>
            <w:tcBorders>
              <w:top w:val="nil"/>
              <w:left w:val="nil"/>
              <w:bottom w:val="nil"/>
              <w:right w:val="nil"/>
            </w:tcBorders>
            <w:tcMar>
              <w:top w:w="0" w:type="dxa"/>
              <w:left w:w="62" w:type="dxa"/>
              <w:bottom w:w="0" w:type="dxa"/>
              <w:right w:w="62" w:type="dxa"/>
            </w:tcMar>
          </w:tcPr>
          <w:p w:rsidR="00000000" w:rsidP="005435BE">
            <w:pPr>
              <w:pStyle w:val="BodyText"/>
              <w:rPr>
                <w:lang w:val="en-NZ"/>
              </w:rPr>
            </w:pPr>
            <w:r w:rsidRPr="005435BE">
              <w:t>Audio and video system and reproducer component defect reports (removal tags) or customer order are correctly interpreted and m</w:t>
            </w:r>
            <w:r w:rsidRPr="005435BE">
              <w:t>atched by part and serial numbers</w:t>
            </w:r>
          </w:p>
        </w:tc>
      </w:tr>
      <w:tr w:rsidTr="005435BE">
        <w:tblPrEx>
          <w:tblW w:w="0" w:type="auto"/>
          <w:tblLayout w:type="fixed"/>
          <w:tblCellMar>
            <w:left w:w="62" w:type="dxa"/>
            <w:right w:w="62" w:type="dxa"/>
          </w:tblCellMar>
          <w:tblLook w:val="0000"/>
        </w:tblPrEx>
        <w:tc>
          <w:tcPr>
            <w:tcW w:w="57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295"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7" w:type="dxa"/>
            <w:tcBorders>
              <w:top w:val="nil"/>
              <w:left w:val="nil"/>
              <w:bottom w:val="nil"/>
              <w:right w:val="nil"/>
            </w:tcBorders>
            <w:tcMar>
              <w:top w:w="0" w:type="dxa"/>
              <w:left w:w="62" w:type="dxa"/>
              <w:bottom w:w="0" w:type="dxa"/>
              <w:right w:w="62" w:type="dxa"/>
            </w:tcMar>
          </w:tcPr>
          <w:p w:rsidR="00000000" w:rsidP="005435BE">
            <w:pPr>
              <w:pStyle w:val="BodyText"/>
              <w:rPr>
                <w:lang w:val="en-NZ"/>
              </w:rPr>
            </w:pPr>
            <w:r w:rsidRPr="005435BE">
              <w:t>1.2</w:t>
            </w:r>
          </w:p>
        </w:tc>
        <w:tc>
          <w:tcPr>
            <w:tcW w:w="5594" w:type="dxa"/>
            <w:tcBorders>
              <w:top w:val="nil"/>
              <w:left w:val="nil"/>
              <w:bottom w:val="nil"/>
              <w:right w:val="nil"/>
            </w:tcBorders>
            <w:tcMar>
              <w:top w:w="0" w:type="dxa"/>
              <w:left w:w="62" w:type="dxa"/>
              <w:bottom w:w="0" w:type="dxa"/>
              <w:right w:w="62" w:type="dxa"/>
            </w:tcMar>
          </w:tcPr>
          <w:p w:rsidR="00000000" w:rsidP="005435BE">
            <w:pPr>
              <w:pStyle w:val="BodyText"/>
              <w:rPr>
                <w:lang w:val="en-NZ"/>
              </w:rPr>
            </w:pPr>
            <w:r w:rsidRPr="005435BE">
              <w:t xml:space="preserve">Circuitry is correctly prepared and connected to the applicable test equipment and is functionally tested or cycled through the prescribed test procedures </w:t>
            </w:r>
            <w:r w:rsidRPr="005435BE">
              <w:t>in accordance with the maintenance documentation for evidence of serviceability or malfunction</w:t>
            </w:r>
          </w:p>
        </w:tc>
      </w:tr>
      <w:tr w:rsidTr="005435BE">
        <w:tblPrEx>
          <w:tblW w:w="0" w:type="auto"/>
          <w:tblLayout w:type="fixed"/>
          <w:tblCellMar>
            <w:left w:w="62" w:type="dxa"/>
            <w:right w:w="62" w:type="dxa"/>
          </w:tblCellMar>
          <w:tblLook w:val="0000"/>
        </w:tblPrEx>
        <w:tc>
          <w:tcPr>
            <w:tcW w:w="57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295"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7" w:type="dxa"/>
            <w:tcBorders>
              <w:top w:val="nil"/>
              <w:left w:val="nil"/>
              <w:bottom w:val="nil"/>
              <w:right w:val="nil"/>
            </w:tcBorders>
            <w:tcMar>
              <w:top w:w="0" w:type="dxa"/>
              <w:left w:w="62" w:type="dxa"/>
              <w:bottom w:w="0" w:type="dxa"/>
              <w:right w:w="62" w:type="dxa"/>
            </w:tcMar>
          </w:tcPr>
          <w:p w:rsidR="00000000" w:rsidP="005435BE">
            <w:pPr>
              <w:pStyle w:val="BodyText"/>
              <w:rPr>
                <w:lang w:val="en-NZ"/>
              </w:rPr>
            </w:pPr>
            <w:r w:rsidRPr="005435BE">
              <w:t>1.3</w:t>
            </w:r>
          </w:p>
        </w:tc>
        <w:tc>
          <w:tcPr>
            <w:tcW w:w="5594" w:type="dxa"/>
            <w:tcBorders>
              <w:top w:val="nil"/>
              <w:left w:val="nil"/>
              <w:bottom w:val="nil"/>
              <w:right w:val="nil"/>
            </w:tcBorders>
            <w:tcMar>
              <w:top w:w="0" w:type="dxa"/>
              <w:left w:w="62" w:type="dxa"/>
              <w:bottom w:w="0" w:type="dxa"/>
              <w:right w:w="62" w:type="dxa"/>
            </w:tcMar>
          </w:tcPr>
          <w:p w:rsidR="00000000" w:rsidP="005435BE">
            <w:pPr>
              <w:pStyle w:val="BodyText"/>
              <w:rPr>
                <w:lang w:val="en-NZ"/>
              </w:rPr>
            </w:pPr>
            <w:r w:rsidRPr="005435BE">
              <w:t>Modification status is clearly established to assist in determining the overhaul requirements for the components</w:t>
            </w:r>
          </w:p>
        </w:tc>
      </w:tr>
      <w:tr w:rsidTr="005435BE">
        <w:tblPrEx>
          <w:tblW w:w="0" w:type="auto"/>
          <w:tblLayout w:type="fixed"/>
          <w:tblCellMar>
            <w:left w:w="62" w:type="dxa"/>
            <w:right w:w="62" w:type="dxa"/>
          </w:tblCellMar>
          <w:tblLook w:val="0000"/>
        </w:tblPrEx>
        <w:tc>
          <w:tcPr>
            <w:tcW w:w="57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295"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7" w:type="dxa"/>
            <w:tcBorders>
              <w:top w:val="nil"/>
              <w:left w:val="nil"/>
              <w:bottom w:val="nil"/>
              <w:right w:val="nil"/>
            </w:tcBorders>
            <w:tcMar>
              <w:top w:w="0" w:type="dxa"/>
              <w:left w:w="62" w:type="dxa"/>
              <w:bottom w:w="0" w:type="dxa"/>
              <w:right w:w="62" w:type="dxa"/>
            </w:tcMar>
          </w:tcPr>
          <w:p w:rsidR="00000000" w:rsidP="005435BE">
            <w:pPr>
              <w:pStyle w:val="BodyText"/>
              <w:rPr>
                <w:lang w:val="en-NZ"/>
              </w:rPr>
            </w:pPr>
            <w:r w:rsidRPr="005435BE">
              <w:t>1.4</w:t>
            </w:r>
          </w:p>
        </w:tc>
        <w:tc>
          <w:tcPr>
            <w:tcW w:w="5594" w:type="dxa"/>
            <w:tcBorders>
              <w:top w:val="nil"/>
              <w:left w:val="nil"/>
              <w:bottom w:val="nil"/>
              <w:right w:val="nil"/>
            </w:tcBorders>
            <w:tcMar>
              <w:top w:w="0" w:type="dxa"/>
              <w:left w:w="62" w:type="dxa"/>
              <w:bottom w:w="0" w:type="dxa"/>
              <w:right w:w="62" w:type="dxa"/>
            </w:tcMar>
          </w:tcPr>
          <w:p w:rsidR="00000000" w:rsidP="005435BE">
            <w:pPr>
              <w:pStyle w:val="BodyText"/>
              <w:rPr>
                <w:lang w:val="en-NZ"/>
              </w:rPr>
            </w:pPr>
            <w:r w:rsidRPr="005435BE">
              <w:t>Extent of overhaul or repair is co</w:t>
            </w:r>
            <w:r w:rsidRPr="005435BE">
              <w:t>rrectly identified and documented</w:t>
            </w:r>
          </w:p>
        </w:tc>
      </w:tr>
      <w:tr w:rsidTr="005435BE">
        <w:tblPrEx>
          <w:tblW w:w="0" w:type="auto"/>
          <w:tblLayout w:type="fixed"/>
          <w:tblCellMar>
            <w:left w:w="62" w:type="dxa"/>
            <w:right w:w="62" w:type="dxa"/>
          </w:tblCellMar>
          <w:tblLook w:val="0000"/>
        </w:tblPrEx>
        <w:tc>
          <w:tcPr>
            <w:tcW w:w="574" w:type="dxa"/>
            <w:tcBorders>
              <w:top w:val="nil"/>
              <w:left w:val="nil"/>
              <w:bottom w:val="nil"/>
              <w:right w:val="nil"/>
            </w:tcBorders>
            <w:tcMar>
              <w:top w:w="0" w:type="dxa"/>
              <w:left w:w="62" w:type="dxa"/>
              <w:bottom w:w="0" w:type="dxa"/>
              <w:right w:w="62" w:type="dxa"/>
            </w:tcMar>
          </w:tcPr>
          <w:p w:rsidR="00000000" w:rsidP="005435BE">
            <w:pPr>
              <w:pStyle w:val="BodyText"/>
              <w:rPr>
                <w:lang w:val="en-NZ"/>
              </w:rPr>
            </w:pPr>
            <w:r w:rsidRPr="005435BE">
              <w:t>2.</w:t>
            </w:r>
          </w:p>
        </w:tc>
        <w:tc>
          <w:tcPr>
            <w:tcW w:w="2295" w:type="dxa"/>
            <w:vMerge w:val="restart"/>
            <w:tcBorders>
              <w:top w:val="nil"/>
              <w:left w:val="nil"/>
              <w:bottom w:val="nil"/>
              <w:right w:val="nil"/>
            </w:tcBorders>
            <w:tcMar>
              <w:top w:w="0" w:type="dxa"/>
              <w:left w:w="62" w:type="dxa"/>
              <w:bottom w:w="0" w:type="dxa"/>
              <w:right w:w="62" w:type="dxa"/>
            </w:tcMar>
          </w:tcPr>
          <w:p w:rsidR="00000000" w:rsidP="005435BE">
            <w:pPr>
              <w:pStyle w:val="BodyText"/>
              <w:rPr>
                <w:lang w:val="en-NZ"/>
              </w:rPr>
            </w:pPr>
            <w:r w:rsidRPr="005435BE">
              <w:t>Dismantle and inspect audio and video system and reproducer components</w:t>
            </w:r>
          </w:p>
        </w:tc>
        <w:tc>
          <w:tcPr>
            <w:tcW w:w="717" w:type="dxa"/>
            <w:tcBorders>
              <w:top w:val="nil"/>
              <w:left w:val="nil"/>
              <w:bottom w:val="nil"/>
              <w:right w:val="nil"/>
            </w:tcBorders>
            <w:tcMar>
              <w:top w:w="0" w:type="dxa"/>
              <w:left w:w="62" w:type="dxa"/>
              <w:bottom w:w="0" w:type="dxa"/>
              <w:right w:w="62" w:type="dxa"/>
            </w:tcMar>
          </w:tcPr>
          <w:p w:rsidR="00000000" w:rsidP="005435BE">
            <w:pPr>
              <w:pStyle w:val="BodyText"/>
              <w:rPr>
                <w:lang w:val="en-NZ"/>
              </w:rPr>
            </w:pPr>
            <w:r w:rsidRPr="005435BE">
              <w:t>2.1</w:t>
            </w:r>
          </w:p>
        </w:tc>
        <w:tc>
          <w:tcPr>
            <w:tcW w:w="5594" w:type="dxa"/>
            <w:tcBorders>
              <w:top w:val="nil"/>
              <w:left w:val="nil"/>
              <w:bottom w:val="nil"/>
              <w:right w:val="nil"/>
            </w:tcBorders>
            <w:tcMar>
              <w:top w:w="0" w:type="dxa"/>
              <w:left w:w="62" w:type="dxa"/>
              <w:bottom w:w="0" w:type="dxa"/>
              <w:right w:w="62" w:type="dxa"/>
            </w:tcMar>
          </w:tcPr>
          <w:p w:rsidR="00000000" w:rsidP="005435BE">
            <w:pPr>
              <w:pStyle w:val="BodyText"/>
              <w:rPr>
                <w:lang w:val="en-NZ"/>
              </w:rPr>
            </w:pPr>
            <w:r w:rsidRPr="005435BE">
              <w:t>Component parts are dismantled in accordance with maintenance manuals while observing all relevant work health and safety (WHS) requirements</w:t>
            </w:r>
          </w:p>
        </w:tc>
      </w:tr>
      <w:tr w:rsidTr="005435BE">
        <w:tblPrEx>
          <w:tblW w:w="0" w:type="auto"/>
          <w:tblLayout w:type="fixed"/>
          <w:tblCellMar>
            <w:left w:w="62" w:type="dxa"/>
            <w:right w:w="62" w:type="dxa"/>
          </w:tblCellMar>
          <w:tblLook w:val="0000"/>
        </w:tblPrEx>
        <w:tc>
          <w:tcPr>
            <w:tcW w:w="57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295"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7" w:type="dxa"/>
            <w:tcBorders>
              <w:top w:val="nil"/>
              <w:left w:val="nil"/>
              <w:bottom w:val="nil"/>
              <w:right w:val="nil"/>
            </w:tcBorders>
            <w:tcMar>
              <w:top w:w="0" w:type="dxa"/>
              <w:left w:w="62" w:type="dxa"/>
              <w:bottom w:w="0" w:type="dxa"/>
              <w:right w:w="62" w:type="dxa"/>
            </w:tcMar>
          </w:tcPr>
          <w:p w:rsidR="00000000" w:rsidP="005435BE">
            <w:pPr>
              <w:pStyle w:val="BodyText"/>
              <w:rPr>
                <w:lang w:val="en-NZ"/>
              </w:rPr>
            </w:pPr>
            <w:r w:rsidRPr="005435BE">
              <w:t>2.2</w:t>
            </w:r>
          </w:p>
        </w:tc>
        <w:tc>
          <w:tcPr>
            <w:tcW w:w="5594" w:type="dxa"/>
            <w:tcBorders>
              <w:top w:val="nil"/>
              <w:left w:val="nil"/>
              <w:bottom w:val="nil"/>
              <w:right w:val="nil"/>
            </w:tcBorders>
            <w:tcMar>
              <w:top w:w="0" w:type="dxa"/>
              <w:left w:w="62" w:type="dxa"/>
              <w:bottom w:w="0" w:type="dxa"/>
              <w:right w:w="62" w:type="dxa"/>
            </w:tcMar>
          </w:tcPr>
          <w:p w:rsidR="00000000" w:rsidP="005435BE">
            <w:pPr>
              <w:pStyle w:val="BodyText"/>
              <w:rPr>
                <w:lang w:val="en-NZ"/>
              </w:rPr>
            </w:pPr>
            <w:r w:rsidRPr="005435BE">
              <w:t>Component parts are assessed for serviceability in accordance with the relevant maintenance documentation</w:t>
            </w:r>
          </w:p>
        </w:tc>
      </w:tr>
      <w:tr w:rsidTr="005435BE">
        <w:tblPrEx>
          <w:tblW w:w="0" w:type="auto"/>
          <w:tblLayout w:type="fixed"/>
          <w:tblCellMar>
            <w:left w:w="62" w:type="dxa"/>
            <w:right w:w="62" w:type="dxa"/>
          </w:tblCellMar>
          <w:tblLook w:val="0000"/>
        </w:tblPrEx>
        <w:tc>
          <w:tcPr>
            <w:tcW w:w="57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295"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7" w:type="dxa"/>
            <w:tcBorders>
              <w:top w:val="nil"/>
              <w:left w:val="nil"/>
              <w:bottom w:val="nil"/>
              <w:right w:val="nil"/>
            </w:tcBorders>
            <w:tcMar>
              <w:top w:w="0" w:type="dxa"/>
              <w:left w:w="62" w:type="dxa"/>
              <w:bottom w:w="0" w:type="dxa"/>
              <w:right w:w="62" w:type="dxa"/>
            </w:tcMar>
          </w:tcPr>
          <w:p w:rsidR="00000000" w:rsidP="005435BE">
            <w:pPr>
              <w:pStyle w:val="BodyText"/>
              <w:rPr>
                <w:lang w:val="en-NZ"/>
              </w:rPr>
            </w:pPr>
            <w:r w:rsidRPr="005435BE">
              <w:t>2.3</w:t>
            </w:r>
          </w:p>
        </w:tc>
        <w:tc>
          <w:tcPr>
            <w:tcW w:w="5594" w:type="dxa"/>
            <w:tcBorders>
              <w:top w:val="nil"/>
              <w:left w:val="nil"/>
              <w:bottom w:val="nil"/>
              <w:right w:val="nil"/>
            </w:tcBorders>
            <w:tcMar>
              <w:top w:w="0" w:type="dxa"/>
              <w:left w:w="62" w:type="dxa"/>
              <w:bottom w:w="0" w:type="dxa"/>
              <w:right w:w="62" w:type="dxa"/>
            </w:tcMar>
          </w:tcPr>
          <w:p w:rsidR="00000000" w:rsidP="005435BE">
            <w:pPr>
              <w:pStyle w:val="BodyText"/>
              <w:rPr>
                <w:lang w:val="en-NZ"/>
              </w:rPr>
            </w:pPr>
            <w:r w:rsidRPr="005435BE">
              <w:t>Parts requiring specialist repair are tagged and repair instructions are accurately specified</w:t>
            </w:r>
          </w:p>
        </w:tc>
      </w:tr>
      <w:tr w:rsidTr="005435BE">
        <w:tblPrEx>
          <w:tblW w:w="0" w:type="auto"/>
          <w:tblLayout w:type="fixed"/>
          <w:tblCellMar>
            <w:left w:w="62" w:type="dxa"/>
            <w:right w:w="62" w:type="dxa"/>
          </w:tblCellMar>
          <w:tblLook w:val="0000"/>
        </w:tblPrEx>
        <w:tc>
          <w:tcPr>
            <w:tcW w:w="57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295"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7" w:type="dxa"/>
            <w:tcBorders>
              <w:top w:val="nil"/>
              <w:left w:val="nil"/>
              <w:bottom w:val="nil"/>
              <w:right w:val="nil"/>
            </w:tcBorders>
            <w:tcMar>
              <w:top w:w="0" w:type="dxa"/>
              <w:left w:w="62" w:type="dxa"/>
              <w:bottom w:w="0" w:type="dxa"/>
              <w:right w:w="62" w:type="dxa"/>
            </w:tcMar>
          </w:tcPr>
          <w:p w:rsidR="00000000" w:rsidP="005435BE">
            <w:pPr>
              <w:pStyle w:val="BodyText"/>
              <w:rPr>
                <w:lang w:val="en-NZ"/>
              </w:rPr>
            </w:pPr>
            <w:r w:rsidRPr="005435BE">
              <w:t>2.4</w:t>
            </w:r>
          </w:p>
        </w:tc>
        <w:tc>
          <w:tcPr>
            <w:tcW w:w="5594" w:type="dxa"/>
            <w:tcBorders>
              <w:top w:val="nil"/>
              <w:left w:val="nil"/>
              <w:bottom w:val="nil"/>
              <w:right w:val="nil"/>
            </w:tcBorders>
            <w:tcMar>
              <w:top w:w="0" w:type="dxa"/>
              <w:left w:w="62" w:type="dxa"/>
              <w:bottom w:w="0" w:type="dxa"/>
              <w:right w:w="62" w:type="dxa"/>
            </w:tcMar>
          </w:tcPr>
          <w:p w:rsidR="00000000" w:rsidP="005435BE">
            <w:pPr>
              <w:pStyle w:val="BodyText"/>
              <w:rPr>
                <w:lang w:val="en-NZ"/>
              </w:rPr>
            </w:pPr>
            <w:r w:rsidRPr="005435BE">
              <w:t>Parts lists are compiled and processed in accordance with standard enterprise procedures</w:t>
            </w:r>
          </w:p>
        </w:tc>
      </w:tr>
      <w:tr w:rsidTr="005435BE">
        <w:tblPrEx>
          <w:tblW w:w="0" w:type="auto"/>
          <w:tblLayout w:type="fixed"/>
          <w:tblCellMar>
            <w:left w:w="62" w:type="dxa"/>
            <w:right w:w="62" w:type="dxa"/>
          </w:tblCellMar>
          <w:tblLook w:val="0000"/>
        </w:tblPrEx>
        <w:tc>
          <w:tcPr>
            <w:tcW w:w="574" w:type="dxa"/>
            <w:tcBorders>
              <w:top w:val="nil"/>
              <w:left w:val="nil"/>
              <w:bottom w:val="nil"/>
              <w:right w:val="nil"/>
            </w:tcBorders>
            <w:tcMar>
              <w:top w:w="0" w:type="dxa"/>
              <w:left w:w="62" w:type="dxa"/>
              <w:bottom w:w="0" w:type="dxa"/>
              <w:right w:w="62" w:type="dxa"/>
            </w:tcMar>
          </w:tcPr>
          <w:p w:rsidR="00000000" w:rsidP="005435BE">
            <w:pPr>
              <w:pStyle w:val="BodyText"/>
              <w:rPr>
                <w:lang w:val="en-NZ"/>
              </w:rPr>
            </w:pPr>
            <w:r w:rsidRPr="005435BE">
              <w:t>3.</w:t>
            </w:r>
          </w:p>
        </w:tc>
        <w:tc>
          <w:tcPr>
            <w:tcW w:w="2295" w:type="dxa"/>
            <w:vMerge w:val="restart"/>
            <w:tcBorders>
              <w:top w:val="nil"/>
              <w:left w:val="nil"/>
              <w:bottom w:val="nil"/>
              <w:right w:val="nil"/>
            </w:tcBorders>
            <w:tcMar>
              <w:top w:w="0" w:type="dxa"/>
              <w:left w:w="62" w:type="dxa"/>
              <w:bottom w:w="0" w:type="dxa"/>
              <w:right w:w="62" w:type="dxa"/>
            </w:tcMar>
          </w:tcPr>
          <w:p w:rsidR="00000000" w:rsidP="005435BE">
            <w:pPr>
              <w:pStyle w:val="BodyText"/>
              <w:rPr>
                <w:lang w:val="en-NZ"/>
              </w:rPr>
            </w:pPr>
            <w:r w:rsidRPr="005435BE">
              <w:t>Repair and/or modify audio and video system and reproducer</w:t>
            </w:r>
          </w:p>
        </w:tc>
        <w:tc>
          <w:tcPr>
            <w:tcW w:w="717" w:type="dxa"/>
            <w:tcBorders>
              <w:top w:val="nil"/>
              <w:left w:val="nil"/>
              <w:bottom w:val="nil"/>
              <w:right w:val="nil"/>
            </w:tcBorders>
            <w:tcMar>
              <w:top w:w="0" w:type="dxa"/>
              <w:left w:w="62" w:type="dxa"/>
              <w:bottom w:w="0" w:type="dxa"/>
              <w:right w:w="62" w:type="dxa"/>
            </w:tcMar>
          </w:tcPr>
          <w:p w:rsidR="00000000" w:rsidP="005435BE">
            <w:pPr>
              <w:pStyle w:val="BodyText"/>
              <w:rPr>
                <w:lang w:val="en-NZ"/>
              </w:rPr>
            </w:pPr>
            <w:r w:rsidRPr="005435BE">
              <w:t>3.1</w:t>
            </w:r>
          </w:p>
        </w:tc>
        <w:tc>
          <w:tcPr>
            <w:tcW w:w="5594" w:type="dxa"/>
            <w:tcBorders>
              <w:top w:val="nil"/>
              <w:left w:val="nil"/>
              <w:bottom w:val="nil"/>
              <w:right w:val="nil"/>
            </w:tcBorders>
            <w:tcMar>
              <w:top w:w="0" w:type="dxa"/>
              <w:left w:w="62" w:type="dxa"/>
              <w:bottom w:w="0" w:type="dxa"/>
              <w:right w:w="62" w:type="dxa"/>
            </w:tcMar>
          </w:tcPr>
          <w:p w:rsidR="00000000" w:rsidP="005435BE">
            <w:pPr>
              <w:pStyle w:val="BodyText"/>
              <w:rPr>
                <w:lang w:val="en-NZ"/>
              </w:rPr>
            </w:pPr>
            <w:r w:rsidRPr="005435BE">
              <w:t>Component parts are repaired or replaced in accordance with the relevant maintenance documentation</w:t>
            </w:r>
          </w:p>
        </w:tc>
      </w:tr>
      <w:tr w:rsidTr="005435BE">
        <w:tblPrEx>
          <w:tblW w:w="0" w:type="auto"/>
          <w:tblLayout w:type="fixed"/>
          <w:tblCellMar>
            <w:left w:w="62" w:type="dxa"/>
            <w:right w:w="62" w:type="dxa"/>
          </w:tblCellMar>
          <w:tblLook w:val="0000"/>
        </w:tblPrEx>
        <w:tc>
          <w:tcPr>
            <w:tcW w:w="57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295"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7" w:type="dxa"/>
            <w:tcBorders>
              <w:top w:val="nil"/>
              <w:left w:val="nil"/>
              <w:bottom w:val="nil"/>
              <w:right w:val="nil"/>
            </w:tcBorders>
            <w:tcMar>
              <w:top w:w="0" w:type="dxa"/>
              <w:left w:w="62" w:type="dxa"/>
              <w:bottom w:w="0" w:type="dxa"/>
              <w:right w:w="62" w:type="dxa"/>
            </w:tcMar>
          </w:tcPr>
          <w:p w:rsidR="00000000" w:rsidP="005435BE">
            <w:pPr>
              <w:pStyle w:val="BodyText"/>
              <w:rPr>
                <w:lang w:val="en-NZ"/>
              </w:rPr>
            </w:pPr>
            <w:r w:rsidRPr="005435BE">
              <w:t>3.2</w:t>
            </w:r>
          </w:p>
        </w:tc>
        <w:tc>
          <w:tcPr>
            <w:tcW w:w="5594" w:type="dxa"/>
            <w:tcBorders>
              <w:top w:val="nil"/>
              <w:left w:val="nil"/>
              <w:bottom w:val="nil"/>
              <w:right w:val="nil"/>
            </w:tcBorders>
            <w:tcMar>
              <w:top w:w="0" w:type="dxa"/>
              <w:left w:w="62" w:type="dxa"/>
              <w:bottom w:w="0" w:type="dxa"/>
              <w:right w:w="62" w:type="dxa"/>
            </w:tcMar>
          </w:tcPr>
          <w:p w:rsidR="00000000" w:rsidP="005435BE">
            <w:pPr>
              <w:pStyle w:val="BodyText"/>
              <w:rPr>
                <w:lang w:val="en-NZ"/>
              </w:rPr>
            </w:pPr>
            <w:r w:rsidRPr="005435BE">
              <w:t>Modification of components or parts is undertaken, where required, by relevant manufacturers’ bulletins or procedures</w:t>
            </w:r>
          </w:p>
        </w:tc>
      </w:tr>
      <w:tr w:rsidTr="005435BE">
        <w:tblPrEx>
          <w:tblW w:w="0" w:type="auto"/>
          <w:tblLayout w:type="fixed"/>
          <w:tblCellMar>
            <w:left w:w="62" w:type="dxa"/>
            <w:right w:w="62" w:type="dxa"/>
          </w:tblCellMar>
          <w:tblLook w:val="0000"/>
        </w:tblPrEx>
        <w:tc>
          <w:tcPr>
            <w:tcW w:w="574" w:type="dxa"/>
            <w:tcBorders>
              <w:top w:val="nil"/>
              <w:left w:val="nil"/>
              <w:bottom w:val="nil"/>
              <w:right w:val="nil"/>
            </w:tcBorders>
            <w:tcMar>
              <w:top w:w="0" w:type="dxa"/>
              <w:left w:w="62" w:type="dxa"/>
              <w:bottom w:w="0" w:type="dxa"/>
              <w:right w:w="62" w:type="dxa"/>
            </w:tcMar>
          </w:tcPr>
          <w:p w:rsidR="00000000" w:rsidP="005435BE">
            <w:pPr>
              <w:pStyle w:val="BodyText"/>
              <w:rPr>
                <w:lang w:val="en-NZ"/>
              </w:rPr>
            </w:pPr>
            <w:r w:rsidRPr="005435BE">
              <w:t>4.</w:t>
            </w:r>
          </w:p>
        </w:tc>
        <w:tc>
          <w:tcPr>
            <w:tcW w:w="2295" w:type="dxa"/>
            <w:vMerge w:val="restart"/>
            <w:tcBorders>
              <w:top w:val="nil"/>
              <w:left w:val="nil"/>
              <w:bottom w:val="nil"/>
              <w:right w:val="nil"/>
            </w:tcBorders>
            <w:tcMar>
              <w:top w:w="0" w:type="dxa"/>
              <w:left w:w="62" w:type="dxa"/>
              <w:bottom w:w="0" w:type="dxa"/>
              <w:right w:w="62" w:type="dxa"/>
            </w:tcMar>
          </w:tcPr>
          <w:p w:rsidR="00000000" w:rsidP="005435BE">
            <w:pPr>
              <w:pStyle w:val="BodyText"/>
              <w:rPr>
                <w:lang w:val="en-NZ"/>
              </w:rPr>
            </w:pPr>
            <w:r w:rsidRPr="005435BE">
              <w:t>Assemble, test and adjust audio and video system and reproducer components</w:t>
            </w:r>
          </w:p>
        </w:tc>
        <w:tc>
          <w:tcPr>
            <w:tcW w:w="717" w:type="dxa"/>
            <w:tcBorders>
              <w:top w:val="nil"/>
              <w:left w:val="nil"/>
              <w:bottom w:val="nil"/>
              <w:right w:val="nil"/>
            </w:tcBorders>
            <w:tcMar>
              <w:top w:w="0" w:type="dxa"/>
              <w:left w:w="62" w:type="dxa"/>
              <w:bottom w:w="0" w:type="dxa"/>
              <w:right w:w="62" w:type="dxa"/>
            </w:tcMar>
          </w:tcPr>
          <w:p w:rsidR="00000000" w:rsidP="005435BE">
            <w:pPr>
              <w:pStyle w:val="BodyText"/>
              <w:rPr>
                <w:lang w:val="en-NZ"/>
              </w:rPr>
            </w:pPr>
            <w:r w:rsidRPr="005435BE">
              <w:t>4.1</w:t>
            </w:r>
          </w:p>
        </w:tc>
        <w:tc>
          <w:tcPr>
            <w:tcW w:w="5594" w:type="dxa"/>
            <w:tcBorders>
              <w:top w:val="nil"/>
              <w:left w:val="nil"/>
              <w:bottom w:val="nil"/>
              <w:right w:val="nil"/>
            </w:tcBorders>
            <w:tcMar>
              <w:top w:w="0" w:type="dxa"/>
              <w:left w:w="62" w:type="dxa"/>
              <w:bottom w:w="0" w:type="dxa"/>
              <w:right w:w="62" w:type="dxa"/>
            </w:tcMar>
          </w:tcPr>
          <w:p w:rsidR="00000000" w:rsidP="005435BE">
            <w:pPr>
              <w:pStyle w:val="BodyText"/>
              <w:rPr>
                <w:lang w:val="en-NZ"/>
              </w:rPr>
            </w:pPr>
            <w:r w:rsidRPr="005435BE">
              <w:t>Assembly of component parts is carried out in accordance with specified tolerances and the applicable maintenance documents</w:t>
            </w:r>
          </w:p>
        </w:tc>
      </w:tr>
      <w:tr w:rsidTr="005435BE">
        <w:tblPrEx>
          <w:tblW w:w="0" w:type="auto"/>
          <w:tblLayout w:type="fixed"/>
          <w:tblCellMar>
            <w:left w:w="62" w:type="dxa"/>
            <w:right w:w="62" w:type="dxa"/>
          </w:tblCellMar>
          <w:tblLook w:val="0000"/>
        </w:tblPrEx>
        <w:tc>
          <w:tcPr>
            <w:tcW w:w="57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295"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7" w:type="dxa"/>
            <w:tcBorders>
              <w:top w:val="nil"/>
              <w:left w:val="nil"/>
              <w:bottom w:val="nil"/>
              <w:right w:val="nil"/>
            </w:tcBorders>
            <w:tcMar>
              <w:top w:w="0" w:type="dxa"/>
              <w:left w:w="62" w:type="dxa"/>
              <w:bottom w:w="0" w:type="dxa"/>
              <w:right w:w="62" w:type="dxa"/>
            </w:tcMar>
          </w:tcPr>
          <w:p w:rsidR="00000000" w:rsidP="005435BE">
            <w:pPr>
              <w:pStyle w:val="BodyText"/>
              <w:rPr>
                <w:lang w:val="en-NZ"/>
              </w:rPr>
            </w:pPr>
            <w:r w:rsidRPr="005435BE">
              <w:t>4.2</w:t>
            </w:r>
          </w:p>
        </w:tc>
        <w:tc>
          <w:tcPr>
            <w:tcW w:w="5594" w:type="dxa"/>
            <w:tcBorders>
              <w:top w:val="nil"/>
              <w:left w:val="nil"/>
              <w:bottom w:val="nil"/>
              <w:right w:val="nil"/>
            </w:tcBorders>
            <w:tcMar>
              <w:top w:w="0" w:type="dxa"/>
              <w:left w:w="62" w:type="dxa"/>
              <w:bottom w:w="0" w:type="dxa"/>
              <w:right w:w="62" w:type="dxa"/>
            </w:tcMar>
          </w:tcPr>
          <w:p w:rsidR="00000000" w:rsidP="005435BE">
            <w:pPr>
              <w:pStyle w:val="BodyText"/>
              <w:rPr>
                <w:lang w:val="en-NZ"/>
              </w:rPr>
            </w:pPr>
            <w:r w:rsidRPr="005435BE">
              <w:t>Assembled components are tested and adjusted in accordance with the applicable maintenance documentation using the appropriat</w:t>
            </w:r>
            <w:r w:rsidRPr="005435BE">
              <w:t>e test equipment</w:t>
            </w:r>
          </w:p>
        </w:tc>
      </w:tr>
      <w:tr w:rsidTr="005435BE">
        <w:tblPrEx>
          <w:tblW w:w="0" w:type="auto"/>
          <w:tblLayout w:type="fixed"/>
          <w:tblCellMar>
            <w:left w:w="62" w:type="dxa"/>
            <w:right w:w="62" w:type="dxa"/>
          </w:tblCellMar>
          <w:tblLook w:val="0000"/>
        </w:tblPrEx>
        <w:tc>
          <w:tcPr>
            <w:tcW w:w="57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295"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7" w:type="dxa"/>
            <w:tcBorders>
              <w:top w:val="nil"/>
              <w:left w:val="nil"/>
              <w:bottom w:val="nil"/>
              <w:right w:val="nil"/>
            </w:tcBorders>
            <w:tcMar>
              <w:top w:w="0" w:type="dxa"/>
              <w:left w:w="62" w:type="dxa"/>
              <w:bottom w:w="0" w:type="dxa"/>
              <w:right w:w="62" w:type="dxa"/>
            </w:tcMar>
          </w:tcPr>
          <w:p w:rsidR="00000000" w:rsidP="005435BE">
            <w:pPr>
              <w:pStyle w:val="BodyText"/>
              <w:rPr>
                <w:lang w:val="en-NZ"/>
              </w:rPr>
            </w:pPr>
            <w:r w:rsidRPr="005435BE">
              <w:t>4.3</w:t>
            </w:r>
          </w:p>
        </w:tc>
        <w:tc>
          <w:tcPr>
            <w:tcW w:w="5594" w:type="dxa"/>
            <w:tcBorders>
              <w:top w:val="nil"/>
              <w:left w:val="nil"/>
              <w:bottom w:val="nil"/>
              <w:right w:val="nil"/>
            </w:tcBorders>
            <w:tcMar>
              <w:top w:w="0" w:type="dxa"/>
              <w:left w:w="62" w:type="dxa"/>
              <w:bottom w:w="0" w:type="dxa"/>
              <w:right w:w="62" w:type="dxa"/>
            </w:tcMar>
          </w:tcPr>
          <w:p w:rsidR="00000000" w:rsidRPr="005435BE" w:rsidP="005435BE">
            <w:pPr>
              <w:pStyle w:val="BodyText"/>
            </w:pPr>
            <w:r w:rsidRPr="005435BE">
              <w:t xml:space="preserve">Required maintenance documentation and modification records are completed and processed in accordance with </w:t>
            </w:r>
            <w:r w:rsidRPr="005435BE">
              <w:t>standard enterprise procedures</w:t>
            </w:r>
          </w:p>
        </w:tc>
      </w:tr>
    </w:tbl>
    <w:p w:rsidR="00000000" w:rsidRPr="005435BE" w:rsidP="005435BE">
      <w:pPr>
        <w:pStyle w:val="BodyText"/>
      </w:pPr>
    </w:p>
    <w:p w:rsidR="00000000" w:rsidRPr="005435BE" w:rsidP="005435BE">
      <w:pPr>
        <w:pStyle w:val="AllowPageBreak"/>
      </w:pPr>
    </w:p>
    <w:p w:rsidR="00000000" w:rsidRPr="005435BE" w:rsidP="005435BE">
      <w:pPr>
        <w:pStyle w:val="Heading1"/>
      </w:pPr>
      <w:bookmarkStart w:id="7" w:name="O_998350"/>
      <w:bookmarkEnd w:id="7"/>
      <w:r w:rsidRPr="005435BE">
        <w:t>Foundation Skills</w:t>
      </w:r>
    </w:p>
    <w:p w:rsidR="00000000" w:rsidRPr="005435BE" w:rsidP="00135FC7">
      <w:pPr>
        <w:pStyle w:val="BodyText"/>
      </w:pPr>
      <w:r w:rsidRPr="005435BE">
        <w:t>Foundation skills essential to performance are explicit in the performance criteria of this unit of competency.</w:t>
      </w:r>
    </w:p>
    <w:p w:rsidR="00000000" w:rsidRPr="005435BE" w:rsidP="005435BE">
      <w:pPr>
        <w:pStyle w:val="Heading1"/>
      </w:pPr>
      <w:bookmarkStart w:id="8" w:name="O_998349"/>
      <w:bookmarkEnd w:id="8"/>
      <w:r w:rsidRPr="005435BE">
        <w:t>Range of Conditions</w:t>
      </w:r>
    </w:p>
    <w:tbl>
      <w:tblPr>
        <w:tblW w:w="0" w:type="auto"/>
        <w:tblLayout w:type="fixed"/>
        <w:tblCellMar>
          <w:left w:w="62" w:type="dxa"/>
          <w:right w:w="62" w:type="dxa"/>
        </w:tblCellMar>
        <w:tblLook w:val="0000"/>
      </w:tblPr>
      <w:tblGrid>
        <w:gridCol w:w="3150"/>
        <w:gridCol w:w="6030"/>
      </w:tblGrid>
      <w:tr w:rsidTr="005435BE">
        <w:tblPrEx>
          <w:tblW w:w="0" w:type="auto"/>
          <w:tblLayout w:type="fixed"/>
          <w:tblCellMar>
            <w:left w:w="62" w:type="dxa"/>
            <w:right w:w="62" w:type="dxa"/>
          </w:tblCellMar>
          <w:tblLook w:val="0000"/>
        </w:tblPrEx>
        <w:tc>
          <w:tcPr>
            <w:tcW w:w="9180" w:type="dxa"/>
            <w:gridSpan w:val="2"/>
            <w:tcBorders>
              <w:top w:val="nil"/>
              <w:left w:val="nil"/>
              <w:bottom w:val="nil"/>
              <w:right w:val="nil"/>
            </w:tcBorders>
            <w:tcMar>
              <w:top w:w="0" w:type="dxa"/>
              <w:left w:w="62" w:type="dxa"/>
              <w:bottom w:w="0" w:type="dxa"/>
              <w:right w:w="62" w:type="dxa"/>
            </w:tcMar>
          </w:tcPr>
          <w:p w:rsidR="00000000" w:rsidP="005435BE">
            <w:pPr>
              <w:pStyle w:val="BodyText"/>
              <w:rPr>
                <w:lang w:val="en-NZ"/>
              </w:rPr>
            </w:pPr>
            <w:r w:rsidRPr="005435BE">
              <w:t>This field allows for different work environments and conditions that may affect performance. Essential ope</w:t>
            </w:r>
            <w:r w:rsidRPr="005435BE">
              <w:t>rating conditions that may be present (depending on the work situation, needs of the candidate, accessibility of the item, and local industry and regional contexts) are included.</w:t>
            </w:r>
          </w:p>
        </w:tc>
      </w:tr>
      <w:tr w:rsidTr="005435BE">
        <w:tblPrEx>
          <w:tblW w:w="0" w:type="auto"/>
          <w:tblLayout w:type="fixed"/>
          <w:tblCellMar>
            <w:left w:w="62" w:type="dxa"/>
            <w:right w:w="62" w:type="dxa"/>
          </w:tblCellMar>
          <w:tblLook w:val="0000"/>
        </w:tblPrEx>
        <w:tc>
          <w:tcPr>
            <w:tcW w:w="3150" w:type="dxa"/>
            <w:tcBorders>
              <w:top w:val="nil"/>
              <w:left w:val="nil"/>
              <w:bottom w:val="nil"/>
              <w:right w:val="nil"/>
            </w:tcBorders>
            <w:tcMar>
              <w:top w:w="0" w:type="dxa"/>
              <w:left w:w="62" w:type="dxa"/>
              <w:bottom w:w="0" w:type="dxa"/>
              <w:right w:w="62" w:type="dxa"/>
            </w:tcMar>
          </w:tcPr>
          <w:p w:rsidR="00000000" w:rsidP="005435BE">
            <w:pPr>
              <w:pStyle w:val="BodyText"/>
              <w:rPr>
                <w:lang w:val="en-NZ"/>
              </w:rPr>
            </w:pPr>
            <w:r w:rsidRPr="005435BE">
              <w:rPr>
                <w:rStyle w:val="SpecialBold"/>
              </w:rPr>
              <w:t>Audio and video systems and reproducers include:</w:t>
            </w:r>
          </w:p>
        </w:tc>
        <w:tc>
          <w:tcPr>
            <w:tcW w:w="6030" w:type="dxa"/>
            <w:tcBorders>
              <w:top w:val="nil"/>
              <w:left w:val="nil"/>
              <w:bottom w:val="nil"/>
              <w:right w:val="nil"/>
            </w:tcBorders>
            <w:tcMar>
              <w:top w:w="0" w:type="dxa"/>
              <w:left w:w="62" w:type="dxa"/>
              <w:bottom w:w="0" w:type="dxa"/>
              <w:right w:w="62" w:type="dxa"/>
            </w:tcMar>
          </w:tcPr>
          <w:p w:rsidR="00000000" w:rsidRPr="005435BE" w:rsidP="005435BE">
            <w:pPr>
              <w:pStyle w:val="ListBullet"/>
            </w:pPr>
            <w:r w:rsidRPr="005435BE">
              <w:t xml:space="preserve">Video cassette recorders </w:t>
            </w:r>
            <w:r w:rsidRPr="005435BE">
              <w:t>(VCRs)</w:t>
            </w:r>
          </w:p>
          <w:p w:rsidR="00000000" w:rsidRPr="005435BE" w:rsidP="005435BE">
            <w:pPr>
              <w:pStyle w:val="ListBullet"/>
            </w:pPr>
            <w:r w:rsidRPr="005435BE">
              <w:t>Video display systems</w:t>
            </w:r>
          </w:p>
          <w:p w:rsidR="00000000" w:rsidRPr="005435BE" w:rsidP="005435BE">
            <w:pPr>
              <w:pStyle w:val="ListBullet"/>
            </w:pPr>
            <w:r w:rsidRPr="005435BE">
              <w:t>Cathode ray tube (CRT) display systems</w:t>
            </w:r>
          </w:p>
          <w:p w:rsidR="00000000" w:rsidRPr="005435BE" w:rsidP="005435BE">
            <w:pPr>
              <w:pStyle w:val="ListBullet"/>
            </w:pPr>
            <w:r w:rsidRPr="005435BE">
              <w:t>Symbol generators</w:t>
            </w:r>
          </w:p>
          <w:p w:rsidR="00000000" w:rsidRPr="005435BE" w:rsidP="005435BE">
            <w:pPr>
              <w:pStyle w:val="ListBullet"/>
            </w:pPr>
            <w:r w:rsidRPr="005435BE">
              <w:t>Audio amplifiers</w:t>
            </w:r>
          </w:p>
          <w:p w:rsidR="00000000" w:rsidRPr="005435BE" w:rsidP="005435BE">
            <w:pPr>
              <w:pStyle w:val="ListBullet"/>
            </w:pPr>
            <w:r w:rsidRPr="005435BE">
              <w:t>Audio and video selectors</w:t>
            </w:r>
          </w:p>
          <w:p w:rsidR="00000000" w:rsidRPr="005435BE" w:rsidP="005435BE">
            <w:pPr>
              <w:pStyle w:val="ListBullet"/>
            </w:pPr>
            <w:r w:rsidRPr="005435BE">
              <w:t>Voice recorders</w:t>
            </w:r>
          </w:p>
          <w:p w:rsidR="00000000" w:rsidRPr="005435BE" w:rsidP="005435BE">
            <w:pPr>
              <w:pStyle w:val="ListBullet"/>
            </w:pPr>
            <w:r w:rsidRPr="005435BE">
              <w:t>Microphones</w:t>
            </w:r>
          </w:p>
          <w:p w:rsidR="00000000" w:rsidRPr="005435BE" w:rsidP="005435BE">
            <w:pPr>
              <w:pStyle w:val="ListBullet"/>
            </w:pPr>
            <w:r w:rsidRPr="005435BE">
              <w:t>Head sets</w:t>
            </w:r>
          </w:p>
          <w:p w:rsidR="00000000" w:rsidRPr="005435BE" w:rsidP="005435BE">
            <w:pPr>
              <w:pStyle w:val="ListBullet"/>
            </w:pPr>
            <w:r w:rsidRPr="005435BE">
              <w:t>Passenger control units (PCUs)</w:t>
            </w:r>
          </w:p>
          <w:p w:rsidR="00000000" w:rsidP="005435BE">
            <w:pPr>
              <w:pStyle w:val="ListBullet"/>
              <w:rPr>
                <w:lang w:val="en-NZ"/>
              </w:rPr>
            </w:pPr>
            <w:r w:rsidRPr="005435BE">
              <w:t>Tape reproducers (and tape reproduction)</w:t>
            </w:r>
          </w:p>
        </w:tc>
      </w:tr>
      <w:tr w:rsidTr="005435BE">
        <w:tblPrEx>
          <w:tblW w:w="0" w:type="auto"/>
          <w:tblLayout w:type="fixed"/>
          <w:tblCellMar>
            <w:left w:w="62" w:type="dxa"/>
            <w:right w:w="62" w:type="dxa"/>
          </w:tblCellMar>
          <w:tblLook w:val="0000"/>
        </w:tblPrEx>
        <w:tc>
          <w:tcPr>
            <w:tcW w:w="3150" w:type="dxa"/>
            <w:tcBorders>
              <w:top w:val="nil"/>
              <w:left w:val="nil"/>
              <w:bottom w:val="nil"/>
              <w:right w:val="nil"/>
            </w:tcBorders>
            <w:tcMar>
              <w:top w:w="0" w:type="dxa"/>
              <w:left w:w="62" w:type="dxa"/>
              <w:bottom w:w="0" w:type="dxa"/>
              <w:right w:w="62" w:type="dxa"/>
            </w:tcMar>
          </w:tcPr>
          <w:p w:rsidR="00000000" w:rsidP="005435BE">
            <w:pPr>
              <w:pStyle w:val="BodyText"/>
              <w:rPr>
                <w:lang w:val="en-NZ"/>
              </w:rPr>
            </w:pPr>
            <w:r w:rsidRPr="005435BE">
              <w:rPr>
                <w:rStyle w:val="SpecialBold"/>
              </w:rPr>
              <w:t>Procedures and requirements include:</w:t>
            </w:r>
          </w:p>
        </w:tc>
        <w:tc>
          <w:tcPr>
            <w:tcW w:w="6030" w:type="dxa"/>
            <w:tcBorders>
              <w:top w:val="nil"/>
              <w:left w:val="nil"/>
              <w:bottom w:val="nil"/>
              <w:right w:val="nil"/>
            </w:tcBorders>
            <w:tcMar>
              <w:top w:w="0" w:type="dxa"/>
              <w:left w:w="62" w:type="dxa"/>
              <w:bottom w:w="0" w:type="dxa"/>
              <w:right w:w="62" w:type="dxa"/>
            </w:tcMar>
          </w:tcPr>
          <w:p w:rsidR="00000000" w:rsidRPr="005435BE" w:rsidP="005435BE">
            <w:pPr>
              <w:pStyle w:val="ListBullet"/>
            </w:pPr>
            <w:r w:rsidRPr="005435BE">
              <w:t>Industry standard procedures specified by manufacturers, regulatory authorities or the enterprise</w:t>
            </w:r>
          </w:p>
        </w:tc>
      </w:tr>
    </w:tbl>
    <w:p w:rsidR="00000000" w:rsidRPr="005435BE" w:rsidP="005435BE">
      <w:pPr>
        <w:pStyle w:val="BodyText"/>
      </w:pPr>
    </w:p>
    <w:p w:rsidR="00000000" w:rsidRPr="005435BE" w:rsidP="005435BE">
      <w:pPr>
        <w:pStyle w:val="AllowPageBreak"/>
      </w:pPr>
    </w:p>
    <w:p w:rsidR="00000000" w:rsidRPr="005435BE" w:rsidP="005435BE">
      <w:pPr>
        <w:pStyle w:val="Heading1"/>
      </w:pPr>
      <w:bookmarkStart w:id="9" w:name="O_998348"/>
      <w:bookmarkEnd w:id="9"/>
      <w:r w:rsidRPr="005435BE">
        <w:t>Unit Mapping Information</w:t>
      </w:r>
    </w:p>
    <w:p w:rsidR="00000000" w:rsidRPr="005435BE" w:rsidP="00135FC7">
      <w:pPr>
        <w:pStyle w:val="BodyText"/>
      </w:pPr>
      <w:r w:rsidRPr="005435BE">
        <w:t>Release 2. Equivalent to MEA288 Repair or overhaul aircraft audio and visual systems and reproducers</w:t>
      </w:r>
    </w:p>
    <w:p w:rsidR="00000000" w:rsidRPr="005435BE" w:rsidP="005435BE">
      <w:pPr>
        <w:pStyle w:val="Heading1"/>
      </w:pPr>
      <w:bookmarkStart w:id="10" w:name="O_998357"/>
      <w:bookmarkEnd w:id="10"/>
      <w:r w:rsidRPr="005435BE">
        <w:t>Links</w:t>
      </w:r>
    </w:p>
    <w:p w:rsidR="00000000" w:rsidRPr="005435BE" w:rsidP="00135FC7">
      <w:pPr>
        <w:pStyle w:val="BodyText"/>
      </w:pPr>
      <w:r w:rsidRPr="005435BE">
        <w:t xml:space="preserve">Companion Volume implementation guides are found in VETNet - </w:t>
      </w:r>
      <w:r>
        <w:fldChar w:fldCharType="begin"/>
      </w:r>
      <w:r>
        <w:instrText xml:space="preserve"> HYPERLINK "https://vetnet.gov.au/Pages/TrainingDocs.aspx?q=ce216c9c-04d5-4b3b-9bcf-4e81d0950371" </w:instrText>
      </w:r>
      <w:r>
        <w:fldChar w:fldCharType="separate"/>
      </w:r>
      <w:r w:rsidRPr="002A4F45">
        <w:rPr>
          <w:rStyle w:val="Hyperlink"/>
        </w:rPr>
        <w:t>https://vetnet.gov.au/Pages/TrainingDocs.aspx?q=ce216c9c-04d5-4b3b-9bcf-4e81d0950371</w:t>
      </w:r>
      <w:r>
        <w:fldChar w:fldCharType="end"/>
      </w:r>
    </w:p>
    <w:p w:rsidR="00000000" w:rsidRPr="005435BE" w:rsidP="00135FC7">
      <w:pPr>
        <w:pStyle w:val="BodyText"/>
        <w:sectPr w:rsidSect="005435BE">
          <w:headerReference w:type="default" r:id="rId10"/>
          <w:footerReference w:type="default" r:id="rId11"/>
          <w:pgSz w:w="11908" w:h="16833"/>
          <w:pgMar w:top="1702" w:right="1418" w:bottom="1702" w:left="1418" w:header="992" w:footer="992" w:gutter="0"/>
          <w:cols w:space="720"/>
          <w:noEndnote/>
          <w:docGrid w:linePitch="299"/>
        </w:sectPr>
      </w:pPr>
    </w:p>
    <w:p w:rsidR="00000000" w:rsidRPr="005435BE" w:rsidP="005435BE">
      <w:pPr>
        <w:pStyle w:val="SuperHeading"/>
      </w:pPr>
      <w:r w:rsidRPr="005435BE">
        <w:t>Assessment Requirements for MEA288 Repair or overhaul aircraft audio and visual systems and reproducers</w:t>
      </w:r>
    </w:p>
    <w:p w:rsidR="00000000" w:rsidRPr="005435BE" w:rsidP="005435BE">
      <w:pPr>
        <w:pStyle w:val="Heading1"/>
      </w:pPr>
      <w:bookmarkStart w:id="11" w:name="O_998346"/>
      <w:bookmarkEnd w:id="11"/>
      <w:r w:rsidRPr="005435BE">
        <w:t>Modification History</w:t>
      </w:r>
    </w:p>
    <w:p w:rsidR="00000000" w:rsidRPr="005435BE" w:rsidP="00135FC7">
      <w:pPr>
        <w:pStyle w:val="BodyText"/>
      </w:pPr>
      <w:r w:rsidRPr="005435BE">
        <w:t>Release 2. Equivalent to MEA288 Repair or overhaul air</w:t>
      </w:r>
      <w:r w:rsidRPr="005435BE">
        <w:t>craft audio and visual systems and reproducers with amended prerequisite codes.</w:t>
      </w:r>
    </w:p>
    <w:p w:rsidR="00000000" w:rsidRPr="005435BE" w:rsidP="005435BE">
      <w:pPr>
        <w:pStyle w:val="Heading1"/>
      </w:pPr>
      <w:bookmarkStart w:id="12" w:name="O_998345"/>
      <w:bookmarkEnd w:id="12"/>
      <w:r w:rsidRPr="005435BE">
        <w:t>Performance Evidence</w:t>
      </w:r>
    </w:p>
    <w:p w:rsidR="00000000" w:rsidRPr="005435BE" w:rsidP="00135FC7">
      <w:pPr>
        <w:pStyle w:val="BodyText"/>
      </w:pPr>
      <w:r w:rsidRPr="005435BE">
        <w:t>Evidence required to demonstrate competency in this unit must be relevant to and satisfy all of the requirements of the elements and perfo</w:t>
      </w:r>
      <w:r w:rsidRPr="005435BE">
        <w:t>rmance criteria under the specified conditions of assessment, and must include:</w:t>
      </w:r>
    </w:p>
    <w:p w:rsidR="00000000" w:rsidRPr="005435BE" w:rsidP="005435BE">
      <w:pPr>
        <w:pStyle w:val="ListBullet"/>
      </w:pPr>
      <w:r w:rsidRPr="005435BE">
        <w:t>applying relevant WHS practices</w:t>
      </w:r>
    </w:p>
    <w:p w:rsidR="00000000" w:rsidRPr="005435BE" w:rsidP="005435BE">
      <w:pPr>
        <w:pStyle w:val="ListBullet"/>
      </w:pPr>
      <w:r w:rsidRPr="005435BE">
        <w:t>using approved repair/overhaul procedures and processes relating to analogue and digital circuitry</w:t>
      </w:r>
    </w:p>
    <w:p w:rsidR="00000000" w:rsidRPr="005435BE" w:rsidP="005435BE">
      <w:pPr>
        <w:pStyle w:val="ListBullet"/>
      </w:pPr>
      <w:r w:rsidRPr="005435BE">
        <w:t>recognising the serviceability state and repair or overhaul requirements for digital electronic interface systems:</w:t>
      </w:r>
    </w:p>
    <w:p w:rsidR="00000000" w:rsidRPr="005435BE" w:rsidP="005435BE">
      <w:pPr>
        <w:pStyle w:val="ListBullet2"/>
      </w:pPr>
      <w:r w:rsidRPr="005435BE">
        <w:t>VCRs</w:t>
      </w:r>
    </w:p>
    <w:p w:rsidR="00000000" w:rsidRPr="005435BE" w:rsidP="005435BE">
      <w:pPr>
        <w:pStyle w:val="ListBullet2"/>
      </w:pPr>
      <w:r w:rsidRPr="005435BE">
        <w:t>video display systems</w:t>
      </w:r>
    </w:p>
    <w:p w:rsidR="00000000" w:rsidRPr="005435BE" w:rsidP="005435BE">
      <w:pPr>
        <w:pStyle w:val="ListBullet2"/>
      </w:pPr>
      <w:r w:rsidRPr="005435BE">
        <w:t>CRT display systems</w:t>
      </w:r>
    </w:p>
    <w:p w:rsidR="00000000" w:rsidRPr="005435BE" w:rsidP="005435BE">
      <w:pPr>
        <w:pStyle w:val="ListBullet2"/>
      </w:pPr>
      <w:r w:rsidRPr="005435BE">
        <w:t>symbol generators</w:t>
      </w:r>
    </w:p>
    <w:p w:rsidR="00000000" w:rsidRPr="005435BE" w:rsidP="005435BE">
      <w:pPr>
        <w:pStyle w:val="ListBullet2"/>
      </w:pPr>
      <w:r w:rsidRPr="005435BE">
        <w:t>audio amplifiers</w:t>
      </w:r>
    </w:p>
    <w:p w:rsidR="00000000" w:rsidRPr="005435BE" w:rsidP="005435BE">
      <w:pPr>
        <w:pStyle w:val="ListBullet2"/>
      </w:pPr>
      <w:r w:rsidRPr="005435BE">
        <w:t>audio selectors</w:t>
      </w:r>
    </w:p>
    <w:p w:rsidR="00000000" w:rsidRPr="005435BE" w:rsidP="005435BE">
      <w:pPr>
        <w:pStyle w:val="ListBullet2"/>
      </w:pPr>
      <w:r w:rsidRPr="005435BE">
        <w:t>voice recorders</w:t>
      </w:r>
    </w:p>
    <w:p w:rsidR="00000000" w:rsidRPr="005435BE" w:rsidP="005435BE">
      <w:pPr>
        <w:pStyle w:val="ListBullet2"/>
      </w:pPr>
      <w:r w:rsidRPr="005435BE">
        <w:t>microphones</w:t>
      </w:r>
    </w:p>
    <w:p w:rsidR="00000000" w:rsidRPr="005435BE" w:rsidP="005435BE">
      <w:pPr>
        <w:pStyle w:val="ListBullet2"/>
      </w:pPr>
      <w:r w:rsidRPr="005435BE">
        <w:t>head sets</w:t>
      </w:r>
    </w:p>
    <w:p w:rsidR="00000000" w:rsidRPr="005435BE" w:rsidP="005435BE">
      <w:pPr>
        <w:pStyle w:val="ListBullet2"/>
      </w:pPr>
      <w:r w:rsidRPr="005435BE">
        <w:t>PCUs</w:t>
      </w:r>
    </w:p>
    <w:p w:rsidR="00000000" w:rsidRPr="005435BE" w:rsidP="005435BE">
      <w:pPr>
        <w:pStyle w:val="ListBullet2"/>
      </w:pPr>
      <w:r w:rsidRPr="005435BE">
        <w:t>tape reproducers (and tape reproduction)</w:t>
      </w:r>
    </w:p>
    <w:p w:rsidR="00000000" w:rsidRPr="005435BE" w:rsidP="005435BE">
      <w:pPr>
        <w:pStyle w:val="ListBullet"/>
      </w:pPr>
      <w:r w:rsidRPr="005435BE">
        <w:t>applying logic processes, and using test equipment and appropriate wiring diagrams and manuals to isolate component faults</w:t>
      </w:r>
    </w:p>
    <w:p w:rsidR="00000000" w:rsidRPr="005435BE" w:rsidP="005435BE">
      <w:pPr>
        <w:pStyle w:val="ListBullet"/>
      </w:pPr>
      <w:r w:rsidRPr="005435BE">
        <w:t>performing component testing to isolate/confirm component fault and assess post-repair/overhaul serviceability.</w:t>
      </w:r>
    </w:p>
    <w:p w:rsidR="00000000" w:rsidRPr="005435BE" w:rsidP="00135FC7">
      <w:pPr>
        <w:pStyle w:val="BodyText"/>
      </w:pPr>
      <w:r w:rsidRPr="005435BE">
        <w:t>It is essential that component testing procedures, cleanliness requirements and safety precautions applicable to the components being maintained</w:t>
      </w:r>
      <w:r w:rsidRPr="005435BE">
        <w:t xml:space="preserve"> are fully observed, understood and complied with. Ability to interpret inspection procedures and specifications (allowable limits) and apply them in practice across a range of inspection, testing and troubleshooting applications (including the timely invo</w:t>
      </w:r>
      <w:r w:rsidRPr="005435BE">
        <w:t>lvement of supervisors or other trades) is critical.</w:t>
      </w:r>
    </w:p>
    <w:p w:rsidR="00000000" w:rsidRPr="005435BE" w:rsidP="00135FC7">
      <w:pPr>
        <w:pStyle w:val="BodyText"/>
      </w:pPr>
      <w:r w:rsidRPr="005435BE">
        <w:t>Evidence of transferability of skills and knowledge related to repair, modification and overhaul is essential. This may be demonstrated through application across a range of components listed in the Asse</w:t>
      </w:r>
      <w:r w:rsidRPr="005435BE">
        <w:t xml:space="preserve">ssment Conditions. </w:t>
      </w:r>
    </w:p>
    <w:p w:rsidR="00000000" w:rsidRPr="005435BE" w:rsidP="005435BE">
      <w:pPr>
        <w:pStyle w:val="Heading1"/>
      </w:pPr>
      <w:bookmarkStart w:id="13" w:name="O_998344"/>
      <w:bookmarkEnd w:id="13"/>
      <w:r w:rsidRPr="005435BE">
        <w:t>Knowledge Evidence</w:t>
      </w:r>
    </w:p>
    <w:p w:rsidR="00000000" w:rsidRPr="005435BE" w:rsidP="00135FC7">
      <w:pPr>
        <w:pStyle w:val="BodyText"/>
      </w:pPr>
      <w:r w:rsidRPr="005435BE">
        <w:t>Evidence required to demonstrate competency in this unit must be relevant to and satisfy all of the requirements of the elements and performance criteria and include knowledge of:</w:t>
      </w:r>
    </w:p>
    <w:p w:rsidR="00000000" w:rsidRPr="005435BE" w:rsidP="005435BE">
      <w:pPr>
        <w:pStyle w:val="ListBullet"/>
      </w:pPr>
      <w:r w:rsidRPr="005435BE">
        <w:t>component and syste</w:t>
      </w:r>
      <w:r w:rsidRPr="005435BE">
        <w:t>m operation</w:t>
      </w:r>
    </w:p>
    <w:p w:rsidR="00000000" w:rsidRPr="005435BE" w:rsidP="005435BE">
      <w:pPr>
        <w:pStyle w:val="ListBullet"/>
      </w:pPr>
      <w:r w:rsidRPr="005435BE">
        <w:t>the basic function and operation of audio and visual and reproducer components to enable testing for fault isolation/confirmation to determine repair or overhaul requirements, and serviceability status post-repair or overhaul</w:t>
      </w:r>
    </w:p>
    <w:p w:rsidR="00000000" w:rsidRPr="005435BE" w:rsidP="005435BE">
      <w:pPr>
        <w:pStyle w:val="ListBullet"/>
      </w:pPr>
      <w:r w:rsidRPr="005435BE">
        <w:t>basic principles/f</w:t>
      </w:r>
      <w:r w:rsidRPr="005435BE">
        <w:t>unctions relating to audio and visual and reproducer components and associated with:</w:t>
      </w:r>
    </w:p>
    <w:p w:rsidR="00000000" w:rsidRPr="005435BE" w:rsidP="005435BE">
      <w:pPr>
        <w:pStyle w:val="ListBullet2"/>
      </w:pPr>
      <w:r w:rsidRPr="005435BE">
        <w:t>advanced analogue fundamentals</w:t>
      </w:r>
    </w:p>
    <w:p w:rsidR="00000000" w:rsidRPr="005435BE" w:rsidP="005435BE">
      <w:pPr>
        <w:pStyle w:val="ListBullet2"/>
      </w:pPr>
      <w:r w:rsidRPr="005435BE">
        <w:t>basic logic and semiconductor theory</w:t>
      </w:r>
    </w:p>
    <w:p w:rsidR="00000000" w:rsidRPr="005435BE" w:rsidP="005435BE">
      <w:pPr>
        <w:pStyle w:val="ListBullet2"/>
      </w:pPr>
      <w:r w:rsidRPr="005435BE">
        <w:t>digital fundamentals</w:t>
      </w:r>
    </w:p>
    <w:p w:rsidR="00000000" w:rsidRPr="005435BE" w:rsidP="005435BE">
      <w:pPr>
        <w:pStyle w:val="ListBullet2"/>
      </w:pPr>
      <w:r w:rsidRPr="005435BE">
        <w:t>electrostatic discharge (ESD) precautions</w:t>
      </w:r>
    </w:p>
    <w:p w:rsidR="00000000" w:rsidRPr="005435BE" w:rsidP="005435BE">
      <w:pPr>
        <w:pStyle w:val="ListBullet2"/>
      </w:pPr>
      <w:r w:rsidRPr="005435BE">
        <w:t>alternating current (AC) and direct current (DC) electrical systems</w:t>
      </w:r>
    </w:p>
    <w:p w:rsidR="00000000" w:rsidRPr="005435BE" w:rsidP="005435BE">
      <w:pPr>
        <w:pStyle w:val="ListBullet2"/>
      </w:pPr>
      <w:r w:rsidRPr="005435BE">
        <w:t>video display theory</w:t>
      </w:r>
    </w:p>
    <w:p w:rsidR="00000000" w:rsidRPr="005435BE" w:rsidP="005435BE">
      <w:pPr>
        <w:pStyle w:val="ListBullet2"/>
      </w:pPr>
      <w:r w:rsidRPr="005435BE">
        <w:t>video recorder theory</w:t>
      </w:r>
    </w:p>
    <w:p w:rsidR="00000000" w:rsidRPr="005435BE" w:rsidP="005435BE">
      <w:pPr>
        <w:pStyle w:val="ListBullet2"/>
      </w:pPr>
      <w:r w:rsidRPr="005435BE">
        <w:t>cleaning and maintenance techniques for video and recorder heads</w:t>
      </w:r>
    </w:p>
    <w:p w:rsidR="00000000" w:rsidRPr="005435BE" w:rsidP="005435BE">
      <w:pPr>
        <w:pStyle w:val="ListBullet2"/>
      </w:pPr>
      <w:r w:rsidRPr="005435BE">
        <w:t>aircraft display systems</w:t>
      </w:r>
    </w:p>
    <w:p w:rsidR="00000000" w:rsidRPr="005435BE" w:rsidP="005435BE">
      <w:pPr>
        <w:pStyle w:val="ListBullet2"/>
      </w:pPr>
      <w:r w:rsidRPr="005435BE">
        <w:t>symbol generation</w:t>
      </w:r>
    </w:p>
    <w:p w:rsidR="00000000" w:rsidRPr="005435BE" w:rsidP="005435BE">
      <w:pPr>
        <w:pStyle w:val="ListBullet2"/>
      </w:pPr>
      <w:r w:rsidRPr="005435BE">
        <w:t>vector and raster graphics</w:t>
      </w:r>
    </w:p>
    <w:p w:rsidR="00000000" w:rsidRPr="005435BE" w:rsidP="005435BE">
      <w:pPr>
        <w:pStyle w:val="ListBullet2"/>
      </w:pPr>
      <w:r w:rsidRPr="005435BE">
        <w:t>audio circ</w:t>
      </w:r>
      <w:r w:rsidRPr="005435BE">
        <w:t>uit theory</w:t>
      </w:r>
    </w:p>
    <w:p w:rsidR="00000000" w:rsidRPr="005435BE" w:rsidP="005435BE">
      <w:pPr>
        <w:pStyle w:val="ListBullet2"/>
      </w:pPr>
      <w:r w:rsidRPr="005435BE">
        <w:t>sound measurement</w:t>
      </w:r>
    </w:p>
    <w:p w:rsidR="00000000" w:rsidRPr="005435BE" w:rsidP="005435BE">
      <w:pPr>
        <w:pStyle w:val="ListBullet2"/>
      </w:pPr>
      <w:r w:rsidRPr="005435BE">
        <w:t>decibel (dB) level standards</w:t>
      </w:r>
    </w:p>
    <w:p w:rsidR="00000000" w:rsidRPr="005435BE" w:rsidP="005435BE">
      <w:pPr>
        <w:pStyle w:val="ListBullet2"/>
      </w:pPr>
      <w:r w:rsidRPr="005435BE">
        <w:t>audio tape control signals and recording techniques</w:t>
      </w:r>
    </w:p>
    <w:p w:rsidR="00000000" w:rsidRPr="005435BE" w:rsidP="005435BE">
      <w:pPr>
        <w:pStyle w:val="ListBullet2"/>
      </w:pPr>
      <w:r w:rsidRPr="005435BE">
        <w:t>basic logic and semiconductor theory</w:t>
      </w:r>
    </w:p>
    <w:p w:rsidR="00000000" w:rsidRPr="005435BE" w:rsidP="005435BE">
      <w:pPr>
        <w:pStyle w:val="ListBullet"/>
      </w:pPr>
      <w:r w:rsidRPr="005435BE">
        <w:t>cleaning and maintenance techniques for audio recorder heads.</w:t>
      </w:r>
    </w:p>
    <w:p w:rsidR="00000000" w:rsidRPr="005435BE" w:rsidP="005435BE">
      <w:pPr>
        <w:pStyle w:val="AllowPageBreak"/>
      </w:pPr>
    </w:p>
    <w:p w:rsidR="00000000" w:rsidRPr="005435BE" w:rsidP="005435BE">
      <w:pPr>
        <w:pStyle w:val="Heading1"/>
      </w:pPr>
      <w:bookmarkStart w:id="14" w:name="O_998343"/>
      <w:bookmarkEnd w:id="14"/>
      <w:r w:rsidRPr="005435BE">
        <w:t>Assessment Conditions</w:t>
      </w:r>
    </w:p>
    <w:p w:rsidR="00000000" w:rsidRPr="005435BE" w:rsidP="005435BE">
      <w:pPr>
        <w:pStyle w:val="ListBullet"/>
      </w:pPr>
      <w:r w:rsidRPr="005435BE">
        <w:t>Competency should be assessed in the work environment, or simulated work environment, using tools and equipment specified in maintenance documentation. It is also expected that applicable general and special-purpose tools and test equipment would be used w</w:t>
      </w:r>
      <w:r w:rsidRPr="005435BE">
        <w:t>here appropriate.</w:t>
      </w:r>
    </w:p>
    <w:p w:rsidR="00000000" w:rsidRPr="005435BE" w:rsidP="005435BE">
      <w:pPr>
        <w:pStyle w:val="ListBullet"/>
      </w:pPr>
      <w:r w:rsidRPr="005435BE">
        <w:t>The application of testing procedures should also clearly indicate knowledge of system operation before undertaking any action. Knowledge of system operation and the relationship of individual components will be necessary to supplement ev</w:t>
      </w:r>
      <w:r w:rsidRPr="005435BE">
        <w:t>idence of ability to troubleshoot component faults. The work plan should take account of applicable safety and quality requirements in accordance with the industry and regulatory standards. Use of high precision, high reliability soldering techniques and h</w:t>
      </w:r>
      <w:r w:rsidRPr="005435BE">
        <w:t>andling of components, including application of anti-static equipment, must be demonstrated.</w:t>
      </w:r>
    </w:p>
    <w:p w:rsidR="00000000" w:rsidRPr="005435BE" w:rsidP="005435BE">
      <w:pPr>
        <w:pStyle w:val="ListBullet"/>
      </w:pPr>
      <w:r w:rsidRPr="005435BE">
        <w:t>The following conditions of assessment represent the requirements of the Regulators (ADF and CASA) and maintenance stakeholders and must be rigorously observed.</w:t>
      </w:r>
    </w:p>
    <w:p w:rsidR="00000000" w:rsidRPr="005435BE" w:rsidP="005435BE">
      <w:pPr>
        <w:pStyle w:val="ListBullet"/>
      </w:pPr>
      <w:r w:rsidRPr="005435BE">
        <w:t xml:space="preserve">A </w:t>
      </w:r>
      <w:r w:rsidRPr="005435BE">
        <w:t>person cannot be assessed as competent until it can be demonstrated to the satisfaction of the workplace assessor that the relevant elements and performance criteria of the unit of competency are being achieved under routine supervision on an item from eac</w:t>
      </w:r>
      <w:r w:rsidRPr="005435BE">
        <w:t>h of the following groups:</w:t>
      </w:r>
    </w:p>
    <w:p w:rsidR="00000000" w:rsidRPr="005435BE" w:rsidP="005435BE">
      <w:pPr>
        <w:pStyle w:val="ListBullet2"/>
      </w:pPr>
      <w:r w:rsidRPr="005435BE">
        <w:t>VCRs</w:t>
      </w:r>
    </w:p>
    <w:p w:rsidR="00000000" w:rsidRPr="005435BE" w:rsidP="005435BE">
      <w:pPr>
        <w:pStyle w:val="ListBullet2"/>
      </w:pPr>
      <w:r w:rsidRPr="005435BE">
        <w:t>video display systems</w:t>
      </w:r>
    </w:p>
    <w:p w:rsidR="00000000" w:rsidRPr="005435BE" w:rsidP="005435BE">
      <w:pPr>
        <w:pStyle w:val="ListBullet2"/>
      </w:pPr>
      <w:r w:rsidRPr="005435BE">
        <w:t>CRT display systems</w:t>
      </w:r>
    </w:p>
    <w:p w:rsidR="00000000" w:rsidRPr="005435BE" w:rsidP="005435BE">
      <w:pPr>
        <w:pStyle w:val="ListBullet2"/>
      </w:pPr>
      <w:r w:rsidRPr="005435BE">
        <w:t>symbol generators</w:t>
      </w:r>
    </w:p>
    <w:p w:rsidR="00000000" w:rsidRPr="005435BE" w:rsidP="005435BE">
      <w:pPr>
        <w:pStyle w:val="ListBullet2"/>
      </w:pPr>
      <w:r w:rsidRPr="005435BE">
        <w:t>audio amplifiers</w:t>
      </w:r>
    </w:p>
    <w:p w:rsidR="00000000" w:rsidRPr="005435BE" w:rsidP="005435BE">
      <w:pPr>
        <w:pStyle w:val="ListBullet2"/>
      </w:pPr>
      <w:r w:rsidRPr="005435BE">
        <w:t>audio and video selectors</w:t>
      </w:r>
    </w:p>
    <w:p w:rsidR="00000000" w:rsidRPr="005435BE" w:rsidP="005435BE">
      <w:pPr>
        <w:pStyle w:val="ListBullet2"/>
      </w:pPr>
      <w:r w:rsidRPr="005435BE">
        <w:t>voice recorders</w:t>
      </w:r>
    </w:p>
    <w:p w:rsidR="00000000" w:rsidRPr="005435BE" w:rsidP="005435BE">
      <w:pPr>
        <w:pStyle w:val="ListBullet2"/>
      </w:pPr>
      <w:r w:rsidRPr="005435BE">
        <w:t>microphones</w:t>
      </w:r>
    </w:p>
    <w:p w:rsidR="00000000" w:rsidRPr="005435BE" w:rsidP="005435BE">
      <w:pPr>
        <w:pStyle w:val="ListBullet2"/>
      </w:pPr>
      <w:r w:rsidRPr="005435BE">
        <w:t>head sets</w:t>
      </w:r>
    </w:p>
    <w:p w:rsidR="00000000" w:rsidRPr="005435BE" w:rsidP="005435BE">
      <w:pPr>
        <w:pStyle w:val="ListBullet2"/>
      </w:pPr>
      <w:r w:rsidRPr="005435BE">
        <w:t>PCUs</w:t>
      </w:r>
    </w:p>
    <w:p w:rsidR="00000000" w:rsidRPr="005435BE" w:rsidP="005435BE">
      <w:pPr>
        <w:pStyle w:val="ListBullet2"/>
      </w:pPr>
      <w:r w:rsidRPr="005435BE">
        <w:t>tape reproducers (and tape reproduction).</w:t>
      </w:r>
    </w:p>
    <w:p w:rsidR="00000000" w:rsidRPr="005435BE" w:rsidP="005435BE">
      <w:pPr>
        <w:pStyle w:val="ListBullet"/>
      </w:pPr>
      <w:r w:rsidRPr="005435BE">
        <w:t>This shall be established via the records in the Log of Industrial Experience and Achievement or, where appropriate, an equivalent Industry Evidence Guide (for details refer to the Companion Volume Assessment Guidelines).</w:t>
      </w:r>
    </w:p>
    <w:p w:rsidR="00000000" w:rsidRPr="005435BE" w:rsidP="005435BE">
      <w:pPr>
        <w:pStyle w:val="ListBullet"/>
      </w:pPr>
      <w:r w:rsidRPr="005435BE">
        <w:t>Assessors must satisfy the require</w:t>
      </w:r>
      <w:r w:rsidRPr="005435BE">
        <w:t>ments of the National Vocational Education and Training Regulator (Australian Skills Quality Authority, or its successors).</w:t>
      </w:r>
    </w:p>
    <w:p w:rsidR="00000000" w:rsidRPr="005435BE" w:rsidP="005435BE">
      <w:pPr>
        <w:pStyle w:val="AllowPageBreak"/>
      </w:pPr>
    </w:p>
    <w:p w:rsidR="00000000" w:rsidRPr="005435BE" w:rsidP="005435BE">
      <w:pPr>
        <w:pStyle w:val="Heading1"/>
      </w:pPr>
      <w:bookmarkStart w:id="15" w:name="O_998358"/>
      <w:bookmarkEnd w:id="15"/>
      <w:r w:rsidRPr="005435BE">
        <w:t>Links</w:t>
      </w:r>
    </w:p>
    <w:p w:rsidR="00000000" w:rsidRPr="005435BE" w:rsidP="00135FC7">
      <w:pPr>
        <w:pStyle w:val="BodyText"/>
      </w:pPr>
      <w:r w:rsidRPr="005435BE">
        <w:t xml:space="preserve">Companion Volume implementation guides are found in VETNet - </w:t>
      </w:r>
      <w:r>
        <w:fldChar w:fldCharType="begin"/>
      </w:r>
      <w:r>
        <w:instrText xml:space="preserve"> HYPERLINK "https://vetnet.gov.au/Pages/TrainingDocs.aspx?q=ce216c9c-04d5-4b3b-9bcf-4e81d0950371" </w:instrText>
      </w:r>
      <w:r>
        <w:fldChar w:fldCharType="separate"/>
      </w:r>
      <w:r w:rsidRPr="002A4F45">
        <w:rPr>
          <w:rStyle w:val="Hyperlink"/>
        </w:rPr>
        <w:t>https://vetnet.gov.au/Pages/TrainingDocs.aspx?q=ce216c9c-04d5-4b3b-9bcf-4e81d0950371</w:t>
      </w:r>
      <w:r>
        <w:fldChar w:fldCharType="end"/>
      </w:r>
    </w:p>
    <w:p w:rsidR="00000000" w:rsidRPr="005435BE" w:rsidP="005435BE"/>
    <w:sectPr w:rsidSect="005435BE">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435BE">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435BE" w:rsidRPr="00135FC7" w:rsidP="00135FC7">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435BE">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35FC7" w:rsidP="005435BE">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135FC7" w:rsidP="005435BE">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Manufacturing Industry Skills Alliance</w:t>
    </w:r>
    <w:r>
      <w:fldChar w:fldCharType="end"/>
    </w:r>
  </w:p>
  <w:p w:rsidR="00135FC7" w:rsidP="005435BE">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435BE" w:rsidP="005435BE">
    <w:pPr>
      <w:pStyle w:val="Footer"/>
      <w:framePr w:wrap="around"/>
    </w:pPr>
    <w:r>
      <w:fldChar w:fldCharType="begin"/>
    </w:r>
    <w:r>
      <w:instrText xml:space="preserve"> DOCPROPERTY  Subject  \* MERGEFORMAT </w:instrText>
    </w:r>
    <w:r>
      <w:fldChar w:fldCharType="separate"/>
    </w:r>
    <w:r w:rsidR="00135FC7">
      <w:t>Approved</w:t>
    </w:r>
    <w:r w:rsidR="00135FC7">
      <w:fldChar w:fldCharType="end"/>
    </w:r>
    <w:r>
      <w:tab/>
      <w:t xml:space="preserve">Page </w:t>
    </w:r>
    <w:r>
      <w:fldChar w:fldCharType="begin"/>
    </w:r>
    <w:r>
      <w:instrText xml:space="preserve"> PAGE  \* Arabic  \* MERGEFORMAT </w:instrText>
    </w:r>
    <w:r>
      <w:fldChar w:fldCharType="separate"/>
    </w:r>
    <w:r w:rsidR="00135FC7">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135FC7">
      <w:rPr>
        <w:noProof/>
      </w:rPr>
      <w:t>5</w:t>
    </w:r>
    <w:r>
      <w:rPr>
        <w:noProof/>
      </w:rPr>
      <w:fldChar w:fldCharType="end"/>
    </w:r>
  </w:p>
  <w:p w:rsidR="005435BE" w:rsidP="005435BE">
    <w:pPr>
      <w:pStyle w:val="Footer"/>
      <w:framePr w:wrap="around"/>
    </w:pPr>
    <w:r>
      <w:t xml:space="preserve">© Commonwealth of Australia, </w:t>
    </w:r>
    <w:r>
      <w:fldChar w:fldCharType="begin"/>
    </w:r>
    <w:r>
      <w:instrText xml:space="preserve"> DATE  \@ "yyyy"  \* MERGEFORMAT </w:instrText>
    </w:r>
    <w:r>
      <w:fldChar w:fldCharType="separate"/>
    </w:r>
    <w:r w:rsidR="00135FC7">
      <w:rPr>
        <w:noProof/>
      </w:rPr>
      <w:t>2025</w:t>
    </w:r>
    <w:r>
      <w:fldChar w:fldCharType="end"/>
    </w:r>
    <w:r>
      <w:tab/>
    </w:r>
    <w:r>
      <w:fldChar w:fldCharType="begin"/>
    </w:r>
    <w:r>
      <w:instrText xml:space="preserve"> DOCPROPERTY  Author  \* MERGEFORMAT </w:instrText>
    </w:r>
    <w:r>
      <w:fldChar w:fldCharType="separate"/>
    </w:r>
    <w:r w:rsidR="00135FC7">
      <w:t>Manufacturing Industry Skills Alliance</w:t>
    </w:r>
    <w:r w:rsidR="00135FC7">
      <w:fldChar w:fldCharType="end"/>
    </w:r>
  </w:p>
  <w:p w:rsidR="005435BE" w:rsidP="005435BE">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435BE">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35FC7"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5435BE" w:rsidRPr="00135FC7" w:rsidP="00135FC7">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435BE">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35FC7" w:rsidRPr="002D2AF8" w:rsidP="005435BE">
    <w:pPr>
      <w:pStyle w:val="Header"/>
      <w:framePr w:wrap="around"/>
    </w:pPr>
    <w:r>
      <w:fldChar w:fldCharType="begin"/>
    </w:r>
    <w:r>
      <w:instrText xml:space="preserve"> TITLE   \* MERGEFORMAT </w:instrText>
    </w:r>
    <w:r>
      <w:fldChar w:fldCharType="separate"/>
    </w:r>
    <w:r>
      <w:t>MEA288 Repair or overhaul aircraft audio and visual systems and reproducers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135FC7" w:rsidP="005435BE">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435BE" w:rsidRPr="002D2AF8" w:rsidP="005435BE">
    <w:pPr>
      <w:pStyle w:val="Header"/>
      <w:framePr w:wrap="around"/>
    </w:pPr>
    <w:r>
      <w:fldChar w:fldCharType="begin"/>
    </w:r>
    <w:r>
      <w:instrText xml:space="preserve"> TITLE   \* MERGEFORMAT </w:instrText>
    </w:r>
    <w:r>
      <w:fldChar w:fldCharType="separate"/>
    </w:r>
    <w:r w:rsidR="00135FC7">
      <w:t>MEA288 Repair or overhaul aircraft audio and visual systems and reproducers</w:t>
    </w:r>
    <w:r w:rsidR="00135FC7">
      <w:fldChar w:fldCharType="end"/>
    </w:r>
    <w:r>
      <w:tab/>
      <w:t xml:space="preserve">Date this document was generated: </w:t>
    </w:r>
    <w:r>
      <w:fldChar w:fldCharType="begin"/>
    </w:r>
    <w:r>
      <w:instrText xml:space="preserve"> CREATEDATE  \@ "d MMMM yyyy"  \* MERGEFORMAT </w:instrText>
    </w:r>
    <w:r>
      <w:fldChar w:fldCharType="separate"/>
    </w:r>
    <w:r w:rsidR="00135FC7">
      <w:rPr>
        <w:noProof/>
      </w:rPr>
      <w:t>2 March 2025</w:t>
    </w:r>
    <w:r>
      <w:fldChar w:fldCharType="end"/>
    </w:r>
  </w:p>
  <w:p w:rsidR="005435BE" w:rsidP="005435BE">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7A627BEA"/>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C2C6D122"/>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2300FB82"/>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435BE"/>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5435BE"/>
    <w:pPr>
      <w:spacing w:before="360" w:after="60"/>
      <w:outlineLvl w:val="0"/>
    </w:pPr>
    <w:rPr>
      <w:sz w:val="32"/>
    </w:rPr>
  </w:style>
  <w:style w:type="paragraph" w:styleId="Heading2">
    <w:name w:val="heading 2"/>
    <w:basedOn w:val="HeadingBase"/>
    <w:next w:val="BodyText"/>
    <w:link w:val="Heading2Char"/>
    <w:qFormat/>
    <w:rsid w:val="005435BE"/>
    <w:pPr>
      <w:keepLines/>
      <w:spacing w:before="240" w:after="120"/>
      <w:outlineLvl w:val="1"/>
    </w:pPr>
    <w:rPr>
      <w:sz w:val="28"/>
      <w:szCs w:val="40"/>
    </w:rPr>
  </w:style>
  <w:style w:type="paragraph" w:styleId="Heading3">
    <w:name w:val="heading 3"/>
    <w:basedOn w:val="HeadingBase"/>
    <w:next w:val="BodyText"/>
    <w:link w:val="Heading3Char"/>
    <w:qFormat/>
    <w:rsid w:val="005435BE"/>
    <w:pPr>
      <w:spacing w:before="180" w:after="120"/>
      <w:outlineLvl w:val="2"/>
    </w:pPr>
    <w:rPr>
      <w:spacing w:val="-10"/>
      <w:kern w:val="32"/>
    </w:rPr>
  </w:style>
  <w:style w:type="paragraph" w:styleId="Heading4">
    <w:name w:val="heading 4"/>
    <w:basedOn w:val="HeadingBase"/>
    <w:next w:val="BodyText"/>
    <w:link w:val="Heading4Char"/>
    <w:qFormat/>
    <w:rsid w:val="005435BE"/>
    <w:pPr>
      <w:spacing w:before="160" w:after="120"/>
      <w:outlineLvl w:val="3"/>
    </w:pPr>
    <w:rPr>
      <w:sz w:val="22"/>
    </w:rPr>
  </w:style>
  <w:style w:type="paragraph" w:styleId="Heading5">
    <w:name w:val="heading 5"/>
    <w:basedOn w:val="HeadingBase"/>
    <w:next w:val="Normal"/>
    <w:link w:val="Heading5Char"/>
    <w:qFormat/>
    <w:rsid w:val="005435BE"/>
    <w:pPr>
      <w:spacing w:before="80"/>
      <w:outlineLvl w:val="4"/>
    </w:pPr>
    <w:rPr>
      <w:color w:val="918585"/>
      <w:sz w:val="20"/>
    </w:rPr>
  </w:style>
  <w:style w:type="paragraph" w:styleId="Heading6">
    <w:name w:val="heading 6"/>
    <w:basedOn w:val="HeadingBase"/>
    <w:next w:val="Normal"/>
    <w:link w:val="Heading6Char"/>
    <w:qFormat/>
    <w:rsid w:val="005435BE"/>
    <w:pPr>
      <w:spacing w:before="60"/>
      <w:outlineLvl w:val="5"/>
    </w:pPr>
    <w:rPr>
      <w:color w:val="918585"/>
      <w:sz w:val="20"/>
    </w:rPr>
  </w:style>
  <w:style w:type="paragraph" w:styleId="Heading7">
    <w:name w:val="heading 7"/>
    <w:basedOn w:val="Normal"/>
    <w:next w:val="Normal"/>
    <w:link w:val="Heading7Char"/>
    <w:qFormat/>
    <w:rsid w:val="005435BE"/>
    <w:pPr>
      <w:ind w:left="720"/>
      <w:outlineLvl w:val="6"/>
    </w:pPr>
    <w:rPr>
      <w:i/>
    </w:rPr>
  </w:style>
  <w:style w:type="paragraph" w:styleId="Heading8">
    <w:name w:val="heading 8"/>
    <w:basedOn w:val="Normal"/>
    <w:next w:val="Normal"/>
    <w:link w:val="Heading8Char"/>
    <w:qFormat/>
    <w:rsid w:val="005435BE"/>
    <w:pPr>
      <w:ind w:left="720"/>
      <w:outlineLvl w:val="7"/>
    </w:pPr>
    <w:rPr>
      <w:i/>
    </w:rPr>
  </w:style>
  <w:style w:type="paragraph" w:styleId="Heading9">
    <w:name w:val="heading 9"/>
    <w:basedOn w:val="Normal"/>
    <w:next w:val="Normal"/>
    <w:link w:val="Heading9Char"/>
    <w:qFormat/>
    <w:rsid w:val="005435BE"/>
    <w:pPr>
      <w:ind w:left="720"/>
      <w:outlineLvl w:val="8"/>
    </w:pPr>
    <w:rPr>
      <w:i/>
    </w:rPr>
  </w:style>
  <w:style w:type="character" w:default="1" w:styleId="DefaultParagraphFont">
    <w:name w:val="Default Paragraph Font"/>
    <w:uiPriority w:val="1"/>
    <w:unhideWhenUsed/>
    <w:rsid w:val="005435BE"/>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5435BE"/>
  </w:style>
  <w:style w:type="character" w:customStyle="1" w:styleId="Heading1Char">
    <w:name w:val="Heading 1 Char"/>
    <w:basedOn w:val="DefaultParagraphFont"/>
    <w:link w:val="Heading1"/>
    <w:rsid w:val="005435BE"/>
    <w:rPr>
      <w:rFonts w:ascii="Times New Roman" w:eastAsia="Times New Roman" w:hAnsi="Times New Roman" w:cs="Times New Roman"/>
      <w:b/>
      <w:sz w:val="32"/>
      <w:szCs w:val="20"/>
      <w:lang w:eastAsia="en-US"/>
    </w:rPr>
  </w:style>
  <w:style w:type="paragraph" w:styleId="BodyText">
    <w:name w:val="Body Text"/>
    <w:basedOn w:val="Normal"/>
    <w:link w:val="BodyTextChar"/>
    <w:rsid w:val="005435BE"/>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5435BE"/>
    <w:rPr>
      <w:rFonts w:ascii="Times New Roman" w:eastAsia="Times New Roman" w:hAnsi="Times New Roman" w:cs="Times New Roman"/>
      <w:sz w:val="24"/>
      <w:lang w:eastAsia="en-US"/>
    </w:rPr>
  </w:style>
  <w:style w:type="paragraph" w:styleId="ListBullet">
    <w:name w:val="List Bullet"/>
    <w:basedOn w:val="List"/>
    <w:rsid w:val="005435BE"/>
    <w:pPr>
      <w:numPr>
        <w:numId w:val="12"/>
      </w:numPr>
      <w:tabs>
        <w:tab w:val="clear" w:pos="340"/>
      </w:tabs>
      <w:spacing w:before="40" w:after="40"/>
    </w:pPr>
  </w:style>
  <w:style w:type="character" w:customStyle="1" w:styleId="SpecialBold">
    <w:name w:val="Special Bold"/>
    <w:basedOn w:val="DefaultParagraphFont"/>
    <w:rsid w:val="005435BE"/>
    <w:rPr>
      <w:b/>
      <w:spacing w:val="0"/>
    </w:rPr>
  </w:style>
  <w:style w:type="paragraph" w:styleId="ListBullet2">
    <w:name w:val="List Bullet 2"/>
    <w:basedOn w:val="List2"/>
    <w:rsid w:val="005435BE"/>
    <w:pPr>
      <w:numPr>
        <w:numId w:val="13"/>
      </w:numPr>
      <w:tabs>
        <w:tab w:val="clear" w:pos="680"/>
      </w:tabs>
    </w:pPr>
  </w:style>
  <w:style w:type="paragraph" w:customStyle="1" w:styleId="SuperHeading">
    <w:name w:val="SuperHeading"/>
    <w:basedOn w:val="Normal"/>
    <w:rsid w:val="005435BE"/>
    <w:pPr>
      <w:spacing w:before="240" w:after="120"/>
      <w:outlineLvl w:val="0"/>
    </w:pPr>
    <w:rPr>
      <w:rFonts w:ascii="Times New Roman" w:hAnsi="Times New Roman"/>
      <w:b/>
      <w:sz w:val="32"/>
    </w:rPr>
  </w:style>
  <w:style w:type="paragraph" w:customStyle="1" w:styleId="AllowPageBreak">
    <w:name w:val="AllowPageBreak"/>
    <w:rsid w:val="005435BE"/>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5435BE"/>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5435BE"/>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5435BE"/>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5435BE"/>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5435BE"/>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5435BE"/>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5435BE"/>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5435BE"/>
    <w:rPr>
      <w:rFonts w:ascii="Courier New" w:eastAsia="Times New Roman" w:hAnsi="Courier New" w:cs="Times New Roman"/>
      <w:i/>
      <w:szCs w:val="20"/>
      <w:lang w:eastAsia="en-US"/>
    </w:rPr>
  </w:style>
  <w:style w:type="paragraph" w:customStyle="1" w:styleId="HeadingBase">
    <w:name w:val="Heading Base"/>
    <w:rsid w:val="005435BE"/>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5435BE"/>
    <w:pPr>
      <w:tabs>
        <w:tab w:val="right" w:leader="dot" w:pos="9072"/>
      </w:tabs>
      <w:ind w:left="567"/>
    </w:pPr>
    <w:rPr>
      <w:szCs w:val="22"/>
    </w:rPr>
  </w:style>
  <w:style w:type="paragraph" w:customStyle="1" w:styleId="TOCBase">
    <w:name w:val="TOC Base"/>
    <w:rsid w:val="005435BE"/>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5435BE"/>
    <w:pPr>
      <w:tabs>
        <w:tab w:val="right" w:leader="dot" w:pos="9072"/>
      </w:tabs>
      <w:spacing w:before="40" w:after="40"/>
      <w:ind w:left="284"/>
    </w:pPr>
    <w:rPr>
      <w:rFonts w:ascii="Times New Roman" w:hAnsi="Times New Roman"/>
    </w:rPr>
  </w:style>
  <w:style w:type="paragraph" w:styleId="TOC1">
    <w:name w:val="toc 1"/>
    <w:basedOn w:val="TOCBase"/>
    <w:next w:val="Normal"/>
    <w:rsid w:val="005435BE"/>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5435BE"/>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5435BE"/>
    <w:rPr>
      <w:rFonts w:ascii="Times New Roman" w:eastAsia="Times New Roman" w:hAnsi="Times New Roman" w:cs="Times New Roman"/>
      <w:sz w:val="16"/>
      <w:lang w:eastAsia="en-US"/>
    </w:rPr>
  </w:style>
  <w:style w:type="paragraph" w:styleId="Title">
    <w:name w:val="Title"/>
    <w:basedOn w:val="HeadingBase"/>
    <w:link w:val="TitleChar"/>
    <w:qFormat/>
    <w:rsid w:val="005435BE"/>
    <w:pPr>
      <w:spacing w:before="5040"/>
      <w:jc w:val="center"/>
    </w:pPr>
    <w:rPr>
      <w:sz w:val="48"/>
      <w:szCs w:val="72"/>
      <w:lang w:val="en-US"/>
    </w:rPr>
  </w:style>
  <w:style w:type="character" w:customStyle="1" w:styleId="TitleChar">
    <w:name w:val="Title Char"/>
    <w:basedOn w:val="DefaultParagraphFont"/>
    <w:link w:val="Title"/>
    <w:rsid w:val="005435BE"/>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5435BE"/>
    <w:pPr>
      <w:tabs>
        <w:tab w:val="left" w:pos="3600"/>
        <w:tab w:val="left" w:pos="3958"/>
      </w:tabs>
    </w:pPr>
  </w:style>
  <w:style w:type="paragraph" w:styleId="List">
    <w:name w:val="List"/>
    <w:basedOn w:val="BodyText"/>
    <w:next w:val="BodyText"/>
    <w:rsid w:val="005435BE"/>
    <w:pPr>
      <w:tabs>
        <w:tab w:val="left" w:pos="340"/>
      </w:tabs>
      <w:spacing w:before="60" w:after="60"/>
      <w:ind w:left="340" w:hanging="340"/>
    </w:pPr>
  </w:style>
  <w:style w:type="paragraph" w:customStyle="1" w:styleId="Note">
    <w:name w:val="Note"/>
    <w:basedOn w:val="BodyText"/>
    <w:rsid w:val="005435BE"/>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5435BE"/>
    <w:pPr>
      <w:framePr w:wrap="auto" w:hAnchor="text" w:y="6049"/>
    </w:pPr>
    <w:rPr>
      <w:color w:val="000000"/>
      <w:sz w:val="40"/>
    </w:rPr>
  </w:style>
  <w:style w:type="paragraph" w:customStyle="1" w:styleId="TOCTitle">
    <w:name w:val="TOCTitle"/>
    <w:basedOn w:val="Heading1"/>
    <w:rsid w:val="005435BE"/>
    <w:pPr>
      <w:spacing w:after="240"/>
      <w:jc w:val="center"/>
      <w:outlineLvl w:val="9"/>
    </w:pPr>
    <w:rPr>
      <w:caps/>
    </w:rPr>
  </w:style>
  <w:style w:type="paragraph" w:customStyle="1" w:styleId="Version">
    <w:name w:val="Version"/>
    <w:rsid w:val="005435BE"/>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5435BE"/>
    <w:pPr>
      <w:keepNext w:val="0"/>
      <w:tabs>
        <w:tab w:val="right" w:pos="4176"/>
      </w:tabs>
      <w:ind w:left="198" w:hanging="198"/>
    </w:pPr>
    <w:rPr>
      <w:rFonts w:ascii="Garamond" w:hAnsi="Garamond"/>
    </w:rPr>
  </w:style>
  <w:style w:type="paragraph" w:styleId="IndexHeading">
    <w:name w:val="index heading"/>
    <w:basedOn w:val="Normal"/>
    <w:next w:val="Index1"/>
    <w:semiHidden/>
    <w:rsid w:val="005435BE"/>
    <w:pPr>
      <w:spacing w:before="120" w:after="120"/>
    </w:pPr>
    <w:rPr>
      <w:rFonts w:ascii="Arial" w:hAnsi="Arial"/>
      <w:b/>
      <w:color w:val="918585"/>
      <w:sz w:val="24"/>
    </w:rPr>
  </w:style>
  <w:style w:type="paragraph" w:styleId="Header">
    <w:name w:val="header"/>
    <w:basedOn w:val="Normal"/>
    <w:link w:val="HeaderChar"/>
    <w:rsid w:val="005435BE"/>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5435BE"/>
    <w:rPr>
      <w:rFonts w:ascii="Times New Roman" w:eastAsia="Times New Roman" w:hAnsi="Times New Roman" w:cs="Times New Roman"/>
      <w:sz w:val="16"/>
      <w:szCs w:val="20"/>
      <w:lang w:val="en-GB" w:eastAsia="en-US"/>
    </w:rPr>
  </w:style>
  <w:style w:type="paragraph" w:customStyle="1" w:styleId="Chapter">
    <w:name w:val="Chapter"/>
    <w:basedOn w:val="Normal"/>
    <w:rsid w:val="005435BE"/>
    <w:pPr>
      <w:spacing w:before="240"/>
    </w:pPr>
    <w:rPr>
      <w:rFonts w:ascii="Times New Roman" w:hAnsi="Times New Roman"/>
      <w:smallCaps/>
      <w:spacing w:val="80"/>
      <w:sz w:val="28"/>
    </w:rPr>
  </w:style>
  <w:style w:type="paragraph" w:customStyle="1" w:styleId="InChapter">
    <w:name w:val="InChapter"/>
    <w:basedOn w:val="Heading3"/>
    <w:rsid w:val="005435BE"/>
    <w:pPr>
      <w:spacing w:after="240"/>
      <w:outlineLvl w:val="9"/>
    </w:pPr>
    <w:rPr>
      <w:noProof/>
    </w:rPr>
  </w:style>
  <w:style w:type="paragraph" w:styleId="Index2">
    <w:name w:val="index 2"/>
    <w:basedOn w:val="Normal"/>
    <w:next w:val="Normal"/>
    <w:semiHidden/>
    <w:rsid w:val="005435BE"/>
    <w:pPr>
      <w:tabs>
        <w:tab w:val="right" w:pos="4176"/>
      </w:tabs>
      <w:ind w:left="568" w:hanging="284"/>
    </w:pPr>
    <w:rPr>
      <w:rFonts w:ascii="Garamond" w:hAnsi="Garamond"/>
    </w:rPr>
  </w:style>
  <w:style w:type="paragraph" w:customStyle="1" w:styleId="Byline">
    <w:name w:val="Byline"/>
    <w:rsid w:val="005435BE"/>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5435BE"/>
    <w:pPr>
      <w:tabs>
        <w:tab w:val="clear" w:pos="3600"/>
        <w:tab w:val="clear" w:pos="3958"/>
      </w:tabs>
      <w:jc w:val="right"/>
    </w:pPr>
  </w:style>
  <w:style w:type="character" w:styleId="Emphasis">
    <w:name w:val="Emphasis"/>
    <w:basedOn w:val="DefaultParagraphFont"/>
    <w:qFormat/>
    <w:rsid w:val="005435BE"/>
    <w:rPr>
      <w:i/>
    </w:rPr>
  </w:style>
  <w:style w:type="paragraph" w:styleId="Caption">
    <w:name w:val="caption"/>
    <w:basedOn w:val="BodyText"/>
    <w:next w:val="Normal"/>
    <w:qFormat/>
    <w:rsid w:val="005435BE"/>
    <w:pPr>
      <w:framePr w:w="2268" w:hSpace="181" w:vSpace="181" w:wrap="around" w:vAnchor="text" w:hAnchor="page" w:x="1135" w:y="285" w:anchorLock="1"/>
    </w:pPr>
    <w:rPr>
      <w:i/>
    </w:rPr>
  </w:style>
  <w:style w:type="paragraph" w:customStyle="1" w:styleId="MiniTOCTitle">
    <w:name w:val="MiniTOCTitle"/>
    <w:basedOn w:val="Heading4"/>
    <w:rsid w:val="005435BE"/>
    <w:pPr>
      <w:spacing w:before="240"/>
      <w:outlineLvl w:val="9"/>
    </w:pPr>
    <w:rPr>
      <w:noProof/>
      <w:sz w:val="24"/>
    </w:rPr>
  </w:style>
  <w:style w:type="paragraph" w:customStyle="1" w:styleId="MiniTOCItem">
    <w:name w:val="MiniTOCItem"/>
    <w:basedOn w:val="ListBullet"/>
    <w:rsid w:val="005435BE"/>
    <w:pPr>
      <w:numPr>
        <w:numId w:val="0"/>
      </w:numPr>
      <w:tabs>
        <w:tab w:val="right" w:leader="dot" w:pos="6521"/>
      </w:tabs>
      <w:spacing w:before="0" w:after="0"/>
    </w:pPr>
  </w:style>
  <w:style w:type="paragraph" w:customStyle="1" w:styleId="TOFTitle">
    <w:name w:val="TOFTitle"/>
    <w:basedOn w:val="TOCTitle"/>
    <w:rsid w:val="005435BE"/>
  </w:style>
  <w:style w:type="paragraph" w:styleId="TableofFigures">
    <w:name w:val="table of figures"/>
    <w:basedOn w:val="Normal"/>
    <w:next w:val="Normal"/>
    <w:semiHidden/>
    <w:rsid w:val="005435BE"/>
    <w:pPr>
      <w:tabs>
        <w:tab w:val="right" w:leader="dot" w:pos="9072"/>
      </w:tabs>
      <w:ind w:left="970" w:hanging="403"/>
    </w:pPr>
    <w:rPr>
      <w:rFonts w:ascii="Times New Roman" w:hAnsi="Times New Roman"/>
      <w:b/>
    </w:rPr>
  </w:style>
  <w:style w:type="paragraph" w:styleId="ListNumber">
    <w:name w:val="List Number"/>
    <w:basedOn w:val="List"/>
    <w:rsid w:val="005435BE"/>
    <w:pPr>
      <w:numPr>
        <w:numId w:val="15"/>
      </w:numPr>
      <w:tabs>
        <w:tab w:val="clear" w:pos="340"/>
      </w:tabs>
    </w:pPr>
  </w:style>
  <w:style w:type="character" w:customStyle="1" w:styleId="WingdingSymbols">
    <w:name w:val="Wingding Symbols"/>
    <w:rsid w:val="005435BE"/>
    <w:rPr>
      <w:rFonts w:ascii="Wingdings" w:hAnsi="Wingdings"/>
    </w:rPr>
  </w:style>
  <w:style w:type="paragraph" w:customStyle="1" w:styleId="TableHeading">
    <w:name w:val="Table Heading"/>
    <w:basedOn w:val="HeadingBase"/>
    <w:rsid w:val="005435BE"/>
    <w:pPr>
      <w:keepLines/>
      <w:pBdr>
        <w:bottom w:val="single" w:sz="6" w:space="1" w:color="918585"/>
      </w:pBdr>
      <w:spacing w:before="240"/>
    </w:pPr>
  </w:style>
  <w:style w:type="character" w:customStyle="1" w:styleId="HotSpot">
    <w:name w:val="HotSpot"/>
    <w:rsid w:val="005435BE"/>
    <w:rPr>
      <w:color w:val="0033CC"/>
      <w:u w:val="none"/>
    </w:rPr>
  </w:style>
  <w:style w:type="paragraph" w:customStyle="1" w:styleId="BodyTextRight">
    <w:name w:val="Body Text Right"/>
    <w:basedOn w:val="BodyText"/>
    <w:rsid w:val="005435BE"/>
    <w:pPr>
      <w:spacing w:before="0" w:after="0"/>
      <w:jc w:val="right"/>
    </w:pPr>
  </w:style>
  <w:style w:type="paragraph" w:styleId="Index3">
    <w:name w:val="index 3"/>
    <w:basedOn w:val="ListNumber2"/>
    <w:next w:val="Normal"/>
    <w:semiHidden/>
    <w:rsid w:val="005435BE"/>
    <w:pPr>
      <w:numPr>
        <w:numId w:val="0"/>
      </w:numPr>
      <w:tabs>
        <w:tab w:val="right" w:leader="dot" w:pos="4176"/>
      </w:tabs>
    </w:pPr>
  </w:style>
  <w:style w:type="paragraph" w:styleId="ListNumber2">
    <w:name w:val="List Number 2"/>
    <w:basedOn w:val="List2"/>
    <w:rsid w:val="005435BE"/>
    <w:pPr>
      <w:numPr>
        <w:numId w:val="10"/>
      </w:numPr>
      <w:tabs>
        <w:tab w:val="clear" w:pos="1060"/>
      </w:tabs>
    </w:pPr>
  </w:style>
  <w:style w:type="paragraph" w:customStyle="1" w:styleId="MarginNote">
    <w:name w:val="Margin Note"/>
    <w:basedOn w:val="BodyText"/>
    <w:rsid w:val="005435BE"/>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5435BE"/>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5435BE"/>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5435BE"/>
    <w:rPr>
      <w:sz w:val="32"/>
    </w:rPr>
  </w:style>
  <w:style w:type="paragraph" w:customStyle="1" w:styleId="HeadingProcedure">
    <w:name w:val="Heading Procedure"/>
    <w:basedOn w:val="HeadingBase"/>
    <w:next w:val="Normal"/>
    <w:rsid w:val="005435BE"/>
    <w:pPr>
      <w:tabs>
        <w:tab w:val="left" w:pos="0"/>
      </w:tabs>
      <w:spacing w:before="120" w:after="60"/>
    </w:pPr>
    <w:rPr>
      <w:i/>
      <w:color w:val="918585"/>
      <w:sz w:val="22"/>
    </w:rPr>
  </w:style>
  <w:style w:type="paragraph" w:customStyle="1" w:styleId="TableBodyText">
    <w:name w:val="Table Body Text"/>
    <w:basedOn w:val="BodyText"/>
    <w:rsid w:val="005435BE"/>
    <w:pPr>
      <w:spacing w:before="60" w:after="60"/>
    </w:pPr>
  </w:style>
  <w:style w:type="paragraph" w:styleId="ListContinue">
    <w:name w:val="List Continue"/>
    <w:basedOn w:val="List"/>
    <w:rsid w:val="005435BE"/>
    <w:pPr>
      <w:ind w:firstLine="0"/>
    </w:pPr>
  </w:style>
  <w:style w:type="paragraph" w:customStyle="1" w:styleId="ListNote">
    <w:name w:val="List Note"/>
    <w:basedOn w:val="List"/>
    <w:rsid w:val="005435BE"/>
    <w:pPr>
      <w:pBdr>
        <w:top w:val="single" w:sz="6" w:space="2" w:color="918585"/>
        <w:bottom w:val="single" w:sz="6" w:space="2" w:color="918585"/>
      </w:pBdr>
      <w:tabs>
        <w:tab w:val="left" w:pos="1021"/>
      </w:tabs>
      <w:ind w:firstLine="0"/>
    </w:pPr>
  </w:style>
  <w:style w:type="paragraph" w:customStyle="1" w:styleId="Warning">
    <w:name w:val="Warning"/>
    <w:basedOn w:val="BodyText"/>
    <w:rsid w:val="005435BE"/>
    <w:pPr>
      <w:shd w:val="clear" w:color="auto" w:fill="D9D9D9"/>
      <w:tabs>
        <w:tab w:val="left" w:pos="992"/>
      </w:tabs>
      <w:ind w:left="119" w:right="119"/>
    </w:pPr>
    <w:rPr>
      <w:sz w:val="20"/>
    </w:rPr>
  </w:style>
  <w:style w:type="paragraph" w:customStyle="1" w:styleId="MarginIcons">
    <w:name w:val="Margin Icons"/>
    <w:basedOn w:val="BodyText"/>
    <w:rsid w:val="005435BE"/>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5435BE"/>
    <w:rPr>
      <w:rFonts w:ascii="Courier New" w:hAnsi="Courier New"/>
    </w:rPr>
  </w:style>
  <w:style w:type="paragraph" w:customStyle="1" w:styleId="NoteBullet">
    <w:name w:val="Note Bullet"/>
    <w:basedOn w:val="Note"/>
    <w:rsid w:val="005435BE"/>
    <w:pPr>
      <w:tabs>
        <w:tab w:val="clear" w:pos="680"/>
      </w:tabs>
      <w:spacing w:before="60" w:after="60"/>
    </w:pPr>
  </w:style>
  <w:style w:type="paragraph" w:customStyle="1" w:styleId="SubHeading2">
    <w:name w:val="SubHeading2"/>
    <w:basedOn w:val="HeadingBase"/>
    <w:rsid w:val="005435BE"/>
    <w:pPr>
      <w:spacing w:before="240" w:after="60"/>
    </w:pPr>
    <w:rPr>
      <w:sz w:val="20"/>
    </w:rPr>
  </w:style>
  <w:style w:type="paragraph" w:customStyle="1" w:styleId="SubHeading1">
    <w:name w:val="SubHeading1"/>
    <w:basedOn w:val="HeadingBase"/>
    <w:rsid w:val="005435BE"/>
    <w:pPr>
      <w:spacing w:before="240" w:after="60"/>
    </w:pPr>
    <w:rPr>
      <w:color w:val="918585"/>
      <w:sz w:val="22"/>
    </w:rPr>
  </w:style>
  <w:style w:type="paragraph" w:customStyle="1" w:styleId="SideHeading">
    <w:name w:val="Side Heading"/>
    <w:basedOn w:val="HeadingBase"/>
    <w:rsid w:val="005435BE"/>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5435BE"/>
    <w:pPr>
      <w:tabs>
        <w:tab w:val="num" w:pos="360"/>
      </w:tabs>
    </w:pPr>
  </w:style>
  <w:style w:type="paragraph" w:styleId="PlainText">
    <w:name w:val="Plain Text"/>
    <w:basedOn w:val="Normal"/>
    <w:link w:val="PlainTextChar"/>
    <w:rsid w:val="005435BE"/>
    <w:rPr>
      <w:sz w:val="20"/>
    </w:rPr>
  </w:style>
  <w:style w:type="character" w:customStyle="1" w:styleId="PlainTextChar">
    <w:name w:val="Plain Text Char"/>
    <w:basedOn w:val="DefaultParagraphFont"/>
    <w:link w:val="PlainText"/>
    <w:rsid w:val="005435BE"/>
    <w:rPr>
      <w:rFonts w:ascii="Courier New" w:eastAsia="Times New Roman" w:hAnsi="Courier New" w:cs="Times New Roman"/>
      <w:sz w:val="20"/>
      <w:szCs w:val="20"/>
      <w:lang w:eastAsia="en-US"/>
    </w:rPr>
  </w:style>
  <w:style w:type="character" w:customStyle="1" w:styleId="MenuOption">
    <w:name w:val="Menu Option"/>
    <w:basedOn w:val="DefaultParagraphFont"/>
    <w:rsid w:val="005435BE"/>
    <w:rPr>
      <w:b/>
      <w:smallCaps/>
    </w:rPr>
  </w:style>
  <w:style w:type="paragraph" w:customStyle="1" w:styleId="TableListNumber">
    <w:name w:val="Table List Number"/>
    <w:basedOn w:val="ListNumber"/>
    <w:rsid w:val="005435BE"/>
    <w:pPr>
      <w:numPr>
        <w:numId w:val="0"/>
      </w:numPr>
    </w:pPr>
  </w:style>
  <w:style w:type="paragraph" w:styleId="TOC4">
    <w:name w:val="toc 4"/>
    <w:basedOn w:val="TOCBase"/>
    <w:next w:val="Normal"/>
    <w:semiHidden/>
    <w:rsid w:val="005435BE"/>
    <w:pPr>
      <w:tabs>
        <w:tab w:val="right" w:leader="dot" w:pos="9071"/>
      </w:tabs>
      <w:ind w:left="1701"/>
    </w:pPr>
  </w:style>
  <w:style w:type="paragraph" w:customStyle="1" w:styleId="ListAlpha">
    <w:name w:val="List Alpha"/>
    <w:basedOn w:val="List"/>
    <w:rsid w:val="005435BE"/>
    <w:pPr>
      <w:numPr>
        <w:numId w:val="9"/>
      </w:numPr>
    </w:pPr>
  </w:style>
  <w:style w:type="paragraph" w:customStyle="1" w:styleId="ListAlpha2">
    <w:name w:val="List Alpha 2"/>
    <w:basedOn w:val="List2"/>
    <w:rsid w:val="005435BE"/>
    <w:pPr>
      <w:numPr>
        <w:numId w:val="8"/>
      </w:numPr>
    </w:pPr>
  </w:style>
  <w:style w:type="paragraph" w:styleId="List2">
    <w:name w:val="List 2"/>
    <w:basedOn w:val="BodyText"/>
    <w:rsid w:val="005435BE"/>
    <w:pPr>
      <w:tabs>
        <w:tab w:val="left" w:pos="680"/>
      </w:tabs>
      <w:spacing w:before="60" w:after="60"/>
      <w:ind w:left="680" w:hanging="340"/>
    </w:pPr>
  </w:style>
  <w:style w:type="paragraph" w:styleId="List3">
    <w:name w:val="List 3"/>
    <w:basedOn w:val="BodyText"/>
    <w:rsid w:val="005435BE"/>
    <w:pPr>
      <w:tabs>
        <w:tab w:val="left" w:pos="1021"/>
      </w:tabs>
      <w:spacing w:before="60" w:after="60"/>
      <w:ind w:left="1020" w:hanging="340"/>
    </w:pPr>
  </w:style>
  <w:style w:type="paragraph" w:styleId="List4">
    <w:name w:val="List 4"/>
    <w:basedOn w:val="BodyText"/>
    <w:rsid w:val="005435BE"/>
    <w:pPr>
      <w:tabs>
        <w:tab w:val="left" w:pos="1361"/>
      </w:tabs>
      <w:spacing w:before="60" w:after="60"/>
      <w:ind w:left="1361" w:hanging="340"/>
    </w:pPr>
  </w:style>
  <w:style w:type="paragraph" w:styleId="List5">
    <w:name w:val="List 5"/>
    <w:basedOn w:val="BodyText"/>
    <w:rsid w:val="005435BE"/>
    <w:pPr>
      <w:tabs>
        <w:tab w:val="left" w:pos="1701"/>
      </w:tabs>
      <w:spacing w:before="60" w:after="60"/>
      <w:ind w:left="1701" w:hanging="340"/>
    </w:pPr>
  </w:style>
  <w:style w:type="paragraph" w:styleId="ListBullet3">
    <w:name w:val="List Bullet 3"/>
    <w:basedOn w:val="List3"/>
    <w:rsid w:val="005435BE"/>
    <w:pPr>
      <w:numPr>
        <w:numId w:val="14"/>
      </w:numPr>
      <w:tabs>
        <w:tab w:val="clear" w:pos="1021"/>
      </w:tabs>
      <w:ind w:left="1037" w:hanging="357"/>
    </w:pPr>
  </w:style>
  <w:style w:type="paragraph" w:styleId="ListBullet4">
    <w:name w:val="List Bullet 4"/>
    <w:basedOn w:val="List4"/>
    <w:rsid w:val="005435BE"/>
    <w:pPr>
      <w:numPr>
        <w:numId w:val="3"/>
      </w:numPr>
      <w:tabs>
        <w:tab w:val="clear" w:pos="1361"/>
      </w:tabs>
    </w:pPr>
  </w:style>
  <w:style w:type="paragraph" w:styleId="ListBullet5">
    <w:name w:val="List Bullet 5"/>
    <w:basedOn w:val="List5"/>
    <w:rsid w:val="005435BE"/>
    <w:pPr>
      <w:numPr>
        <w:numId w:val="4"/>
      </w:numPr>
    </w:pPr>
  </w:style>
  <w:style w:type="paragraph" w:styleId="ListContinue2">
    <w:name w:val="List Continue 2"/>
    <w:basedOn w:val="List2"/>
    <w:rsid w:val="005435BE"/>
    <w:pPr>
      <w:ind w:firstLine="0"/>
    </w:pPr>
  </w:style>
  <w:style w:type="paragraph" w:styleId="ListContinue3">
    <w:name w:val="List Continue 3"/>
    <w:basedOn w:val="List3"/>
    <w:rsid w:val="005435BE"/>
    <w:pPr>
      <w:ind w:left="1021" w:firstLine="0"/>
    </w:pPr>
  </w:style>
  <w:style w:type="paragraph" w:styleId="ListContinue4">
    <w:name w:val="List Continue 4"/>
    <w:basedOn w:val="List4"/>
    <w:rsid w:val="005435BE"/>
    <w:pPr>
      <w:ind w:firstLine="0"/>
    </w:pPr>
  </w:style>
  <w:style w:type="paragraph" w:styleId="ListContinue5">
    <w:name w:val="List Continue 5"/>
    <w:basedOn w:val="List5"/>
    <w:rsid w:val="005435BE"/>
    <w:pPr>
      <w:ind w:firstLine="0"/>
    </w:pPr>
  </w:style>
  <w:style w:type="paragraph" w:styleId="ListNumber3">
    <w:name w:val="List Number 3"/>
    <w:basedOn w:val="List3"/>
    <w:rsid w:val="005435BE"/>
    <w:pPr>
      <w:numPr>
        <w:numId w:val="5"/>
      </w:numPr>
    </w:pPr>
  </w:style>
  <w:style w:type="paragraph" w:styleId="ListNumber4">
    <w:name w:val="List Number 4"/>
    <w:basedOn w:val="List4"/>
    <w:rsid w:val="005435BE"/>
    <w:pPr>
      <w:numPr>
        <w:numId w:val="6"/>
      </w:numPr>
    </w:pPr>
  </w:style>
  <w:style w:type="paragraph" w:styleId="ListNumber5">
    <w:name w:val="List Number 5"/>
    <w:basedOn w:val="List5"/>
    <w:rsid w:val="005435BE"/>
    <w:pPr>
      <w:numPr>
        <w:numId w:val="7"/>
      </w:numPr>
    </w:pPr>
  </w:style>
  <w:style w:type="paragraph" w:styleId="BlockText">
    <w:name w:val="Block Text"/>
    <w:basedOn w:val="Normal"/>
    <w:rsid w:val="005435BE"/>
    <w:pPr>
      <w:spacing w:after="120"/>
      <w:ind w:left="1440" w:right="1440"/>
    </w:pPr>
  </w:style>
  <w:style w:type="character" w:customStyle="1" w:styleId="Subscript">
    <w:name w:val="Subscript"/>
    <w:basedOn w:val="DefaultParagraphFont"/>
    <w:rsid w:val="005435BE"/>
    <w:rPr>
      <w:sz w:val="16"/>
      <w:vertAlign w:val="subscript"/>
    </w:rPr>
  </w:style>
  <w:style w:type="character" w:customStyle="1" w:styleId="Superscript">
    <w:name w:val="Superscript"/>
    <w:basedOn w:val="DefaultParagraphFont"/>
    <w:rsid w:val="005435BE"/>
    <w:rPr>
      <w:sz w:val="16"/>
      <w:vertAlign w:val="superscript"/>
    </w:rPr>
  </w:style>
  <w:style w:type="character" w:customStyle="1" w:styleId="Symbols">
    <w:name w:val="Symbols"/>
    <w:basedOn w:val="DefaultParagraphFont"/>
    <w:rsid w:val="005435BE"/>
    <w:rPr>
      <w:rFonts w:ascii="Symbol" w:hAnsi="Symbol"/>
    </w:rPr>
  </w:style>
  <w:style w:type="character" w:customStyle="1" w:styleId="MenuOptions">
    <w:name w:val="Menu Options"/>
    <w:basedOn w:val="DefaultParagraphFont"/>
    <w:rsid w:val="005435BE"/>
    <w:rPr>
      <w:rFonts w:ascii="Arial Narrow" w:hAnsi="Arial Narrow"/>
      <w:smallCaps/>
    </w:rPr>
  </w:style>
  <w:style w:type="character" w:customStyle="1" w:styleId="Buttons">
    <w:name w:val="Buttons"/>
    <w:basedOn w:val="DefaultParagraphFont"/>
    <w:rsid w:val="005435BE"/>
    <w:rPr>
      <w:b/>
    </w:rPr>
  </w:style>
  <w:style w:type="character" w:customStyle="1" w:styleId="Underlined">
    <w:name w:val="Underlined"/>
    <w:basedOn w:val="DefaultParagraphFont"/>
    <w:rsid w:val="005435BE"/>
    <w:rPr>
      <w:u w:val="single"/>
    </w:rPr>
  </w:style>
  <w:style w:type="paragraph" w:customStyle="1" w:styleId="TableBodyTextRight">
    <w:name w:val="Table Body Text Right"/>
    <w:basedOn w:val="TableBodyText"/>
    <w:rsid w:val="005435BE"/>
    <w:pPr>
      <w:widowControl w:val="0"/>
      <w:autoSpaceDE w:val="0"/>
      <w:autoSpaceDN w:val="0"/>
      <w:adjustRightInd w:val="0"/>
      <w:jc w:val="right"/>
    </w:pPr>
    <w:rPr>
      <w:rFonts w:cs="Arial"/>
      <w:szCs w:val="18"/>
    </w:rPr>
  </w:style>
  <w:style w:type="paragraph" w:customStyle="1" w:styleId="CopyrightText">
    <w:name w:val="Copyright Text"/>
    <w:basedOn w:val="BodyText"/>
    <w:rsid w:val="005435BE"/>
    <w:rPr>
      <w:sz w:val="18"/>
    </w:rPr>
  </w:style>
  <w:style w:type="paragraph" w:customStyle="1" w:styleId="BodySmallRight">
    <w:name w:val="Body Small Right"/>
    <w:basedOn w:val="BodyTextRight"/>
    <w:rsid w:val="005435BE"/>
    <w:rPr>
      <w:sz w:val="18"/>
      <w:szCs w:val="18"/>
    </w:rPr>
  </w:style>
  <w:style w:type="paragraph" w:customStyle="1" w:styleId="MarginEdition">
    <w:name w:val="Margin Edition"/>
    <w:basedOn w:val="MarginNote"/>
    <w:rsid w:val="005435BE"/>
    <w:pPr>
      <w:spacing w:before="0" w:after="0"/>
    </w:pPr>
    <w:rPr>
      <w:rFonts w:ascii="Times New Roman" w:hAnsi="Times New Roman"/>
      <w:color w:val="999999"/>
    </w:rPr>
  </w:style>
  <w:style w:type="paragraph" w:customStyle="1" w:styleId="Spacer">
    <w:name w:val="Spacer"/>
    <w:basedOn w:val="Normal"/>
    <w:rsid w:val="005435BE"/>
    <w:rPr>
      <w:sz w:val="2"/>
      <w:szCs w:val="2"/>
    </w:rPr>
  </w:style>
  <w:style w:type="character" w:customStyle="1" w:styleId="Small">
    <w:name w:val="Small"/>
    <w:basedOn w:val="DefaultParagraphFont"/>
    <w:rsid w:val="005435BE"/>
    <w:rPr>
      <w:sz w:val="16"/>
    </w:rPr>
  </w:style>
  <w:style w:type="paragraph" w:customStyle="1" w:styleId="WideTable">
    <w:name w:val="Wide Table"/>
    <w:basedOn w:val="Normal"/>
    <w:rsid w:val="005435BE"/>
    <w:pPr>
      <w:ind w:left="-1418"/>
    </w:pPr>
    <w:rPr>
      <w:sz w:val="2"/>
      <w:szCs w:val="2"/>
    </w:rPr>
  </w:style>
  <w:style w:type="character" w:styleId="PageNumber">
    <w:name w:val="page number"/>
    <w:basedOn w:val="DefaultParagraphFont"/>
    <w:rsid w:val="005435BE"/>
  </w:style>
  <w:style w:type="paragraph" w:styleId="Quote">
    <w:name w:val="Quote"/>
    <w:basedOn w:val="Heading1"/>
    <w:link w:val="QuoteChar"/>
    <w:qFormat/>
    <w:rsid w:val="005435BE"/>
    <w:rPr>
      <w:b w:val="0"/>
      <w:sz w:val="72"/>
      <w:szCs w:val="72"/>
      <w:lang w:val="en-NZ"/>
    </w:rPr>
  </w:style>
  <w:style w:type="character" w:customStyle="1" w:styleId="QuoteChar">
    <w:name w:val="Quote Char"/>
    <w:basedOn w:val="DefaultParagraphFont"/>
    <w:link w:val="Quote"/>
    <w:rsid w:val="005435BE"/>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5435BE"/>
    <w:pPr>
      <w:pageBreakBefore/>
    </w:pPr>
  </w:style>
  <w:style w:type="paragraph" w:customStyle="1" w:styleId="Border">
    <w:name w:val="Border"/>
    <w:basedOn w:val="Normal"/>
    <w:qFormat/>
    <w:rsid w:val="005435BE"/>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5435BE"/>
    <w:rPr>
      <w:b/>
      <w:bCs/>
      <w:i/>
      <w:iCs/>
      <w:color w:val="auto"/>
    </w:rPr>
  </w:style>
  <w:style w:type="paragraph" w:styleId="IntenseQuote">
    <w:name w:val="Intense Quote"/>
    <w:basedOn w:val="Normal"/>
    <w:next w:val="Normal"/>
    <w:link w:val="IntenseQuoteChar"/>
    <w:uiPriority w:val="30"/>
    <w:qFormat/>
    <w:rsid w:val="005435BE"/>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5435BE"/>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5435BE"/>
    <w:rPr>
      <w:smallCaps/>
      <w:color w:val="auto"/>
      <w:u w:val="single"/>
    </w:rPr>
  </w:style>
  <w:style w:type="character" w:styleId="IntenseReference">
    <w:name w:val="Intense Reference"/>
    <w:basedOn w:val="DefaultParagraphFont"/>
    <w:uiPriority w:val="32"/>
    <w:qFormat/>
    <w:rsid w:val="005435BE"/>
    <w:rPr>
      <w:b/>
      <w:bCs/>
      <w:smallCaps/>
      <w:color w:val="auto"/>
      <w:spacing w:val="5"/>
      <w:u w:val="single"/>
    </w:rPr>
  </w:style>
  <w:style w:type="paragraph" w:customStyle="1" w:styleId="2ColumnHeading">
    <w:name w:val="2Column Heading"/>
    <w:basedOn w:val="BodyText"/>
    <w:qFormat/>
    <w:rsid w:val="005435BE"/>
    <w:pPr>
      <w:spacing w:after="60"/>
      <w:ind w:left="-2268"/>
    </w:pPr>
    <w:rPr>
      <w:b/>
    </w:rPr>
  </w:style>
  <w:style w:type="paragraph" w:customStyle="1" w:styleId="Heading1TOC">
    <w:name w:val="Heading1 TOC"/>
    <w:basedOn w:val="Normal"/>
    <w:qFormat/>
    <w:rsid w:val="005435BE"/>
    <w:pPr>
      <w:spacing w:before="240" w:after="120"/>
    </w:pPr>
    <w:rPr>
      <w:rFonts w:ascii="Times New Roman" w:hAnsi="Times New Roman"/>
      <w:b/>
      <w:sz w:val="32"/>
    </w:rPr>
  </w:style>
  <w:style w:type="paragraph" w:customStyle="1" w:styleId="Heading2TOC">
    <w:name w:val="Heading2 TOC"/>
    <w:basedOn w:val="Normal"/>
    <w:qFormat/>
    <w:rsid w:val="005435BE"/>
    <w:pPr>
      <w:spacing w:before="240" w:after="60"/>
    </w:pPr>
    <w:rPr>
      <w:rFonts w:ascii="Times New Roman" w:hAnsi="Times New Roman"/>
      <w:b/>
      <w:sz w:val="28"/>
    </w:rPr>
  </w:style>
  <w:style w:type="character" w:customStyle="1" w:styleId="Underline">
    <w:name w:val="Underline"/>
    <w:basedOn w:val="DefaultParagraphFont"/>
    <w:qFormat/>
    <w:rsid w:val="005435BE"/>
    <w:rPr>
      <w:u w:val="single"/>
    </w:rPr>
  </w:style>
  <w:style w:type="character" w:customStyle="1" w:styleId="BoldandItalics">
    <w:name w:val="Bold and Italics"/>
    <w:qFormat/>
    <w:rsid w:val="005435BE"/>
    <w:rPr>
      <w:b/>
      <w:i/>
      <w:u w:val="none"/>
    </w:rPr>
  </w:style>
  <w:style w:type="paragraph" w:styleId="BalloonText">
    <w:name w:val="Balloon Text"/>
    <w:basedOn w:val="Normal"/>
    <w:link w:val="BalloonTextChar"/>
    <w:rsid w:val="005435BE"/>
    <w:rPr>
      <w:rFonts w:ascii="Tahoma" w:hAnsi="Tahoma" w:cs="Tahoma"/>
      <w:sz w:val="16"/>
      <w:szCs w:val="16"/>
    </w:rPr>
  </w:style>
  <w:style w:type="character" w:customStyle="1" w:styleId="BalloonTextChar">
    <w:name w:val="Balloon Text Char"/>
    <w:basedOn w:val="DefaultParagraphFont"/>
    <w:link w:val="BalloonText"/>
    <w:rsid w:val="005435BE"/>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5435BE"/>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5435BE"/>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5435BE"/>
    <w:rPr>
      <w:b/>
      <w:color w:val="660033"/>
      <w:spacing w:val="0"/>
    </w:rPr>
  </w:style>
  <w:style w:type="paragraph" w:customStyle="1" w:styleId="Nameditemlist">
    <w:name w:val="Named item list"/>
    <w:basedOn w:val="BodyText"/>
    <w:qFormat/>
    <w:rsid w:val="005435BE"/>
    <w:pPr>
      <w:tabs>
        <w:tab w:val="left" w:pos="2835"/>
      </w:tabs>
      <w:ind w:left="2835" w:hanging="2835"/>
    </w:pPr>
  </w:style>
  <w:style w:type="paragraph" w:customStyle="1" w:styleId="BodyTextnopadding">
    <w:name w:val="Body Text no padding"/>
    <w:basedOn w:val="BodyText"/>
    <w:qFormat/>
    <w:rsid w:val="005435BE"/>
    <w:pPr>
      <w:spacing w:before="0" w:after="0"/>
    </w:pPr>
  </w:style>
  <w:style w:type="paragraph" w:customStyle="1" w:styleId="BodyTextBold">
    <w:name w:val="Body Text Bold"/>
    <w:basedOn w:val="BodyText"/>
    <w:qFormat/>
    <w:rsid w:val="005435BE"/>
    <w:rPr>
      <w:b/>
    </w:rPr>
  </w:style>
  <w:style w:type="character" w:styleId="Hyperlink">
    <w:name w:val="Hyperlink"/>
    <w:basedOn w:val="DefaultParagraphFont"/>
    <w:uiPriority w:val="99"/>
    <w:unhideWhenUsed/>
    <w:rsid w:val="00135FC7"/>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1303</Words>
  <Characters>8503</Characters>
  <Application>Microsoft Office Word</Application>
  <DocSecurity>0</DocSecurity>
  <Lines>283</Lines>
  <Paragraphs>166</Paragraphs>
  <ScaleCrop>false</ScaleCrop>
  <Company>Author-it Software Corporation Ltd.</Company>
  <LinksUpToDate>false</LinksUpToDate>
  <CharactersWithSpaces>9640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MEA288 Repair or overhaul aircraft audio and visual systems and reproducers</dc:title>
  <dc:subject>Approved</dc:subject>
  <dc:creator>Manufacturing Industry Skills Alliance</dc:creator>
  <cp:keywords>Release: 2</cp:keywords>
  <dc:description>Review Date: 12 April 2008</dc:description>
  <cp:lastModifiedBy>HSD_TPCMSd.prod</cp:lastModifiedBy>
  <cp:revision>3</cp:revision>
  <dcterms:created xsi:type="dcterms:W3CDTF">2025-03-02T00:22:00Z</dcterms:created>
  <dcterms:modified xsi:type="dcterms:W3CDTF">2025-03-02T00:22:00Z</dcterms:modified>
</cp:coreProperties>
</file>