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406B" w:rsidP="008F406B">
      <w:pPr>
        <w:pStyle w:val="Title"/>
      </w:pPr>
      <w:r>
        <w:fldChar w:fldCharType="begin"/>
      </w:r>
      <w:r>
        <w:instrText xml:space="preserve"> TITLE   \* MERGEFORMAT </w:instrText>
      </w:r>
      <w:r>
        <w:fldChar w:fldCharType="separate"/>
      </w:r>
      <w:r>
        <w:t>MEA285 Repair or overhaul aircraft radio frequency communication and navigation system components</w:t>
      </w:r>
      <w:r>
        <w:fldChar w:fldCharType="end"/>
      </w:r>
    </w:p>
    <w:p w:rsidR="008F406B" w:rsidP="008F406B">
      <w:pPr>
        <w:pStyle w:val="Version"/>
        <w:sectPr w:rsidSect="00AF7B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F7B6C" w:rsidP="00AF7B6C">
      <w:pPr>
        <w:pStyle w:val="SuperHeading"/>
      </w:pPr>
      <w:r w:rsidRPr="00AF7B6C">
        <w:t>MEA285 Repair</w:t>
      </w:r>
      <w:r w:rsidRPr="00AF7B6C">
        <w:t xml:space="preserve"> or overhaul aircraft radio frequency communication and navigation system components</w:t>
      </w:r>
    </w:p>
    <w:p w:rsidR="00000000" w:rsidRPr="00AF7B6C" w:rsidP="00AF7B6C">
      <w:pPr>
        <w:pStyle w:val="Heading1"/>
      </w:pPr>
      <w:bookmarkStart w:id="1" w:name="O_998302"/>
      <w:bookmarkEnd w:id="1"/>
      <w:r w:rsidRPr="00AF7B6C">
        <w:t>Modification History</w:t>
      </w:r>
    </w:p>
    <w:p w:rsidR="00000000" w:rsidRPr="00AF7B6C" w:rsidP="008F406B">
      <w:pPr>
        <w:pStyle w:val="BodyText"/>
      </w:pPr>
      <w:r w:rsidRPr="00AF7B6C">
        <w:t>Release 2. Equivalent to MEA285 Repair or overhaul aircraft radio frequency communicati</w:t>
      </w:r>
      <w:r w:rsidRPr="00AF7B6C">
        <w:t>on and navigation system components with amended prerequisite codes.</w:t>
      </w:r>
    </w:p>
    <w:p w:rsidR="00000000" w:rsidRPr="00AF7B6C" w:rsidP="00AF7B6C">
      <w:pPr>
        <w:pStyle w:val="Heading1"/>
      </w:pPr>
      <w:bookmarkStart w:id="2" w:name="O_998301"/>
      <w:bookmarkEnd w:id="2"/>
      <w:r w:rsidRPr="00AF7B6C">
        <w:t>Application</w:t>
      </w:r>
    </w:p>
    <w:p w:rsidR="00000000" w:rsidRPr="00AF7B6C" w:rsidP="008F406B">
      <w:pPr>
        <w:pStyle w:val="BodyText"/>
      </w:pPr>
      <w:r w:rsidRPr="00AF7B6C">
        <w:t>This unit of competency requires application of hand skills, test equipment and knowledge of analogue and digital theory to repair or overhaul radio frequency</w:t>
      </w:r>
      <w:r w:rsidRPr="00AF7B6C">
        <w:t xml:space="preserve"> (RF) components from aircraft communication and navigation systems.</w:t>
      </w:r>
    </w:p>
    <w:p w:rsidR="00000000" w:rsidRPr="00AF7B6C" w:rsidP="008F406B">
      <w:pPr>
        <w:pStyle w:val="BodyText"/>
      </w:pPr>
      <w:r w:rsidRPr="00AF7B6C">
        <w:t>Applications include RF communications and navigation system components from fixed and rotary wing aircraft that are repaired or overhauled in aviation maintenance workshops during sched</w:t>
      </w:r>
      <w:r w:rsidRPr="00AF7B6C">
        <w:t>uled or unscheduled maintenance. Work may be performed individually or as part of a team.</w:t>
      </w:r>
    </w:p>
    <w:p w:rsidR="00000000" w:rsidRPr="00AF7B6C" w:rsidP="008F406B">
      <w:pPr>
        <w:pStyle w:val="BodyText"/>
      </w:pPr>
      <w:r w:rsidRPr="00AF7B6C">
        <w:t>The unit is part of the Avionic Certificate IV (Component Workshop Maintenance Stream) training pathway.</w:t>
      </w:r>
    </w:p>
    <w:p w:rsidR="00000000" w:rsidRPr="00AF7B6C" w:rsidP="008F406B">
      <w:pPr>
        <w:pStyle w:val="BodyText"/>
      </w:pPr>
      <w:r w:rsidRPr="00AF7B6C">
        <w:t>Repair of circuit boards is covered by MEA262 Modify/repair</w:t>
      </w:r>
      <w:r w:rsidRPr="00AF7B6C">
        <w:t xml:space="preserve"> aircraft component single layer printed circuit boards and MEA263 Modify/repair aircraft component multi-layer printed circuit boards. </w:t>
      </w:r>
    </w:p>
    <w:p w:rsidR="00000000" w:rsidRPr="00AF7B6C" w:rsidP="008F406B">
      <w:pPr>
        <w:pStyle w:val="BodyText"/>
      </w:pPr>
      <w:r w:rsidRPr="00AF7B6C">
        <w:t xml:space="preserve">The unit is used in workplaces that operate under the airworthiness regulatory systems of the Australian Defence Force </w:t>
      </w:r>
      <w:r w:rsidRPr="00AF7B6C">
        <w:t xml:space="preserve">(ADF) and the Civil Aviation safety Authority (CASA). </w:t>
      </w:r>
    </w:p>
    <w:p w:rsidR="00000000" w:rsidRPr="00AF7B6C" w:rsidP="00AF7B6C">
      <w:pPr>
        <w:pStyle w:val="Heading1"/>
      </w:pPr>
      <w:bookmarkStart w:id="3" w:name="O_998300"/>
      <w:bookmarkEnd w:id="3"/>
      <w:r w:rsidRPr="00AF7B6C">
        <w:t>Pre-requisite Unit</w:t>
      </w:r>
    </w:p>
    <w:tbl>
      <w:tblPr>
        <w:tblW w:w="0" w:type="auto"/>
        <w:tblLayout w:type="fixed"/>
        <w:tblCellMar>
          <w:left w:w="62" w:type="dxa"/>
          <w:right w:w="62" w:type="dxa"/>
        </w:tblCellMar>
        <w:tblLook w:val="0000"/>
      </w:tblPr>
      <w:tblGrid>
        <w:gridCol w:w="1674"/>
        <w:gridCol w:w="6245"/>
      </w:tblGrid>
      <w:tr w:rsidTr="00AF7B6C">
        <w:tblPrEx>
          <w:tblW w:w="0" w:type="auto"/>
          <w:tblLayout w:type="fixed"/>
          <w:tblCellMar>
            <w:left w:w="62" w:type="dxa"/>
            <w:right w:w="62" w:type="dxa"/>
          </w:tblCellMar>
          <w:tblLook w:val="0000"/>
        </w:tblPrEx>
        <w:tc>
          <w:tcPr>
            <w:tcW w:w="1674" w:type="dxa"/>
            <w:tcBorders>
              <w:top w:val="nil"/>
              <w:left w:val="nil"/>
              <w:bottom w:val="nil"/>
              <w:right w:val="nil"/>
            </w:tcBorders>
            <w:tcMar>
              <w:top w:w="0" w:type="dxa"/>
              <w:left w:w="62" w:type="dxa"/>
              <w:bottom w:w="0" w:type="dxa"/>
              <w:right w:w="62" w:type="dxa"/>
            </w:tcMar>
          </w:tcPr>
          <w:p w:rsidR="00000000" w:rsidP="00AF7B6C">
            <w:pPr>
              <w:pStyle w:val="BodyText"/>
              <w:rPr>
                <w:lang w:val="en-NZ"/>
              </w:rPr>
            </w:pPr>
            <w:r w:rsidRPr="00AF7B6C">
              <w:t>MEA261</w:t>
            </w:r>
          </w:p>
        </w:tc>
        <w:tc>
          <w:tcPr>
            <w:tcW w:w="6245" w:type="dxa"/>
            <w:tcBorders>
              <w:top w:val="nil"/>
              <w:left w:val="nil"/>
              <w:bottom w:val="nil"/>
              <w:right w:val="nil"/>
            </w:tcBorders>
            <w:tcMar>
              <w:top w:w="0" w:type="dxa"/>
              <w:left w:w="62" w:type="dxa"/>
              <w:bottom w:w="0" w:type="dxa"/>
              <w:right w:w="62" w:type="dxa"/>
            </w:tcMar>
          </w:tcPr>
          <w:p w:rsidR="00000000" w:rsidP="00AF7B6C">
            <w:pPr>
              <w:pStyle w:val="BodyText"/>
              <w:rPr>
                <w:lang w:val="en-NZ"/>
              </w:rPr>
            </w:pPr>
            <w:r w:rsidRPr="00AF7B6C">
              <w:t>Use electronic test equipment</w:t>
            </w:r>
          </w:p>
        </w:tc>
      </w:tr>
      <w:tr w:rsidTr="00AF7B6C">
        <w:tblPrEx>
          <w:tblW w:w="0" w:type="auto"/>
          <w:tblLayout w:type="fixed"/>
          <w:tblCellMar>
            <w:left w:w="62" w:type="dxa"/>
            <w:right w:w="62" w:type="dxa"/>
          </w:tblCellMar>
          <w:tblLook w:val="0000"/>
        </w:tblPrEx>
        <w:tc>
          <w:tcPr>
            <w:tcW w:w="1674" w:type="dxa"/>
            <w:tcBorders>
              <w:top w:val="nil"/>
              <w:left w:val="nil"/>
              <w:bottom w:val="nil"/>
              <w:right w:val="nil"/>
            </w:tcBorders>
            <w:tcMar>
              <w:top w:w="0" w:type="dxa"/>
              <w:left w:w="62" w:type="dxa"/>
              <w:bottom w:w="0" w:type="dxa"/>
              <w:right w:w="62" w:type="dxa"/>
            </w:tcMar>
          </w:tcPr>
          <w:p w:rsidR="00000000" w:rsidP="00AF7B6C">
            <w:pPr>
              <w:pStyle w:val="BodyText"/>
              <w:rPr>
                <w:lang w:val="en-NZ"/>
              </w:rPr>
            </w:pPr>
            <w:r w:rsidRPr="00AF7B6C">
              <w:t>MEA296</w:t>
            </w:r>
          </w:p>
        </w:tc>
        <w:tc>
          <w:tcPr>
            <w:tcW w:w="6245" w:type="dxa"/>
            <w:tcBorders>
              <w:top w:val="nil"/>
              <w:left w:val="nil"/>
              <w:bottom w:val="nil"/>
              <w:right w:val="nil"/>
            </w:tcBorders>
            <w:tcMar>
              <w:top w:w="0" w:type="dxa"/>
              <w:left w:w="62" w:type="dxa"/>
              <w:bottom w:w="0" w:type="dxa"/>
              <w:right w:w="62" w:type="dxa"/>
            </w:tcMar>
          </w:tcPr>
          <w:p w:rsidR="00000000" w:rsidRPr="00AF7B6C" w:rsidP="00AF7B6C">
            <w:pPr>
              <w:pStyle w:val="BodyText"/>
            </w:pPr>
            <w:r w:rsidRPr="00AF7B6C">
              <w:t>Use electrical test equipment in aviation maintenance activities</w:t>
            </w:r>
          </w:p>
        </w:tc>
      </w:tr>
    </w:tbl>
    <w:p w:rsidR="00000000" w:rsidRPr="00AF7B6C" w:rsidP="00AF7B6C">
      <w:pPr>
        <w:pStyle w:val="BodyText"/>
      </w:pPr>
    </w:p>
    <w:p w:rsidR="00000000" w:rsidRPr="00AF7B6C" w:rsidP="00AF7B6C">
      <w:pPr>
        <w:pStyle w:val="AllowPageBreak"/>
      </w:pPr>
    </w:p>
    <w:p w:rsidR="00000000" w:rsidRPr="00AF7B6C" w:rsidP="00AF7B6C">
      <w:pPr>
        <w:pStyle w:val="Heading1"/>
      </w:pPr>
      <w:bookmarkStart w:id="4" w:name="O_998299"/>
      <w:bookmarkEnd w:id="4"/>
      <w:r w:rsidRPr="00AF7B6C">
        <w:t>Competency Field</w:t>
      </w:r>
    </w:p>
    <w:p w:rsidR="00000000" w:rsidRPr="00AF7B6C" w:rsidP="008F406B">
      <w:pPr>
        <w:pStyle w:val="BodyText"/>
      </w:pPr>
      <w:r w:rsidRPr="00AF7B6C">
        <w:t>Aviation maintenance</w:t>
      </w:r>
    </w:p>
    <w:p w:rsidR="00000000" w:rsidRPr="00AF7B6C" w:rsidP="00AF7B6C">
      <w:pPr>
        <w:pStyle w:val="Heading1"/>
      </w:pPr>
      <w:bookmarkStart w:id="5" w:name="O_998298"/>
      <w:bookmarkEnd w:id="5"/>
      <w:r w:rsidRPr="00AF7B6C">
        <w:t>Unit Sector</w:t>
      </w:r>
    </w:p>
    <w:p w:rsidR="00000000" w:rsidRPr="00AF7B6C" w:rsidP="00AF7B6C">
      <w:pPr>
        <w:pStyle w:val="Heading1"/>
      </w:pPr>
      <w:bookmarkStart w:id="6" w:name="O_998297"/>
      <w:bookmarkEnd w:id="6"/>
      <w:r w:rsidRPr="00AF7B6C">
        <w:t>Elements and Performance Criteria</w:t>
      </w:r>
    </w:p>
    <w:tbl>
      <w:tblPr>
        <w:tblW w:w="0" w:type="auto"/>
        <w:tblLayout w:type="fixed"/>
        <w:tblCellMar>
          <w:left w:w="62" w:type="dxa"/>
          <w:right w:w="62" w:type="dxa"/>
        </w:tblCellMar>
        <w:tblLook w:val="0000"/>
      </w:tblPr>
      <w:tblGrid>
        <w:gridCol w:w="574"/>
        <w:gridCol w:w="2439"/>
        <w:gridCol w:w="717"/>
        <w:gridCol w:w="5450"/>
      </w:tblGrid>
      <w:tr w:rsidTr="00AF7B6C">
        <w:tblPrEx>
          <w:tblW w:w="0" w:type="auto"/>
          <w:tblLayout w:type="fixed"/>
          <w:tblCellMar>
            <w:left w:w="62" w:type="dxa"/>
            <w:right w:w="62" w:type="dxa"/>
          </w:tblCellMar>
          <w:tblLook w:val="0000"/>
        </w:tblPrEx>
        <w:tc>
          <w:tcPr>
            <w:tcW w:w="3013" w:type="dxa"/>
            <w:gridSpan w:val="2"/>
            <w:tcBorders>
              <w:top w:val="nil"/>
              <w:left w:val="nil"/>
              <w:bottom w:val="nil"/>
              <w:right w:val="nil"/>
            </w:tcBorders>
            <w:tcMar>
              <w:top w:w="0" w:type="dxa"/>
              <w:left w:w="62" w:type="dxa"/>
              <w:bottom w:w="0" w:type="dxa"/>
              <w:right w:w="62" w:type="dxa"/>
            </w:tcMar>
          </w:tcPr>
          <w:p w:rsidR="00000000" w:rsidP="00AF7B6C">
            <w:pPr>
              <w:pStyle w:val="BodyText"/>
              <w:rPr>
                <w:lang w:val="en-NZ"/>
              </w:rPr>
            </w:pPr>
            <w:r w:rsidRPr="00AF7B6C">
              <w:t>Elements describe the essential outcomes.</w:t>
            </w:r>
          </w:p>
        </w:tc>
        <w:tc>
          <w:tcPr>
            <w:tcW w:w="6167" w:type="dxa"/>
            <w:gridSpan w:val="2"/>
            <w:tcBorders>
              <w:top w:val="nil"/>
              <w:left w:val="nil"/>
              <w:bottom w:val="nil"/>
              <w:right w:val="nil"/>
            </w:tcBorders>
            <w:tcMar>
              <w:top w:w="0" w:type="dxa"/>
              <w:left w:w="62" w:type="dxa"/>
              <w:bottom w:w="0" w:type="dxa"/>
              <w:right w:w="62" w:type="dxa"/>
            </w:tcMar>
          </w:tcPr>
          <w:p w:rsidR="00000000" w:rsidP="00AF7B6C">
            <w:pPr>
              <w:pStyle w:val="BodyText"/>
              <w:rPr>
                <w:lang w:val="en-NZ"/>
              </w:rPr>
            </w:pPr>
            <w:r w:rsidRPr="00AF7B6C">
              <w:t xml:space="preserve">Performance criteria describe the performance needed to demonstrate achievement of the element. </w:t>
            </w:r>
          </w:p>
        </w:tc>
      </w:tr>
      <w:tr w:rsidTr="00AF7B6C">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AF7B6C">
            <w:pPr>
              <w:pStyle w:val="BodyText"/>
              <w:rPr>
                <w:lang w:val="en-NZ"/>
              </w:rPr>
            </w:pPr>
            <w:r w:rsidRPr="00AF7B6C">
              <w:t>1.</w:t>
            </w:r>
          </w:p>
        </w:tc>
        <w:tc>
          <w:tcPr>
            <w:tcW w:w="2439" w:type="dxa"/>
            <w:tcBorders>
              <w:top w:val="nil"/>
              <w:left w:val="nil"/>
              <w:bottom w:val="nil"/>
              <w:right w:val="nil"/>
            </w:tcBorders>
            <w:tcMar>
              <w:top w:w="0" w:type="dxa"/>
              <w:left w:w="62" w:type="dxa"/>
              <w:bottom w:w="0" w:type="dxa"/>
              <w:right w:w="62" w:type="dxa"/>
            </w:tcMar>
          </w:tcPr>
          <w:p w:rsidR="00000000" w:rsidP="00AF7B6C">
            <w:pPr>
              <w:pStyle w:val="BodyText"/>
              <w:rPr>
                <w:lang w:val="en-NZ"/>
              </w:rPr>
            </w:pPr>
            <w:r w:rsidRPr="00AF7B6C">
              <w:t>Determine r</w:t>
            </w:r>
            <w:r w:rsidRPr="00AF7B6C">
              <w:t>equirements</w:t>
            </w:r>
          </w:p>
        </w:tc>
        <w:tc>
          <w:tcPr>
            <w:tcW w:w="717" w:type="dxa"/>
            <w:tcBorders>
              <w:top w:val="nil"/>
              <w:left w:val="nil"/>
              <w:bottom w:val="nil"/>
              <w:right w:val="nil"/>
            </w:tcBorders>
            <w:tcMar>
              <w:top w:w="0" w:type="dxa"/>
              <w:left w:w="62" w:type="dxa"/>
              <w:bottom w:w="0" w:type="dxa"/>
              <w:right w:w="62" w:type="dxa"/>
            </w:tcMar>
          </w:tcPr>
          <w:p w:rsidR="00000000" w:rsidP="00AF7B6C">
            <w:pPr>
              <w:pStyle w:val="BodyText"/>
              <w:rPr>
                <w:lang w:val="en-NZ"/>
              </w:rPr>
            </w:pPr>
            <w:r w:rsidRPr="00AF7B6C">
              <w:t>1.1</w:t>
            </w:r>
          </w:p>
        </w:tc>
        <w:tc>
          <w:tcPr>
            <w:tcW w:w="5450" w:type="dxa"/>
            <w:tcBorders>
              <w:top w:val="nil"/>
              <w:left w:val="nil"/>
              <w:bottom w:val="nil"/>
              <w:right w:val="nil"/>
            </w:tcBorders>
            <w:tcMar>
              <w:top w:w="0" w:type="dxa"/>
              <w:left w:w="62" w:type="dxa"/>
              <w:bottom w:w="0" w:type="dxa"/>
              <w:right w:w="62" w:type="dxa"/>
            </w:tcMar>
          </w:tcPr>
          <w:p w:rsidR="00000000" w:rsidP="00AF7B6C">
            <w:pPr>
              <w:pStyle w:val="BodyText"/>
              <w:rPr>
                <w:lang w:val="en-NZ"/>
              </w:rPr>
            </w:pPr>
            <w:r w:rsidRPr="00AF7B6C">
              <w:t>Communication and navigation system component defect reports (removal tags) or customer order are correctly interpreted and matched by part and serial numbers</w:t>
            </w:r>
          </w:p>
        </w:tc>
      </w:tr>
      <w:tr w:rsidTr="00AF7B6C">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AF7B6C">
            <w:pPr>
              <w:pStyle w:val="BodyText"/>
              <w:rPr>
                <w:lang w:val="en-NZ"/>
              </w:rPr>
            </w:pPr>
            <w:r w:rsidRPr="00AF7B6C">
              <w:t>1.2</w:t>
            </w:r>
          </w:p>
        </w:tc>
        <w:tc>
          <w:tcPr>
            <w:tcW w:w="5450" w:type="dxa"/>
            <w:tcBorders>
              <w:top w:val="nil"/>
              <w:left w:val="nil"/>
              <w:bottom w:val="nil"/>
              <w:right w:val="nil"/>
            </w:tcBorders>
            <w:tcMar>
              <w:top w:w="0" w:type="dxa"/>
              <w:left w:w="62" w:type="dxa"/>
              <w:bottom w:w="0" w:type="dxa"/>
              <w:right w:w="62" w:type="dxa"/>
            </w:tcMar>
          </w:tcPr>
          <w:p w:rsidR="00000000" w:rsidP="00AF7B6C">
            <w:pPr>
              <w:pStyle w:val="BodyText"/>
              <w:rPr>
                <w:lang w:val="en-NZ"/>
              </w:rPr>
            </w:pPr>
            <w:r w:rsidRPr="00AF7B6C">
              <w:t>Circuitry is correctly prepared and connected to the applicable test equipment and is functionally tested or cycled through the prescribed test procedures in accordance with the maintenance documentation for evidence of serviceability or malfunction</w:t>
            </w:r>
          </w:p>
        </w:tc>
      </w:tr>
      <w:tr w:rsidTr="00AF7B6C">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AF7B6C">
            <w:pPr>
              <w:pStyle w:val="BodyText"/>
              <w:rPr>
                <w:lang w:val="en-NZ"/>
              </w:rPr>
            </w:pPr>
            <w:r w:rsidRPr="00AF7B6C">
              <w:t>1.3</w:t>
            </w:r>
          </w:p>
        </w:tc>
        <w:tc>
          <w:tcPr>
            <w:tcW w:w="5450" w:type="dxa"/>
            <w:tcBorders>
              <w:top w:val="nil"/>
              <w:left w:val="nil"/>
              <w:bottom w:val="nil"/>
              <w:right w:val="nil"/>
            </w:tcBorders>
            <w:tcMar>
              <w:top w:w="0" w:type="dxa"/>
              <w:left w:w="62" w:type="dxa"/>
              <w:bottom w:w="0" w:type="dxa"/>
              <w:right w:w="62" w:type="dxa"/>
            </w:tcMar>
          </w:tcPr>
          <w:p w:rsidR="00000000" w:rsidP="00AF7B6C">
            <w:pPr>
              <w:pStyle w:val="BodyText"/>
              <w:rPr>
                <w:lang w:val="en-NZ"/>
              </w:rPr>
            </w:pPr>
            <w:r w:rsidRPr="00AF7B6C">
              <w:t>Modification status is clearly established to assist in determining the overhaul requirements for the components</w:t>
            </w:r>
          </w:p>
        </w:tc>
      </w:tr>
      <w:tr w:rsidTr="00AF7B6C">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AF7B6C">
            <w:pPr>
              <w:pStyle w:val="BodyText"/>
              <w:rPr>
                <w:lang w:val="en-NZ"/>
              </w:rPr>
            </w:pPr>
            <w:r w:rsidRPr="00AF7B6C">
              <w:t>1.4</w:t>
            </w:r>
          </w:p>
        </w:tc>
        <w:tc>
          <w:tcPr>
            <w:tcW w:w="5450" w:type="dxa"/>
            <w:tcBorders>
              <w:top w:val="nil"/>
              <w:left w:val="nil"/>
              <w:bottom w:val="nil"/>
              <w:right w:val="nil"/>
            </w:tcBorders>
            <w:tcMar>
              <w:top w:w="0" w:type="dxa"/>
              <w:left w:w="62" w:type="dxa"/>
              <w:bottom w:w="0" w:type="dxa"/>
              <w:right w:w="62" w:type="dxa"/>
            </w:tcMar>
          </w:tcPr>
          <w:p w:rsidR="00000000" w:rsidP="00AF7B6C">
            <w:pPr>
              <w:pStyle w:val="BodyText"/>
              <w:rPr>
                <w:lang w:val="en-NZ"/>
              </w:rPr>
            </w:pPr>
            <w:r w:rsidRPr="00AF7B6C">
              <w:t>Extent of overhaul or repair is correctly identified and documented</w:t>
            </w:r>
          </w:p>
        </w:tc>
      </w:tr>
      <w:tr w:rsidTr="00AF7B6C">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AF7B6C">
            <w:pPr>
              <w:pStyle w:val="BodyText"/>
              <w:rPr>
                <w:lang w:val="en-NZ"/>
              </w:rPr>
            </w:pPr>
            <w:r w:rsidRPr="00AF7B6C">
              <w:t>2.</w:t>
            </w:r>
          </w:p>
        </w:tc>
        <w:tc>
          <w:tcPr>
            <w:tcW w:w="2439" w:type="dxa"/>
            <w:tcBorders>
              <w:top w:val="nil"/>
              <w:left w:val="nil"/>
              <w:bottom w:val="nil"/>
              <w:right w:val="nil"/>
            </w:tcBorders>
            <w:tcMar>
              <w:top w:w="0" w:type="dxa"/>
              <w:left w:w="62" w:type="dxa"/>
              <w:bottom w:w="0" w:type="dxa"/>
              <w:right w:w="62" w:type="dxa"/>
            </w:tcMar>
          </w:tcPr>
          <w:p w:rsidR="00000000" w:rsidP="00AF7B6C">
            <w:pPr>
              <w:pStyle w:val="BodyText"/>
              <w:rPr>
                <w:lang w:val="en-NZ"/>
              </w:rPr>
            </w:pPr>
            <w:r w:rsidRPr="00AF7B6C">
              <w:t>Troubleshoot RF communication and navigation system components</w:t>
            </w:r>
          </w:p>
        </w:tc>
        <w:tc>
          <w:tcPr>
            <w:tcW w:w="717" w:type="dxa"/>
            <w:tcBorders>
              <w:top w:val="nil"/>
              <w:left w:val="nil"/>
              <w:bottom w:val="nil"/>
              <w:right w:val="nil"/>
            </w:tcBorders>
            <w:tcMar>
              <w:top w:w="0" w:type="dxa"/>
              <w:left w:w="62" w:type="dxa"/>
              <w:bottom w:w="0" w:type="dxa"/>
              <w:right w:w="62" w:type="dxa"/>
            </w:tcMar>
          </w:tcPr>
          <w:p w:rsidR="00000000" w:rsidP="00AF7B6C">
            <w:pPr>
              <w:pStyle w:val="BodyText"/>
              <w:rPr>
                <w:lang w:val="en-NZ"/>
              </w:rPr>
            </w:pPr>
            <w:r w:rsidRPr="00AF7B6C">
              <w:t>2.1</w:t>
            </w:r>
          </w:p>
        </w:tc>
        <w:tc>
          <w:tcPr>
            <w:tcW w:w="5450" w:type="dxa"/>
            <w:tcBorders>
              <w:top w:val="nil"/>
              <w:left w:val="nil"/>
              <w:bottom w:val="nil"/>
              <w:right w:val="nil"/>
            </w:tcBorders>
            <w:tcMar>
              <w:top w:w="0" w:type="dxa"/>
              <w:left w:w="62" w:type="dxa"/>
              <w:bottom w:w="0" w:type="dxa"/>
              <w:right w:w="62" w:type="dxa"/>
            </w:tcMar>
          </w:tcPr>
          <w:p w:rsidR="00000000" w:rsidP="00AF7B6C">
            <w:pPr>
              <w:pStyle w:val="BodyText"/>
              <w:rPr>
                <w:lang w:val="en-NZ"/>
              </w:rPr>
            </w:pPr>
            <w:r w:rsidRPr="00AF7B6C">
              <w:t>Available information from maintenance records and inspection and test results is used, where necessary, to assist in fault determination</w:t>
            </w:r>
          </w:p>
        </w:tc>
      </w:tr>
      <w:tr w:rsidTr="00AF7B6C">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AF7B6C">
            <w:pPr>
              <w:pStyle w:val="BodyText"/>
              <w:rPr>
                <w:lang w:val="en-NZ"/>
              </w:rPr>
            </w:pPr>
            <w:r w:rsidRPr="00AF7B6C">
              <w:t>2.2</w:t>
            </w:r>
          </w:p>
        </w:tc>
        <w:tc>
          <w:tcPr>
            <w:tcW w:w="5450" w:type="dxa"/>
            <w:tcBorders>
              <w:top w:val="nil"/>
              <w:left w:val="nil"/>
              <w:bottom w:val="nil"/>
              <w:right w:val="nil"/>
            </w:tcBorders>
            <w:tcMar>
              <w:top w:w="0" w:type="dxa"/>
              <w:left w:w="62" w:type="dxa"/>
              <w:bottom w:w="0" w:type="dxa"/>
              <w:right w:w="62" w:type="dxa"/>
            </w:tcMar>
          </w:tcPr>
          <w:p w:rsidR="00000000" w:rsidP="00AF7B6C">
            <w:pPr>
              <w:pStyle w:val="BodyText"/>
              <w:rPr>
                <w:lang w:val="en-NZ"/>
              </w:rPr>
            </w:pPr>
            <w:r w:rsidRPr="00AF7B6C">
              <w:t>Maintenance manual fault diagnosis guides and logic processes are used to ensure efficient and accurate troubleshooting</w:t>
            </w:r>
          </w:p>
        </w:tc>
      </w:tr>
      <w:tr w:rsidTr="00AF7B6C">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AF7B6C">
            <w:pPr>
              <w:pStyle w:val="BodyText"/>
              <w:rPr>
                <w:lang w:val="en-NZ"/>
              </w:rPr>
            </w:pPr>
            <w:r w:rsidRPr="00AF7B6C">
              <w:t>2.3</w:t>
            </w:r>
          </w:p>
        </w:tc>
        <w:tc>
          <w:tcPr>
            <w:tcW w:w="5450" w:type="dxa"/>
            <w:tcBorders>
              <w:top w:val="nil"/>
              <w:left w:val="nil"/>
              <w:bottom w:val="nil"/>
              <w:right w:val="nil"/>
            </w:tcBorders>
            <w:tcMar>
              <w:top w:w="0" w:type="dxa"/>
              <w:left w:w="62" w:type="dxa"/>
              <w:bottom w:w="0" w:type="dxa"/>
              <w:right w:w="62" w:type="dxa"/>
            </w:tcMar>
          </w:tcPr>
          <w:p w:rsidR="00000000" w:rsidP="00AF7B6C">
            <w:pPr>
              <w:pStyle w:val="BodyText"/>
              <w:rPr>
                <w:lang w:val="en-NZ"/>
              </w:rPr>
            </w:pPr>
            <w:r w:rsidRPr="00AF7B6C">
              <w:t>Faults are located and the causes of the faults are clearly identified and correctly recorded in maintenance documentation, where</w:t>
            </w:r>
            <w:r w:rsidRPr="00AF7B6C">
              <w:t xml:space="preserve"> required</w:t>
            </w:r>
          </w:p>
        </w:tc>
      </w:tr>
      <w:tr w:rsidTr="00AF7B6C">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AF7B6C">
            <w:pPr>
              <w:pStyle w:val="BodyText"/>
              <w:rPr>
                <w:lang w:val="en-NZ"/>
              </w:rPr>
            </w:pPr>
            <w:r w:rsidRPr="00AF7B6C">
              <w:t>2.4</w:t>
            </w:r>
          </w:p>
        </w:tc>
        <w:tc>
          <w:tcPr>
            <w:tcW w:w="5450" w:type="dxa"/>
            <w:tcBorders>
              <w:top w:val="nil"/>
              <w:left w:val="nil"/>
              <w:bottom w:val="nil"/>
              <w:right w:val="nil"/>
            </w:tcBorders>
            <w:tcMar>
              <w:top w:w="0" w:type="dxa"/>
              <w:left w:w="62" w:type="dxa"/>
              <w:bottom w:w="0" w:type="dxa"/>
              <w:right w:w="62" w:type="dxa"/>
            </w:tcMar>
          </w:tcPr>
          <w:p w:rsidR="00000000" w:rsidP="00AF7B6C">
            <w:pPr>
              <w:pStyle w:val="BodyText"/>
              <w:rPr>
                <w:lang w:val="en-NZ"/>
              </w:rPr>
            </w:pPr>
            <w:r w:rsidRPr="00AF7B6C">
              <w:t>Fault rectification requirements are determined</w:t>
            </w:r>
          </w:p>
        </w:tc>
      </w:tr>
      <w:tr w:rsidTr="00AF7B6C">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AF7B6C">
            <w:pPr>
              <w:pStyle w:val="BodyText"/>
              <w:rPr>
                <w:lang w:val="en-NZ"/>
              </w:rPr>
            </w:pPr>
            <w:r w:rsidRPr="00AF7B6C">
              <w:t>3.</w:t>
            </w:r>
          </w:p>
        </w:tc>
        <w:tc>
          <w:tcPr>
            <w:tcW w:w="2439" w:type="dxa"/>
            <w:tcBorders>
              <w:top w:val="nil"/>
              <w:left w:val="nil"/>
              <w:bottom w:val="nil"/>
              <w:right w:val="nil"/>
            </w:tcBorders>
            <w:tcMar>
              <w:top w:w="0" w:type="dxa"/>
              <w:left w:w="62" w:type="dxa"/>
              <w:bottom w:w="0" w:type="dxa"/>
              <w:right w:w="62" w:type="dxa"/>
            </w:tcMar>
          </w:tcPr>
          <w:p w:rsidR="00000000" w:rsidP="00AF7B6C">
            <w:pPr>
              <w:pStyle w:val="BodyText"/>
              <w:rPr>
                <w:lang w:val="en-NZ"/>
              </w:rPr>
            </w:pPr>
            <w:r w:rsidRPr="00AF7B6C">
              <w:t>Dismantle and inspect RF communication and navigation system components</w:t>
            </w:r>
          </w:p>
        </w:tc>
        <w:tc>
          <w:tcPr>
            <w:tcW w:w="717" w:type="dxa"/>
            <w:tcBorders>
              <w:top w:val="nil"/>
              <w:left w:val="nil"/>
              <w:bottom w:val="nil"/>
              <w:right w:val="nil"/>
            </w:tcBorders>
            <w:tcMar>
              <w:top w:w="0" w:type="dxa"/>
              <w:left w:w="62" w:type="dxa"/>
              <w:bottom w:w="0" w:type="dxa"/>
              <w:right w:w="62" w:type="dxa"/>
            </w:tcMar>
          </w:tcPr>
          <w:p w:rsidR="00000000" w:rsidP="00AF7B6C">
            <w:pPr>
              <w:pStyle w:val="BodyText"/>
              <w:rPr>
                <w:lang w:val="en-NZ"/>
              </w:rPr>
            </w:pPr>
            <w:r w:rsidRPr="00AF7B6C">
              <w:t>3.1</w:t>
            </w:r>
          </w:p>
        </w:tc>
        <w:tc>
          <w:tcPr>
            <w:tcW w:w="5450" w:type="dxa"/>
            <w:tcBorders>
              <w:top w:val="nil"/>
              <w:left w:val="nil"/>
              <w:bottom w:val="nil"/>
              <w:right w:val="nil"/>
            </w:tcBorders>
            <w:tcMar>
              <w:top w:w="0" w:type="dxa"/>
              <w:left w:w="62" w:type="dxa"/>
              <w:bottom w:w="0" w:type="dxa"/>
              <w:right w:w="62" w:type="dxa"/>
            </w:tcMar>
          </w:tcPr>
          <w:p w:rsidR="00000000" w:rsidP="00AF7B6C">
            <w:pPr>
              <w:pStyle w:val="BodyText"/>
              <w:rPr>
                <w:lang w:val="en-NZ"/>
              </w:rPr>
            </w:pPr>
            <w:r w:rsidRPr="00AF7B6C">
              <w:t xml:space="preserve">Component parts are dismantled in accordance with maintenance manuals while observing all relevant work health </w:t>
            </w:r>
            <w:r w:rsidRPr="00AF7B6C">
              <w:t>and safety (WHS) requirements</w:t>
            </w:r>
          </w:p>
        </w:tc>
      </w:tr>
      <w:tr w:rsidTr="00AF7B6C">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AF7B6C">
            <w:pPr>
              <w:pStyle w:val="BodyText"/>
              <w:rPr>
                <w:lang w:val="en-NZ"/>
              </w:rPr>
            </w:pPr>
            <w:r w:rsidRPr="00AF7B6C">
              <w:t>3.2</w:t>
            </w:r>
          </w:p>
        </w:tc>
        <w:tc>
          <w:tcPr>
            <w:tcW w:w="5450" w:type="dxa"/>
            <w:tcBorders>
              <w:top w:val="nil"/>
              <w:left w:val="nil"/>
              <w:bottom w:val="nil"/>
              <w:right w:val="nil"/>
            </w:tcBorders>
            <w:tcMar>
              <w:top w:w="0" w:type="dxa"/>
              <w:left w:w="62" w:type="dxa"/>
              <w:bottom w:w="0" w:type="dxa"/>
              <w:right w:w="62" w:type="dxa"/>
            </w:tcMar>
          </w:tcPr>
          <w:p w:rsidR="00000000" w:rsidP="00AF7B6C">
            <w:pPr>
              <w:pStyle w:val="BodyText"/>
              <w:rPr>
                <w:lang w:val="en-NZ"/>
              </w:rPr>
            </w:pPr>
            <w:r w:rsidRPr="00AF7B6C">
              <w:t>Component parts are assessed for serviceability in accordance with the relevant maintenance documentation</w:t>
            </w:r>
          </w:p>
        </w:tc>
      </w:tr>
      <w:tr w:rsidTr="00AF7B6C">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AF7B6C">
            <w:pPr>
              <w:pStyle w:val="BodyText"/>
              <w:rPr>
                <w:lang w:val="en-NZ"/>
              </w:rPr>
            </w:pPr>
            <w:r w:rsidRPr="00AF7B6C">
              <w:t>3.3</w:t>
            </w:r>
          </w:p>
        </w:tc>
        <w:tc>
          <w:tcPr>
            <w:tcW w:w="5450" w:type="dxa"/>
            <w:tcBorders>
              <w:top w:val="nil"/>
              <w:left w:val="nil"/>
              <w:bottom w:val="nil"/>
              <w:right w:val="nil"/>
            </w:tcBorders>
            <w:tcMar>
              <w:top w:w="0" w:type="dxa"/>
              <w:left w:w="62" w:type="dxa"/>
              <w:bottom w:w="0" w:type="dxa"/>
              <w:right w:w="62" w:type="dxa"/>
            </w:tcMar>
          </w:tcPr>
          <w:p w:rsidR="00000000" w:rsidP="00AF7B6C">
            <w:pPr>
              <w:pStyle w:val="BodyText"/>
              <w:rPr>
                <w:lang w:val="en-NZ"/>
              </w:rPr>
            </w:pPr>
            <w:r w:rsidRPr="00AF7B6C">
              <w:t>Parts requiring specialist repair are tagged and repair instructions are accurately specified</w:t>
            </w:r>
          </w:p>
        </w:tc>
      </w:tr>
      <w:tr w:rsidTr="00AF7B6C">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AF7B6C">
            <w:pPr>
              <w:pStyle w:val="BodyText"/>
              <w:rPr>
                <w:lang w:val="en-NZ"/>
              </w:rPr>
            </w:pPr>
            <w:r w:rsidRPr="00AF7B6C">
              <w:t>3.4</w:t>
            </w:r>
          </w:p>
        </w:tc>
        <w:tc>
          <w:tcPr>
            <w:tcW w:w="5450" w:type="dxa"/>
            <w:tcBorders>
              <w:top w:val="nil"/>
              <w:left w:val="nil"/>
              <w:bottom w:val="nil"/>
              <w:right w:val="nil"/>
            </w:tcBorders>
            <w:tcMar>
              <w:top w:w="0" w:type="dxa"/>
              <w:left w:w="62" w:type="dxa"/>
              <w:bottom w:w="0" w:type="dxa"/>
              <w:right w:w="62" w:type="dxa"/>
            </w:tcMar>
          </w:tcPr>
          <w:p w:rsidR="00000000" w:rsidP="00AF7B6C">
            <w:pPr>
              <w:pStyle w:val="BodyText"/>
              <w:rPr>
                <w:lang w:val="en-NZ"/>
              </w:rPr>
            </w:pPr>
            <w:r w:rsidRPr="00AF7B6C">
              <w:t>Parts lists are compiled and processed in accordance with standard enterprise procedures</w:t>
            </w:r>
          </w:p>
        </w:tc>
      </w:tr>
      <w:tr w:rsidTr="00AF7B6C">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AF7B6C">
            <w:pPr>
              <w:pStyle w:val="BodyText"/>
              <w:rPr>
                <w:lang w:val="en-NZ"/>
              </w:rPr>
            </w:pPr>
            <w:r w:rsidRPr="00AF7B6C">
              <w:t>4.</w:t>
            </w:r>
          </w:p>
        </w:tc>
        <w:tc>
          <w:tcPr>
            <w:tcW w:w="2439" w:type="dxa"/>
            <w:tcBorders>
              <w:top w:val="nil"/>
              <w:left w:val="nil"/>
              <w:bottom w:val="nil"/>
              <w:right w:val="nil"/>
            </w:tcBorders>
            <w:tcMar>
              <w:top w:w="0" w:type="dxa"/>
              <w:left w:w="62" w:type="dxa"/>
              <w:bottom w:w="0" w:type="dxa"/>
              <w:right w:w="62" w:type="dxa"/>
            </w:tcMar>
          </w:tcPr>
          <w:p w:rsidR="00000000" w:rsidP="00AF7B6C">
            <w:pPr>
              <w:pStyle w:val="BodyText"/>
              <w:rPr>
                <w:lang w:val="en-NZ"/>
              </w:rPr>
            </w:pPr>
            <w:r w:rsidRPr="00AF7B6C">
              <w:t>Repair and/or modify RF communication and navigation system components</w:t>
            </w:r>
          </w:p>
        </w:tc>
        <w:tc>
          <w:tcPr>
            <w:tcW w:w="717" w:type="dxa"/>
            <w:tcBorders>
              <w:top w:val="nil"/>
              <w:left w:val="nil"/>
              <w:bottom w:val="nil"/>
              <w:right w:val="nil"/>
            </w:tcBorders>
            <w:tcMar>
              <w:top w:w="0" w:type="dxa"/>
              <w:left w:w="62" w:type="dxa"/>
              <w:bottom w:w="0" w:type="dxa"/>
              <w:right w:w="62" w:type="dxa"/>
            </w:tcMar>
          </w:tcPr>
          <w:p w:rsidR="00000000" w:rsidP="00AF7B6C">
            <w:pPr>
              <w:pStyle w:val="BodyText"/>
              <w:rPr>
                <w:lang w:val="en-NZ"/>
              </w:rPr>
            </w:pPr>
            <w:r w:rsidRPr="00AF7B6C">
              <w:t>4.1</w:t>
            </w:r>
          </w:p>
        </w:tc>
        <w:tc>
          <w:tcPr>
            <w:tcW w:w="5450" w:type="dxa"/>
            <w:tcBorders>
              <w:top w:val="nil"/>
              <w:left w:val="nil"/>
              <w:bottom w:val="nil"/>
              <w:right w:val="nil"/>
            </w:tcBorders>
            <w:tcMar>
              <w:top w:w="0" w:type="dxa"/>
              <w:left w:w="62" w:type="dxa"/>
              <w:bottom w:w="0" w:type="dxa"/>
              <w:right w:w="62" w:type="dxa"/>
            </w:tcMar>
          </w:tcPr>
          <w:p w:rsidR="00000000" w:rsidP="00AF7B6C">
            <w:pPr>
              <w:pStyle w:val="BodyText"/>
              <w:rPr>
                <w:lang w:val="en-NZ"/>
              </w:rPr>
            </w:pPr>
            <w:r w:rsidRPr="00AF7B6C">
              <w:t>Component parts are repaired or replaced in accordance with the relevant maintenance doc</w:t>
            </w:r>
            <w:r w:rsidRPr="00AF7B6C">
              <w:t>umentation</w:t>
            </w:r>
          </w:p>
        </w:tc>
      </w:tr>
      <w:tr w:rsidTr="00AF7B6C">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AF7B6C">
            <w:pPr>
              <w:pStyle w:val="BodyText"/>
              <w:rPr>
                <w:lang w:val="en-NZ"/>
              </w:rPr>
            </w:pPr>
            <w:r w:rsidRPr="00AF7B6C">
              <w:t>4.2</w:t>
            </w:r>
          </w:p>
        </w:tc>
        <w:tc>
          <w:tcPr>
            <w:tcW w:w="5450" w:type="dxa"/>
            <w:tcBorders>
              <w:top w:val="nil"/>
              <w:left w:val="nil"/>
              <w:bottom w:val="nil"/>
              <w:right w:val="nil"/>
            </w:tcBorders>
            <w:tcMar>
              <w:top w:w="0" w:type="dxa"/>
              <w:left w:w="62" w:type="dxa"/>
              <w:bottom w:w="0" w:type="dxa"/>
              <w:right w:w="62" w:type="dxa"/>
            </w:tcMar>
          </w:tcPr>
          <w:p w:rsidR="00000000" w:rsidP="00AF7B6C">
            <w:pPr>
              <w:pStyle w:val="BodyText"/>
              <w:rPr>
                <w:lang w:val="en-NZ"/>
              </w:rPr>
            </w:pPr>
            <w:r w:rsidRPr="00AF7B6C">
              <w:t>Modification of components or parts is undertaken, where required, by relevant manufacturers’ bulletins or procedures</w:t>
            </w:r>
          </w:p>
        </w:tc>
      </w:tr>
      <w:tr w:rsidTr="00AF7B6C">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AF7B6C">
            <w:pPr>
              <w:pStyle w:val="BodyText"/>
              <w:rPr>
                <w:lang w:val="en-NZ"/>
              </w:rPr>
            </w:pPr>
            <w:r w:rsidRPr="00AF7B6C">
              <w:t>5.</w:t>
            </w:r>
          </w:p>
        </w:tc>
        <w:tc>
          <w:tcPr>
            <w:tcW w:w="2439" w:type="dxa"/>
            <w:tcBorders>
              <w:top w:val="nil"/>
              <w:left w:val="nil"/>
              <w:bottom w:val="nil"/>
              <w:right w:val="nil"/>
            </w:tcBorders>
            <w:tcMar>
              <w:top w:w="0" w:type="dxa"/>
              <w:left w:w="62" w:type="dxa"/>
              <w:bottom w:w="0" w:type="dxa"/>
              <w:right w:w="62" w:type="dxa"/>
            </w:tcMar>
          </w:tcPr>
          <w:p w:rsidR="00000000" w:rsidP="00AF7B6C">
            <w:pPr>
              <w:pStyle w:val="BodyText"/>
              <w:rPr>
                <w:lang w:val="en-NZ"/>
              </w:rPr>
            </w:pPr>
            <w:r w:rsidRPr="00AF7B6C">
              <w:t>Assemble, test and adjust RF communication and navigation system components</w:t>
            </w:r>
          </w:p>
        </w:tc>
        <w:tc>
          <w:tcPr>
            <w:tcW w:w="717" w:type="dxa"/>
            <w:tcBorders>
              <w:top w:val="nil"/>
              <w:left w:val="nil"/>
              <w:bottom w:val="nil"/>
              <w:right w:val="nil"/>
            </w:tcBorders>
            <w:tcMar>
              <w:top w:w="0" w:type="dxa"/>
              <w:left w:w="62" w:type="dxa"/>
              <w:bottom w:w="0" w:type="dxa"/>
              <w:right w:w="62" w:type="dxa"/>
            </w:tcMar>
          </w:tcPr>
          <w:p w:rsidR="00000000" w:rsidP="00AF7B6C">
            <w:pPr>
              <w:pStyle w:val="BodyText"/>
              <w:rPr>
                <w:lang w:val="en-NZ"/>
              </w:rPr>
            </w:pPr>
            <w:r w:rsidRPr="00AF7B6C">
              <w:t>5.1</w:t>
            </w:r>
          </w:p>
        </w:tc>
        <w:tc>
          <w:tcPr>
            <w:tcW w:w="5450" w:type="dxa"/>
            <w:tcBorders>
              <w:top w:val="nil"/>
              <w:left w:val="nil"/>
              <w:bottom w:val="nil"/>
              <w:right w:val="nil"/>
            </w:tcBorders>
            <w:tcMar>
              <w:top w:w="0" w:type="dxa"/>
              <w:left w:w="62" w:type="dxa"/>
              <w:bottom w:w="0" w:type="dxa"/>
              <w:right w:w="62" w:type="dxa"/>
            </w:tcMar>
          </w:tcPr>
          <w:p w:rsidR="00000000" w:rsidP="00AF7B6C">
            <w:pPr>
              <w:pStyle w:val="BodyText"/>
              <w:rPr>
                <w:lang w:val="en-NZ"/>
              </w:rPr>
            </w:pPr>
            <w:r w:rsidRPr="00AF7B6C">
              <w:t>Assembly of component parts is carried out in accordance with specified tolerances and the applicable maintenance documents</w:t>
            </w:r>
          </w:p>
        </w:tc>
      </w:tr>
      <w:tr w:rsidTr="00AF7B6C">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AF7B6C">
            <w:pPr>
              <w:pStyle w:val="BodyText"/>
              <w:rPr>
                <w:lang w:val="en-NZ"/>
              </w:rPr>
            </w:pPr>
            <w:r w:rsidRPr="00AF7B6C">
              <w:t>5.2</w:t>
            </w:r>
          </w:p>
        </w:tc>
        <w:tc>
          <w:tcPr>
            <w:tcW w:w="5450" w:type="dxa"/>
            <w:tcBorders>
              <w:top w:val="nil"/>
              <w:left w:val="nil"/>
              <w:bottom w:val="nil"/>
              <w:right w:val="nil"/>
            </w:tcBorders>
            <w:tcMar>
              <w:top w:w="0" w:type="dxa"/>
              <w:left w:w="62" w:type="dxa"/>
              <w:bottom w:w="0" w:type="dxa"/>
              <w:right w:w="62" w:type="dxa"/>
            </w:tcMar>
          </w:tcPr>
          <w:p w:rsidR="00000000" w:rsidP="00AF7B6C">
            <w:pPr>
              <w:pStyle w:val="BodyText"/>
              <w:rPr>
                <w:lang w:val="en-NZ"/>
              </w:rPr>
            </w:pPr>
            <w:r w:rsidRPr="00AF7B6C">
              <w:t>Assembled components are tested and adjusted/aligned in accordance with the applicable maintenance documentation using the ap</w:t>
            </w:r>
            <w:r w:rsidRPr="00AF7B6C">
              <w:t>propriate test equipment</w:t>
            </w:r>
          </w:p>
        </w:tc>
      </w:tr>
      <w:tr w:rsidTr="00AF7B6C">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AF7B6C">
            <w:pPr>
              <w:pStyle w:val="BodyText"/>
              <w:rPr>
                <w:lang w:val="en-NZ"/>
              </w:rPr>
            </w:pPr>
            <w:r w:rsidRPr="00AF7B6C">
              <w:t>5.3</w:t>
            </w:r>
          </w:p>
        </w:tc>
        <w:tc>
          <w:tcPr>
            <w:tcW w:w="5450" w:type="dxa"/>
            <w:tcBorders>
              <w:top w:val="nil"/>
              <w:left w:val="nil"/>
              <w:bottom w:val="nil"/>
              <w:right w:val="nil"/>
            </w:tcBorders>
            <w:tcMar>
              <w:top w:w="0" w:type="dxa"/>
              <w:left w:w="62" w:type="dxa"/>
              <w:bottom w:w="0" w:type="dxa"/>
              <w:right w:w="62" w:type="dxa"/>
            </w:tcMar>
          </w:tcPr>
          <w:p w:rsidR="00000000" w:rsidRPr="00AF7B6C" w:rsidP="00AF7B6C">
            <w:pPr>
              <w:pStyle w:val="BodyText"/>
            </w:pPr>
            <w:r w:rsidRPr="00AF7B6C">
              <w:t>Required maintenance documentation and modification records are completed and processed in accordance with standard enterprise procedures</w:t>
            </w:r>
          </w:p>
        </w:tc>
      </w:tr>
    </w:tbl>
    <w:p w:rsidR="00000000" w:rsidRPr="00AF7B6C" w:rsidP="00AF7B6C">
      <w:pPr>
        <w:pStyle w:val="BodyText"/>
      </w:pPr>
    </w:p>
    <w:p w:rsidR="00000000" w:rsidRPr="00AF7B6C" w:rsidP="00AF7B6C">
      <w:pPr>
        <w:pStyle w:val="AllowPageBreak"/>
      </w:pPr>
    </w:p>
    <w:p w:rsidR="00000000" w:rsidRPr="00AF7B6C" w:rsidP="00AF7B6C">
      <w:pPr>
        <w:pStyle w:val="Heading1"/>
      </w:pPr>
      <w:bookmarkStart w:id="7" w:name="O_998296"/>
      <w:bookmarkEnd w:id="7"/>
      <w:r w:rsidRPr="00AF7B6C">
        <w:t>Foundation Skills</w:t>
      </w:r>
    </w:p>
    <w:p w:rsidR="00000000" w:rsidRPr="00AF7B6C" w:rsidP="008F406B">
      <w:pPr>
        <w:pStyle w:val="BodyText"/>
      </w:pPr>
      <w:r w:rsidRPr="00AF7B6C">
        <w:t>Foundation skills essential to performance are ex</w:t>
      </w:r>
      <w:r w:rsidRPr="00AF7B6C">
        <w:t>plicit in the performance criteria of this unit of competency.</w:t>
      </w:r>
    </w:p>
    <w:p w:rsidR="00000000" w:rsidRPr="00AF7B6C" w:rsidP="00AF7B6C">
      <w:pPr>
        <w:pStyle w:val="Heading1"/>
      </w:pPr>
      <w:bookmarkStart w:id="8" w:name="O_998295"/>
      <w:bookmarkEnd w:id="8"/>
      <w:r w:rsidRPr="00AF7B6C">
        <w:t>Range of Conditions</w:t>
      </w:r>
    </w:p>
    <w:tbl>
      <w:tblPr>
        <w:tblW w:w="0" w:type="auto"/>
        <w:tblLayout w:type="fixed"/>
        <w:tblCellMar>
          <w:left w:w="62" w:type="dxa"/>
          <w:right w:w="62" w:type="dxa"/>
        </w:tblCellMar>
        <w:tblLook w:val="0000"/>
      </w:tblPr>
      <w:tblGrid>
        <w:gridCol w:w="3060"/>
        <w:gridCol w:w="6012"/>
      </w:tblGrid>
      <w:tr w:rsidTr="00AF7B6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F7B6C">
            <w:pPr>
              <w:pStyle w:val="BodyText"/>
              <w:rPr>
                <w:lang w:val="en-NZ"/>
              </w:rPr>
            </w:pPr>
            <w:r w:rsidRPr="00AF7B6C">
              <w:t xml:space="preserve">This field allows for different work environments and conditions that may affect performance. Essential operating conditions that may be present (depending </w:t>
            </w:r>
            <w:r w:rsidRPr="00AF7B6C">
              <w:t>on the work situation, needs of the candidate, accessibility of the item, and local industry and regional contexts) are included.</w:t>
            </w:r>
          </w:p>
        </w:tc>
      </w:tr>
      <w:tr w:rsidTr="00AF7B6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F7B6C">
            <w:pPr>
              <w:pStyle w:val="BodyText"/>
              <w:rPr>
                <w:lang w:val="en-NZ"/>
              </w:rPr>
            </w:pPr>
            <w:r w:rsidRPr="00AF7B6C">
              <w:rPr>
                <w:rStyle w:val="SpecialBold"/>
              </w:rPr>
              <w:t>Communication and navigation system components are from any or all of the following aircraft systems:</w:t>
            </w:r>
          </w:p>
        </w:tc>
        <w:tc>
          <w:tcPr>
            <w:tcW w:w="6012" w:type="dxa"/>
            <w:tcBorders>
              <w:top w:val="nil"/>
              <w:left w:val="nil"/>
              <w:bottom w:val="nil"/>
              <w:right w:val="nil"/>
            </w:tcBorders>
            <w:tcMar>
              <w:top w:w="0" w:type="dxa"/>
              <w:left w:w="62" w:type="dxa"/>
              <w:bottom w:w="0" w:type="dxa"/>
              <w:right w:w="62" w:type="dxa"/>
            </w:tcMar>
          </w:tcPr>
          <w:p w:rsidR="00000000" w:rsidRPr="00AF7B6C" w:rsidP="00AF7B6C">
            <w:pPr>
              <w:pStyle w:val="ListBullet"/>
            </w:pPr>
            <w:r w:rsidRPr="00AF7B6C">
              <w:t>Very high frequency (VHF) communications</w:t>
            </w:r>
          </w:p>
          <w:p w:rsidR="00000000" w:rsidRPr="00AF7B6C" w:rsidP="00AF7B6C">
            <w:pPr>
              <w:pStyle w:val="ListBullet"/>
            </w:pPr>
            <w:r w:rsidRPr="00AF7B6C">
              <w:t>High frequency (HF) communications</w:t>
            </w:r>
          </w:p>
          <w:p w:rsidR="00000000" w:rsidRPr="00AF7B6C" w:rsidP="00AF7B6C">
            <w:pPr>
              <w:pStyle w:val="ListBullet"/>
            </w:pPr>
            <w:r w:rsidRPr="00AF7B6C">
              <w:t>Ultra-high frequency (UHF) communications</w:t>
            </w:r>
          </w:p>
          <w:p w:rsidR="00000000" w:rsidRPr="00AF7B6C" w:rsidP="00AF7B6C">
            <w:pPr>
              <w:pStyle w:val="ListBullet"/>
            </w:pPr>
            <w:r w:rsidRPr="00AF7B6C">
              <w:t>Satellite communications</w:t>
            </w:r>
          </w:p>
          <w:p w:rsidR="00000000" w:rsidRPr="00AF7B6C" w:rsidP="00AF7B6C">
            <w:pPr>
              <w:pStyle w:val="ListBullet"/>
            </w:pPr>
            <w:r w:rsidRPr="00AF7B6C">
              <w:t>Emergency location transmitter (ELT)</w:t>
            </w:r>
          </w:p>
          <w:p w:rsidR="00000000" w:rsidRPr="00AF7B6C" w:rsidP="00AF7B6C">
            <w:pPr>
              <w:pStyle w:val="ListBullet"/>
            </w:pPr>
            <w:r w:rsidRPr="00AF7B6C">
              <w:t>Aeronautical Radio Incorporated (ARINC) Communication Addressing and Reporti</w:t>
            </w:r>
            <w:r w:rsidRPr="00AF7B6C">
              <w:t>ng System</w:t>
            </w:r>
          </w:p>
          <w:p w:rsidR="00000000" w:rsidRPr="00AF7B6C" w:rsidP="00AF7B6C">
            <w:pPr>
              <w:pStyle w:val="ListBullet"/>
            </w:pPr>
            <w:r w:rsidRPr="00AF7B6C">
              <w:t>Intercommunication and public address</w:t>
            </w:r>
          </w:p>
          <w:p w:rsidR="00000000" w:rsidRPr="00AF7B6C" w:rsidP="00AF7B6C">
            <w:pPr>
              <w:pStyle w:val="ListBullet"/>
            </w:pPr>
            <w:r w:rsidRPr="00AF7B6C">
              <w:t>Automatic direction finding (ADF) navigation</w:t>
            </w:r>
          </w:p>
          <w:p w:rsidR="00000000" w:rsidRPr="00AF7B6C" w:rsidP="00AF7B6C">
            <w:pPr>
              <w:pStyle w:val="ListBullet"/>
            </w:pPr>
            <w:r w:rsidRPr="00AF7B6C">
              <w:t>Very high frequency omni-directional range (VOR) navigation</w:t>
            </w:r>
          </w:p>
          <w:p w:rsidR="00000000" w:rsidRPr="00AF7B6C" w:rsidP="00AF7B6C">
            <w:pPr>
              <w:pStyle w:val="ListBullet"/>
            </w:pPr>
            <w:r w:rsidRPr="00AF7B6C">
              <w:t>Instrument landing system (ILS)</w:t>
            </w:r>
          </w:p>
          <w:p w:rsidR="00000000" w:rsidP="00AF7B6C">
            <w:pPr>
              <w:pStyle w:val="ListBullet"/>
              <w:rPr>
                <w:lang w:val="en-NZ"/>
              </w:rPr>
            </w:pPr>
            <w:r w:rsidRPr="00AF7B6C">
              <w:t>Ground positioning system (GPS)</w:t>
            </w:r>
          </w:p>
        </w:tc>
      </w:tr>
      <w:tr w:rsidTr="00AF7B6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F7B6C">
            <w:pPr>
              <w:pStyle w:val="BodyText"/>
              <w:rPr>
                <w:lang w:val="en-NZ"/>
              </w:rPr>
            </w:pPr>
            <w:r w:rsidRPr="00AF7B6C">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AF7B6C" w:rsidP="00AF7B6C">
            <w:pPr>
              <w:pStyle w:val="ListBullet"/>
            </w:pPr>
            <w:r w:rsidRPr="00AF7B6C">
              <w:t>Industry standard procedures specified by manufacturers, regulatory authorities or the enterprise</w:t>
            </w:r>
          </w:p>
        </w:tc>
      </w:tr>
    </w:tbl>
    <w:p w:rsidR="00000000" w:rsidRPr="00AF7B6C" w:rsidP="00AF7B6C">
      <w:pPr>
        <w:pStyle w:val="BodyText"/>
      </w:pPr>
    </w:p>
    <w:p w:rsidR="00000000" w:rsidRPr="00AF7B6C" w:rsidP="00AF7B6C">
      <w:pPr>
        <w:pStyle w:val="AllowPageBreak"/>
      </w:pPr>
    </w:p>
    <w:p w:rsidR="00000000" w:rsidRPr="00AF7B6C" w:rsidP="00AF7B6C">
      <w:pPr>
        <w:pStyle w:val="Heading1"/>
      </w:pPr>
      <w:bookmarkStart w:id="9" w:name="O_998294"/>
      <w:bookmarkEnd w:id="9"/>
      <w:r w:rsidRPr="00AF7B6C">
        <w:t>Unit Mapping Information</w:t>
      </w:r>
    </w:p>
    <w:p w:rsidR="00000000" w:rsidRPr="00AF7B6C" w:rsidP="008F406B">
      <w:pPr>
        <w:pStyle w:val="BodyText"/>
      </w:pPr>
      <w:r w:rsidRPr="00AF7B6C">
        <w:t>Release 2. Equivalent to MEA285 Repair or overhaul aircraft radio frequency communication and navigation system co</w:t>
      </w:r>
      <w:r w:rsidRPr="00AF7B6C">
        <w:t>mponents</w:t>
      </w:r>
    </w:p>
    <w:p w:rsidR="00000000" w:rsidRPr="00AF7B6C" w:rsidP="00AF7B6C">
      <w:pPr>
        <w:pStyle w:val="Heading1"/>
      </w:pPr>
      <w:bookmarkStart w:id="10" w:name="O_998303"/>
      <w:bookmarkEnd w:id="10"/>
      <w:r w:rsidRPr="00AF7B6C">
        <w:t>Links</w:t>
      </w:r>
    </w:p>
    <w:p w:rsidR="00000000" w:rsidRPr="00AF7B6C" w:rsidP="008F406B">
      <w:pPr>
        <w:pStyle w:val="BodyText"/>
      </w:pPr>
      <w:r w:rsidRPr="00AF7B6C">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EF7C85">
        <w:rPr>
          <w:rStyle w:val="Hyperlink"/>
        </w:rPr>
        <w:t>https://vetnet.education.gov.au/Pages/TrainingDocs.aspx?q=ce216c9c-04d5-4b3b-9bcf-4e81d0950371</w:t>
      </w:r>
      <w:r>
        <w:fldChar w:fldCharType="end"/>
      </w:r>
    </w:p>
    <w:p w:rsidR="00000000" w:rsidRPr="00AF7B6C" w:rsidP="00AF7B6C"/>
    <w:sectPr w:rsidSect="00AF7B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B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B6C" w:rsidRPr="008F406B" w:rsidP="008F40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B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06B" w:rsidP="00AF7B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F406B" w:rsidP="00AF7B6C">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F406B" w:rsidP="00AF7B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B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06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7B6C" w:rsidRPr="008F406B" w:rsidP="008F406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B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06B" w:rsidRPr="002D2AF8" w:rsidP="00AF7B6C">
    <w:pPr>
      <w:pStyle w:val="Header"/>
      <w:framePr w:wrap="around"/>
    </w:pPr>
    <w:r>
      <w:fldChar w:fldCharType="begin"/>
    </w:r>
    <w:r>
      <w:instrText xml:space="preserve"> TITLE   \* MERGEFORMAT </w:instrText>
    </w:r>
    <w:r>
      <w:fldChar w:fldCharType="separate"/>
    </w:r>
    <w:r>
      <w:t>MEA285 Repair or overhaul aircraft radio frequency communication and navigation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8F406B" w:rsidP="00AF7B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A3886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8A01DA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7B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7B6C"/>
    <w:pPr>
      <w:spacing w:before="360" w:after="60"/>
      <w:outlineLvl w:val="0"/>
    </w:pPr>
    <w:rPr>
      <w:sz w:val="32"/>
    </w:rPr>
  </w:style>
  <w:style w:type="paragraph" w:styleId="Heading2">
    <w:name w:val="heading 2"/>
    <w:basedOn w:val="HeadingBase"/>
    <w:next w:val="BodyText"/>
    <w:link w:val="Heading2Char"/>
    <w:qFormat/>
    <w:rsid w:val="00AF7B6C"/>
    <w:pPr>
      <w:keepLines/>
      <w:spacing w:before="240" w:after="120"/>
      <w:outlineLvl w:val="1"/>
    </w:pPr>
    <w:rPr>
      <w:sz w:val="28"/>
      <w:szCs w:val="40"/>
    </w:rPr>
  </w:style>
  <w:style w:type="paragraph" w:styleId="Heading3">
    <w:name w:val="heading 3"/>
    <w:basedOn w:val="HeadingBase"/>
    <w:next w:val="BodyText"/>
    <w:link w:val="Heading3Char"/>
    <w:qFormat/>
    <w:rsid w:val="00AF7B6C"/>
    <w:pPr>
      <w:spacing w:before="180" w:after="120"/>
      <w:outlineLvl w:val="2"/>
    </w:pPr>
    <w:rPr>
      <w:spacing w:val="-10"/>
      <w:kern w:val="32"/>
    </w:rPr>
  </w:style>
  <w:style w:type="paragraph" w:styleId="Heading4">
    <w:name w:val="heading 4"/>
    <w:basedOn w:val="HeadingBase"/>
    <w:next w:val="BodyText"/>
    <w:link w:val="Heading4Char"/>
    <w:qFormat/>
    <w:rsid w:val="00AF7B6C"/>
    <w:pPr>
      <w:spacing w:before="160" w:after="120"/>
      <w:outlineLvl w:val="3"/>
    </w:pPr>
    <w:rPr>
      <w:sz w:val="22"/>
    </w:rPr>
  </w:style>
  <w:style w:type="paragraph" w:styleId="Heading5">
    <w:name w:val="heading 5"/>
    <w:basedOn w:val="HeadingBase"/>
    <w:next w:val="Normal"/>
    <w:link w:val="Heading5Char"/>
    <w:qFormat/>
    <w:rsid w:val="00AF7B6C"/>
    <w:pPr>
      <w:spacing w:before="80"/>
      <w:outlineLvl w:val="4"/>
    </w:pPr>
    <w:rPr>
      <w:color w:val="918585"/>
      <w:sz w:val="20"/>
    </w:rPr>
  </w:style>
  <w:style w:type="paragraph" w:styleId="Heading6">
    <w:name w:val="heading 6"/>
    <w:basedOn w:val="HeadingBase"/>
    <w:next w:val="Normal"/>
    <w:link w:val="Heading6Char"/>
    <w:qFormat/>
    <w:rsid w:val="00AF7B6C"/>
    <w:pPr>
      <w:spacing w:before="60"/>
      <w:outlineLvl w:val="5"/>
    </w:pPr>
    <w:rPr>
      <w:color w:val="918585"/>
      <w:sz w:val="20"/>
    </w:rPr>
  </w:style>
  <w:style w:type="paragraph" w:styleId="Heading7">
    <w:name w:val="heading 7"/>
    <w:basedOn w:val="Normal"/>
    <w:next w:val="Normal"/>
    <w:link w:val="Heading7Char"/>
    <w:qFormat/>
    <w:rsid w:val="00AF7B6C"/>
    <w:pPr>
      <w:ind w:left="720"/>
      <w:outlineLvl w:val="6"/>
    </w:pPr>
    <w:rPr>
      <w:i/>
    </w:rPr>
  </w:style>
  <w:style w:type="paragraph" w:styleId="Heading8">
    <w:name w:val="heading 8"/>
    <w:basedOn w:val="Normal"/>
    <w:next w:val="Normal"/>
    <w:link w:val="Heading8Char"/>
    <w:qFormat/>
    <w:rsid w:val="00AF7B6C"/>
    <w:pPr>
      <w:ind w:left="720"/>
      <w:outlineLvl w:val="7"/>
    </w:pPr>
    <w:rPr>
      <w:i/>
    </w:rPr>
  </w:style>
  <w:style w:type="paragraph" w:styleId="Heading9">
    <w:name w:val="heading 9"/>
    <w:basedOn w:val="Normal"/>
    <w:next w:val="Normal"/>
    <w:link w:val="Heading9Char"/>
    <w:qFormat/>
    <w:rsid w:val="00AF7B6C"/>
    <w:pPr>
      <w:ind w:left="720"/>
      <w:outlineLvl w:val="8"/>
    </w:pPr>
    <w:rPr>
      <w:i/>
    </w:rPr>
  </w:style>
  <w:style w:type="character" w:default="1" w:styleId="DefaultParagraphFont">
    <w:name w:val="Default Paragraph Font"/>
    <w:uiPriority w:val="1"/>
    <w:unhideWhenUsed/>
    <w:rsid w:val="00AF7B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7B6C"/>
  </w:style>
  <w:style w:type="character" w:customStyle="1" w:styleId="Heading1Char">
    <w:name w:val="Heading 1 Char"/>
    <w:basedOn w:val="DefaultParagraphFont"/>
    <w:link w:val="Heading1"/>
    <w:rsid w:val="00AF7B6C"/>
    <w:rPr>
      <w:rFonts w:ascii="Times New Roman" w:eastAsia="Times New Roman" w:hAnsi="Times New Roman" w:cs="Times New Roman"/>
      <w:b/>
      <w:sz w:val="32"/>
      <w:szCs w:val="20"/>
      <w:lang w:eastAsia="en-US"/>
    </w:rPr>
  </w:style>
  <w:style w:type="paragraph" w:styleId="BodyText">
    <w:name w:val="Body Text"/>
    <w:basedOn w:val="Normal"/>
    <w:link w:val="BodyTextChar"/>
    <w:rsid w:val="00AF7B6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7B6C"/>
    <w:rPr>
      <w:rFonts w:ascii="Times New Roman" w:eastAsia="Times New Roman" w:hAnsi="Times New Roman" w:cs="Times New Roman"/>
      <w:sz w:val="24"/>
      <w:lang w:eastAsia="en-US"/>
    </w:rPr>
  </w:style>
  <w:style w:type="paragraph" w:styleId="ListBullet">
    <w:name w:val="List Bullet"/>
    <w:basedOn w:val="List"/>
    <w:rsid w:val="00AF7B6C"/>
    <w:pPr>
      <w:numPr>
        <w:numId w:val="11"/>
      </w:numPr>
      <w:tabs>
        <w:tab w:val="clear" w:pos="340"/>
      </w:tabs>
      <w:spacing w:before="40" w:after="40"/>
    </w:pPr>
  </w:style>
  <w:style w:type="character" w:customStyle="1" w:styleId="SpecialBold">
    <w:name w:val="Special Bold"/>
    <w:basedOn w:val="DefaultParagraphFont"/>
    <w:rsid w:val="00AF7B6C"/>
    <w:rPr>
      <w:b/>
      <w:spacing w:val="0"/>
    </w:rPr>
  </w:style>
  <w:style w:type="paragraph" w:customStyle="1" w:styleId="SuperHeading">
    <w:name w:val="SuperHeading"/>
    <w:basedOn w:val="Normal"/>
    <w:rsid w:val="00AF7B6C"/>
    <w:pPr>
      <w:spacing w:before="240" w:after="120"/>
      <w:outlineLvl w:val="0"/>
    </w:pPr>
    <w:rPr>
      <w:rFonts w:ascii="Times New Roman" w:hAnsi="Times New Roman"/>
      <w:b/>
      <w:sz w:val="32"/>
    </w:rPr>
  </w:style>
  <w:style w:type="paragraph" w:customStyle="1" w:styleId="AllowPageBreak">
    <w:name w:val="AllowPageBreak"/>
    <w:rsid w:val="00AF7B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F7B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7B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7B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7B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7B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7B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7B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7B6C"/>
    <w:rPr>
      <w:rFonts w:ascii="Courier New" w:eastAsia="Times New Roman" w:hAnsi="Courier New" w:cs="Times New Roman"/>
      <w:i/>
      <w:szCs w:val="20"/>
      <w:lang w:eastAsia="en-US"/>
    </w:rPr>
  </w:style>
  <w:style w:type="paragraph" w:customStyle="1" w:styleId="HeadingBase">
    <w:name w:val="Heading Base"/>
    <w:rsid w:val="00AF7B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7B6C"/>
    <w:pPr>
      <w:tabs>
        <w:tab w:val="right" w:leader="dot" w:pos="9072"/>
      </w:tabs>
      <w:ind w:left="567"/>
    </w:pPr>
    <w:rPr>
      <w:szCs w:val="22"/>
    </w:rPr>
  </w:style>
  <w:style w:type="paragraph" w:customStyle="1" w:styleId="TOCBase">
    <w:name w:val="TOC Base"/>
    <w:rsid w:val="00AF7B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7B6C"/>
    <w:pPr>
      <w:tabs>
        <w:tab w:val="right" w:leader="dot" w:pos="9072"/>
      </w:tabs>
      <w:spacing w:before="40" w:after="40"/>
      <w:ind w:left="284"/>
    </w:pPr>
    <w:rPr>
      <w:rFonts w:ascii="Times New Roman" w:hAnsi="Times New Roman"/>
    </w:rPr>
  </w:style>
  <w:style w:type="paragraph" w:styleId="TOC1">
    <w:name w:val="toc 1"/>
    <w:basedOn w:val="TOCBase"/>
    <w:next w:val="Normal"/>
    <w:rsid w:val="00AF7B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7B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7B6C"/>
    <w:rPr>
      <w:rFonts w:ascii="Times New Roman" w:eastAsia="Times New Roman" w:hAnsi="Times New Roman" w:cs="Times New Roman"/>
      <w:sz w:val="16"/>
      <w:lang w:eastAsia="en-US"/>
    </w:rPr>
  </w:style>
  <w:style w:type="paragraph" w:styleId="Title">
    <w:name w:val="Title"/>
    <w:basedOn w:val="HeadingBase"/>
    <w:link w:val="TitleChar"/>
    <w:qFormat/>
    <w:rsid w:val="00AF7B6C"/>
    <w:pPr>
      <w:spacing w:before="5040"/>
      <w:jc w:val="center"/>
    </w:pPr>
    <w:rPr>
      <w:sz w:val="48"/>
      <w:szCs w:val="72"/>
      <w:lang w:val="en-US"/>
    </w:rPr>
  </w:style>
  <w:style w:type="character" w:customStyle="1" w:styleId="TitleChar">
    <w:name w:val="Title Char"/>
    <w:basedOn w:val="DefaultParagraphFont"/>
    <w:link w:val="Title"/>
    <w:rsid w:val="00AF7B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7B6C"/>
    <w:pPr>
      <w:tabs>
        <w:tab w:val="left" w:pos="3600"/>
        <w:tab w:val="left" w:pos="3958"/>
      </w:tabs>
    </w:pPr>
  </w:style>
  <w:style w:type="paragraph" w:styleId="List">
    <w:name w:val="List"/>
    <w:basedOn w:val="BodyText"/>
    <w:next w:val="BodyText"/>
    <w:rsid w:val="00AF7B6C"/>
    <w:pPr>
      <w:tabs>
        <w:tab w:val="left" w:pos="340"/>
      </w:tabs>
      <w:spacing w:before="60" w:after="60"/>
      <w:ind w:left="340" w:hanging="340"/>
    </w:pPr>
  </w:style>
  <w:style w:type="paragraph" w:customStyle="1" w:styleId="Note">
    <w:name w:val="Note"/>
    <w:basedOn w:val="BodyText"/>
    <w:rsid w:val="00AF7B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7B6C"/>
    <w:pPr>
      <w:framePr w:wrap="auto" w:hAnchor="text" w:y="6049"/>
    </w:pPr>
    <w:rPr>
      <w:color w:val="000000"/>
      <w:sz w:val="40"/>
    </w:rPr>
  </w:style>
  <w:style w:type="paragraph" w:customStyle="1" w:styleId="TOCTitle">
    <w:name w:val="TOCTitle"/>
    <w:basedOn w:val="Heading1"/>
    <w:rsid w:val="00AF7B6C"/>
    <w:pPr>
      <w:spacing w:after="240"/>
      <w:jc w:val="center"/>
      <w:outlineLvl w:val="9"/>
    </w:pPr>
    <w:rPr>
      <w:caps/>
    </w:rPr>
  </w:style>
  <w:style w:type="paragraph" w:customStyle="1" w:styleId="Version">
    <w:name w:val="Version"/>
    <w:rsid w:val="00AF7B6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F7B6C"/>
    <w:pPr>
      <w:numPr>
        <w:numId w:val="12"/>
      </w:numPr>
      <w:tabs>
        <w:tab w:val="clear" w:pos="680"/>
      </w:tabs>
    </w:pPr>
  </w:style>
  <w:style w:type="paragraph" w:styleId="Index1">
    <w:name w:val="index 1"/>
    <w:basedOn w:val="Normal"/>
    <w:next w:val="Normal"/>
    <w:semiHidden/>
    <w:rsid w:val="00AF7B6C"/>
    <w:pPr>
      <w:keepNext w:val="0"/>
      <w:tabs>
        <w:tab w:val="right" w:pos="4176"/>
      </w:tabs>
      <w:ind w:left="198" w:hanging="198"/>
    </w:pPr>
    <w:rPr>
      <w:rFonts w:ascii="Garamond" w:hAnsi="Garamond"/>
    </w:rPr>
  </w:style>
  <w:style w:type="paragraph" w:styleId="IndexHeading">
    <w:name w:val="index heading"/>
    <w:basedOn w:val="Normal"/>
    <w:next w:val="Index1"/>
    <w:semiHidden/>
    <w:rsid w:val="00AF7B6C"/>
    <w:pPr>
      <w:spacing w:before="120" w:after="120"/>
    </w:pPr>
    <w:rPr>
      <w:rFonts w:ascii="Arial" w:hAnsi="Arial"/>
      <w:b/>
      <w:color w:val="918585"/>
      <w:sz w:val="24"/>
    </w:rPr>
  </w:style>
  <w:style w:type="paragraph" w:styleId="Header">
    <w:name w:val="header"/>
    <w:basedOn w:val="Normal"/>
    <w:link w:val="HeaderChar"/>
    <w:rsid w:val="00AF7B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7B6C"/>
    <w:rPr>
      <w:rFonts w:ascii="Times New Roman" w:eastAsia="Times New Roman" w:hAnsi="Times New Roman" w:cs="Times New Roman"/>
      <w:sz w:val="16"/>
      <w:szCs w:val="20"/>
      <w:lang w:val="en-GB" w:eastAsia="en-US"/>
    </w:rPr>
  </w:style>
  <w:style w:type="paragraph" w:customStyle="1" w:styleId="Chapter">
    <w:name w:val="Chapter"/>
    <w:basedOn w:val="Normal"/>
    <w:rsid w:val="00AF7B6C"/>
    <w:pPr>
      <w:spacing w:before="240"/>
    </w:pPr>
    <w:rPr>
      <w:rFonts w:ascii="Times New Roman" w:hAnsi="Times New Roman"/>
      <w:smallCaps/>
      <w:spacing w:val="80"/>
      <w:sz w:val="28"/>
    </w:rPr>
  </w:style>
  <w:style w:type="paragraph" w:customStyle="1" w:styleId="InChapter">
    <w:name w:val="InChapter"/>
    <w:basedOn w:val="Heading3"/>
    <w:rsid w:val="00AF7B6C"/>
    <w:pPr>
      <w:spacing w:after="240"/>
      <w:outlineLvl w:val="9"/>
    </w:pPr>
    <w:rPr>
      <w:noProof/>
    </w:rPr>
  </w:style>
  <w:style w:type="paragraph" w:styleId="Index2">
    <w:name w:val="index 2"/>
    <w:basedOn w:val="Normal"/>
    <w:next w:val="Normal"/>
    <w:semiHidden/>
    <w:rsid w:val="00AF7B6C"/>
    <w:pPr>
      <w:tabs>
        <w:tab w:val="right" w:pos="4176"/>
      </w:tabs>
      <w:ind w:left="568" w:hanging="284"/>
    </w:pPr>
    <w:rPr>
      <w:rFonts w:ascii="Garamond" w:hAnsi="Garamond"/>
    </w:rPr>
  </w:style>
  <w:style w:type="paragraph" w:customStyle="1" w:styleId="Byline">
    <w:name w:val="Byline"/>
    <w:rsid w:val="00AF7B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7B6C"/>
    <w:pPr>
      <w:tabs>
        <w:tab w:val="clear" w:pos="3600"/>
        <w:tab w:val="clear" w:pos="3958"/>
      </w:tabs>
      <w:jc w:val="right"/>
    </w:pPr>
  </w:style>
  <w:style w:type="character" w:styleId="Emphasis">
    <w:name w:val="Emphasis"/>
    <w:basedOn w:val="DefaultParagraphFont"/>
    <w:qFormat/>
    <w:rsid w:val="00AF7B6C"/>
    <w:rPr>
      <w:i/>
    </w:rPr>
  </w:style>
  <w:style w:type="paragraph" w:styleId="Caption">
    <w:name w:val="caption"/>
    <w:basedOn w:val="BodyText"/>
    <w:next w:val="Normal"/>
    <w:qFormat/>
    <w:rsid w:val="00AF7B6C"/>
    <w:pPr>
      <w:framePr w:w="2268" w:hSpace="181" w:vSpace="181" w:wrap="around" w:vAnchor="text" w:hAnchor="page" w:x="1135" w:y="285" w:anchorLock="1"/>
    </w:pPr>
    <w:rPr>
      <w:i/>
    </w:rPr>
  </w:style>
  <w:style w:type="paragraph" w:customStyle="1" w:styleId="MiniTOCTitle">
    <w:name w:val="MiniTOCTitle"/>
    <w:basedOn w:val="Heading4"/>
    <w:rsid w:val="00AF7B6C"/>
    <w:pPr>
      <w:spacing w:before="240"/>
      <w:outlineLvl w:val="9"/>
    </w:pPr>
    <w:rPr>
      <w:noProof/>
      <w:sz w:val="24"/>
    </w:rPr>
  </w:style>
  <w:style w:type="paragraph" w:customStyle="1" w:styleId="MiniTOCItem">
    <w:name w:val="MiniTOCItem"/>
    <w:basedOn w:val="ListBullet"/>
    <w:rsid w:val="00AF7B6C"/>
    <w:pPr>
      <w:numPr>
        <w:numId w:val="0"/>
      </w:numPr>
      <w:tabs>
        <w:tab w:val="right" w:leader="dot" w:pos="6521"/>
      </w:tabs>
      <w:spacing w:before="0" w:after="0"/>
    </w:pPr>
  </w:style>
  <w:style w:type="paragraph" w:customStyle="1" w:styleId="TOFTitle">
    <w:name w:val="TOFTitle"/>
    <w:basedOn w:val="TOCTitle"/>
    <w:rsid w:val="00AF7B6C"/>
  </w:style>
  <w:style w:type="paragraph" w:styleId="TableofFigures">
    <w:name w:val="table of figures"/>
    <w:basedOn w:val="Normal"/>
    <w:next w:val="Normal"/>
    <w:semiHidden/>
    <w:rsid w:val="00AF7B6C"/>
    <w:pPr>
      <w:tabs>
        <w:tab w:val="right" w:leader="dot" w:pos="9072"/>
      </w:tabs>
      <w:ind w:left="970" w:hanging="403"/>
    </w:pPr>
    <w:rPr>
      <w:rFonts w:ascii="Times New Roman" w:hAnsi="Times New Roman"/>
      <w:b/>
    </w:rPr>
  </w:style>
  <w:style w:type="paragraph" w:styleId="ListNumber">
    <w:name w:val="List Number"/>
    <w:basedOn w:val="List"/>
    <w:rsid w:val="00AF7B6C"/>
    <w:pPr>
      <w:numPr>
        <w:numId w:val="14"/>
      </w:numPr>
      <w:tabs>
        <w:tab w:val="clear" w:pos="340"/>
      </w:tabs>
    </w:pPr>
  </w:style>
  <w:style w:type="character" w:customStyle="1" w:styleId="WingdingSymbols">
    <w:name w:val="Wingding Symbols"/>
    <w:rsid w:val="00AF7B6C"/>
    <w:rPr>
      <w:rFonts w:ascii="Wingdings" w:hAnsi="Wingdings"/>
    </w:rPr>
  </w:style>
  <w:style w:type="paragraph" w:customStyle="1" w:styleId="TableHeading">
    <w:name w:val="Table Heading"/>
    <w:basedOn w:val="HeadingBase"/>
    <w:rsid w:val="00AF7B6C"/>
    <w:pPr>
      <w:keepLines/>
      <w:pBdr>
        <w:bottom w:val="single" w:sz="6" w:space="1" w:color="918585"/>
      </w:pBdr>
      <w:spacing w:before="240"/>
    </w:pPr>
  </w:style>
  <w:style w:type="character" w:customStyle="1" w:styleId="HotSpot">
    <w:name w:val="HotSpot"/>
    <w:rsid w:val="00AF7B6C"/>
    <w:rPr>
      <w:color w:val="0033CC"/>
      <w:u w:val="none"/>
    </w:rPr>
  </w:style>
  <w:style w:type="paragraph" w:customStyle="1" w:styleId="BodyTextRight">
    <w:name w:val="Body Text Right"/>
    <w:basedOn w:val="BodyText"/>
    <w:rsid w:val="00AF7B6C"/>
    <w:pPr>
      <w:spacing w:before="0" w:after="0"/>
      <w:jc w:val="right"/>
    </w:pPr>
  </w:style>
  <w:style w:type="paragraph" w:styleId="Index3">
    <w:name w:val="index 3"/>
    <w:basedOn w:val="ListNumber2"/>
    <w:next w:val="Normal"/>
    <w:semiHidden/>
    <w:rsid w:val="00AF7B6C"/>
    <w:pPr>
      <w:numPr>
        <w:numId w:val="0"/>
      </w:numPr>
      <w:tabs>
        <w:tab w:val="right" w:leader="dot" w:pos="4176"/>
      </w:tabs>
    </w:pPr>
  </w:style>
  <w:style w:type="paragraph" w:styleId="ListNumber2">
    <w:name w:val="List Number 2"/>
    <w:basedOn w:val="List2"/>
    <w:rsid w:val="00AF7B6C"/>
    <w:pPr>
      <w:numPr>
        <w:numId w:val="9"/>
      </w:numPr>
      <w:tabs>
        <w:tab w:val="clear" w:pos="1060"/>
      </w:tabs>
    </w:pPr>
  </w:style>
  <w:style w:type="paragraph" w:customStyle="1" w:styleId="MarginNote">
    <w:name w:val="Margin Note"/>
    <w:basedOn w:val="BodyText"/>
    <w:rsid w:val="00AF7B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7B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7B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7B6C"/>
    <w:rPr>
      <w:sz w:val="32"/>
    </w:rPr>
  </w:style>
  <w:style w:type="paragraph" w:customStyle="1" w:styleId="HeadingProcedure">
    <w:name w:val="Heading Procedure"/>
    <w:basedOn w:val="HeadingBase"/>
    <w:next w:val="Normal"/>
    <w:rsid w:val="00AF7B6C"/>
    <w:pPr>
      <w:tabs>
        <w:tab w:val="left" w:pos="0"/>
      </w:tabs>
      <w:spacing w:before="120" w:after="60"/>
    </w:pPr>
    <w:rPr>
      <w:i/>
      <w:color w:val="918585"/>
      <w:sz w:val="22"/>
    </w:rPr>
  </w:style>
  <w:style w:type="paragraph" w:customStyle="1" w:styleId="TableBodyText">
    <w:name w:val="Table Body Text"/>
    <w:basedOn w:val="BodyText"/>
    <w:rsid w:val="00AF7B6C"/>
    <w:pPr>
      <w:spacing w:before="60" w:after="60"/>
    </w:pPr>
  </w:style>
  <w:style w:type="paragraph" w:styleId="ListContinue">
    <w:name w:val="List Continue"/>
    <w:basedOn w:val="List"/>
    <w:rsid w:val="00AF7B6C"/>
    <w:pPr>
      <w:ind w:firstLine="0"/>
    </w:pPr>
  </w:style>
  <w:style w:type="paragraph" w:customStyle="1" w:styleId="ListNote">
    <w:name w:val="List Note"/>
    <w:basedOn w:val="List"/>
    <w:rsid w:val="00AF7B6C"/>
    <w:pPr>
      <w:pBdr>
        <w:top w:val="single" w:sz="6" w:space="2" w:color="918585"/>
        <w:bottom w:val="single" w:sz="6" w:space="2" w:color="918585"/>
      </w:pBdr>
      <w:tabs>
        <w:tab w:val="left" w:pos="1021"/>
      </w:tabs>
      <w:ind w:firstLine="0"/>
    </w:pPr>
  </w:style>
  <w:style w:type="paragraph" w:customStyle="1" w:styleId="Warning">
    <w:name w:val="Warning"/>
    <w:basedOn w:val="BodyText"/>
    <w:rsid w:val="00AF7B6C"/>
    <w:pPr>
      <w:shd w:val="clear" w:color="auto" w:fill="D9D9D9"/>
      <w:tabs>
        <w:tab w:val="left" w:pos="992"/>
      </w:tabs>
      <w:ind w:left="119" w:right="119"/>
    </w:pPr>
    <w:rPr>
      <w:sz w:val="20"/>
    </w:rPr>
  </w:style>
  <w:style w:type="paragraph" w:customStyle="1" w:styleId="MarginIcons">
    <w:name w:val="Margin Icons"/>
    <w:basedOn w:val="BodyText"/>
    <w:rsid w:val="00AF7B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7B6C"/>
    <w:rPr>
      <w:rFonts w:ascii="Courier New" w:hAnsi="Courier New"/>
    </w:rPr>
  </w:style>
  <w:style w:type="paragraph" w:customStyle="1" w:styleId="NoteBullet">
    <w:name w:val="Note Bullet"/>
    <w:basedOn w:val="Note"/>
    <w:rsid w:val="00AF7B6C"/>
    <w:pPr>
      <w:tabs>
        <w:tab w:val="clear" w:pos="680"/>
      </w:tabs>
      <w:spacing w:before="60" w:after="60"/>
    </w:pPr>
  </w:style>
  <w:style w:type="paragraph" w:customStyle="1" w:styleId="SubHeading2">
    <w:name w:val="SubHeading2"/>
    <w:basedOn w:val="HeadingBase"/>
    <w:rsid w:val="00AF7B6C"/>
    <w:pPr>
      <w:spacing w:before="240" w:after="60"/>
    </w:pPr>
    <w:rPr>
      <w:sz w:val="20"/>
    </w:rPr>
  </w:style>
  <w:style w:type="paragraph" w:customStyle="1" w:styleId="SubHeading1">
    <w:name w:val="SubHeading1"/>
    <w:basedOn w:val="HeadingBase"/>
    <w:rsid w:val="00AF7B6C"/>
    <w:pPr>
      <w:spacing w:before="240" w:after="60"/>
    </w:pPr>
    <w:rPr>
      <w:color w:val="918585"/>
      <w:sz w:val="22"/>
    </w:rPr>
  </w:style>
  <w:style w:type="paragraph" w:customStyle="1" w:styleId="SideHeading">
    <w:name w:val="Side Heading"/>
    <w:basedOn w:val="HeadingBase"/>
    <w:rsid w:val="00AF7B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7B6C"/>
    <w:pPr>
      <w:numPr>
        <w:numId w:val="10"/>
      </w:numPr>
    </w:pPr>
  </w:style>
  <w:style w:type="paragraph" w:styleId="PlainText">
    <w:name w:val="Plain Text"/>
    <w:basedOn w:val="Normal"/>
    <w:link w:val="PlainTextChar"/>
    <w:rsid w:val="00AF7B6C"/>
    <w:rPr>
      <w:sz w:val="20"/>
    </w:rPr>
  </w:style>
  <w:style w:type="character" w:customStyle="1" w:styleId="PlainTextChar">
    <w:name w:val="Plain Text Char"/>
    <w:basedOn w:val="DefaultParagraphFont"/>
    <w:link w:val="PlainText"/>
    <w:rsid w:val="00AF7B6C"/>
    <w:rPr>
      <w:rFonts w:ascii="Courier New" w:eastAsia="Times New Roman" w:hAnsi="Courier New" w:cs="Times New Roman"/>
      <w:sz w:val="20"/>
      <w:szCs w:val="20"/>
      <w:lang w:eastAsia="en-US"/>
    </w:rPr>
  </w:style>
  <w:style w:type="character" w:customStyle="1" w:styleId="MenuOption">
    <w:name w:val="Menu Option"/>
    <w:basedOn w:val="DefaultParagraphFont"/>
    <w:rsid w:val="00AF7B6C"/>
    <w:rPr>
      <w:b/>
      <w:smallCaps/>
    </w:rPr>
  </w:style>
  <w:style w:type="paragraph" w:customStyle="1" w:styleId="TableListNumber">
    <w:name w:val="Table List Number"/>
    <w:basedOn w:val="ListNumber"/>
    <w:rsid w:val="00AF7B6C"/>
    <w:pPr>
      <w:numPr>
        <w:numId w:val="0"/>
      </w:numPr>
    </w:pPr>
  </w:style>
  <w:style w:type="paragraph" w:styleId="TOC4">
    <w:name w:val="toc 4"/>
    <w:basedOn w:val="TOCBase"/>
    <w:next w:val="Normal"/>
    <w:semiHidden/>
    <w:rsid w:val="00AF7B6C"/>
    <w:pPr>
      <w:tabs>
        <w:tab w:val="right" w:leader="dot" w:pos="9071"/>
      </w:tabs>
      <w:ind w:left="1701"/>
    </w:pPr>
  </w:style>
  <w:style w:type="paragraph" w:customStyle="1" w:styleId="ListAlpha">
    <w:name w:val="List Alpha"/>
    <w:basedOn w:val="List"/>
    <w:rsid w:val="00AF7B6C"/>
    <w:pPr>
      <w:numPr>
        <w:numId w:val="8"/>
      </w:numPr>
    </w:pPr>
  </w:style>
  <w:style w:type="paragraph" w:customStyle="1" w:styleId="ListAlpha2">
    <w:name w:val="List Alpha 2"/>
    <w:basedOn w:val="List2"/>
    <w:rsid w:val="00AF7B6C"/>
    <w:pPr>
      <w:numPr>
        <w:numId w:val="7"/>
      </w:numPr>
    </w:pPr>
  </w:style>
  <w:style w:type="paragraph" w:styleId="List2">
    <w:name w:val="List 2"/>
    <w:basedOn w:val="BodyText"/>
    <w:rsid w:val="00AF7B6C"/>
    <w:pPr>
      <w:tabs>
        <w:tab w:val="left" w:pos="680"/>
      </w:tabs>
      <w:spacing w:before="60" w:after="60"/>
      <w:ind w:left="680" w:hanging="340"/>
    </w:pPr>
  </w:style>
  <w:style w:type="paragraph" w:styleId="List3">
    <w:name w:val="List 3"/>
    <w:basedOn w:val="BodyText"/>
    <w:rsid w:val="00AF7B6C"/>
    <w:pPr>
      <w:tabs>
        <w:tab w:val="left" w:pos="1021"/>
      </w:tabs>
      <w:spacing w:before="60" w:after="60"/>
      <w:ind w:left="1020" w:hanging="340"/>
    </w:pPr>
  </w:style>
  <w:style w:type="paragraph" w:styleId="List4">
    <w:name w:val="List 4"/>
    <w:basedOn w:val="BodyText"/>
    <w:rsid w:val="00AF7B6C"/>
    <w:pPr>
      <w:tabs>
        <w:tab w:val="left" w:pos="1361"/>
      </w:tabs>
      <w:spacing w:before="60" w:after="60"/>
      <w:ind w:left="1361" w:hanging="340"/>
    </w:pPr>
  </w:style>
  <w:style w:type="paragraph" w:styleId="List5">
    <w:name w:val="List 5"/>
    <w:basedOn w:val="BodyText"/>
    <w:rsid w:val="00AF7B6C"/>
    <w:pPr>
      <w:tabs>
        <w:tab w:val="left" w:pos="1701"/>
      </w:tabs>
      <w:spacing w:before="60" w:after="60"/>
      <w:ind w:left="1701" w:hanging="340"/>
    </w:pPr>
  </w:style>
  <w:style w:type="paragraph" w:styleId="ListBullet3">
    <w:name w:val="List Bullet 3"/>
    <w:basedOn w:val="List3"/>
    <w:rsid w:val="00AF7B6C"/>
    <w:pPr>
      <w:numPr>
        <w:numId w:val="13"/>
      </w:numPr>
      <w:tabs>
        <w:tab w:val="clear" w:pos="1021"/>
      </w:tabs>
      <w:ind w:left="1037" w:hanging="357"/>
    </w:pPr>
  </w:style>
  <w:style w:type="paragraph" w:styleId="ListBullet4">
    <w:name w:val="List Bullet 4"/>
    <w:basedOn w:val="List4"/>
    <w:rsid w:val="00AF7B6C"/>
    <w:pPr>
      <w:numPr>
        <w:numId w:val="2"/>
      </w:numPr>
      <w:tabs>
        <w:tab w:val="clear" w:pos="1361"/>
      </w:tabs>
    </w:pPr>
  </w:style>
  <w:style w:type="paragraph" w:styleId="ListBullet5">
    <w:name w:val="List Bullet 5"/>
    <w:basedOn w:val="List5"/>
    <w:rsid w:val="00AF7B6C"/>
    <w:pPr>
      <w:numPr>
        <w:numId w:val="3"/>
      </w:numPr>
    </w:pPr>
  </w:style>
  <w:style w:type="paragraph" w:styleId="ListContinue2">
    <w:name w:val="List Continue 2"/>
    <w:basedOn w:val="List2"/>
    <w:rsid w:val="00AF7B6C"/>
    <w:pPr>
      <w:ind w:firstLine="0"/>
    </w:pPr>
  </w:style>
  <w:style w:type="paragraph" w:styleId="ListContinue3">
    <w:name w:val="List Continue 3"/>
    <w:basedOn w:val="List3"/>
    <w:rsid w:val="00AF7B6C"/>
    <w:pPr>
      <w:ind w:left="1021" w:firstLine="0"/>
    </w:pPr>
  </w:style>
  <w:style w:type="paragraph" w:styleId="ListContinue4">
    <w:name w:val="List Continue 4"/>
    <w:basedOn w:val="List4"/>
    <w:rsid w:val="00AF7B6C"/>
    <w:pPr>
      <w:ind w:firstLine="0"/>
    </w:pPr>
  </w:style>
  <w:style w:type="paragraph" w:styleId="ListContinue5">
    <w:name w:val="List Continue 5"/>
    <w:basedOn w:val="List5"/>
    <w:rsid w:val="00AF7B6C"/>
    <w:pPr>
      <w:ind w:firstLine="0"/>
    </w:pPr>
  </w:style>
  <w:style w:type="paragraph" w:styleId="ListNumber3">
    <w:name w:val="List Number 3"/>
    <w:basedOn w:val="List3"/>
    <w:rsid w:val="00AF7B6C"/>
    <w:pPr>
      <w:numPr>
        <w:numId w:val="4"/>
      </w:numPr>
    </w:pPr>
  </w:style>
  <w:style w:type="paragraph" w:styleId="ListNumber4">
    <w:name w:val="List Number 4"/>
    <w:basedOn w:val="List4"/>
    <w:rsid w:val="00AF7B6C"/>
    <w:pPr>
      <w:numPr>
        <w:numId w:val="5"/>
      </w:numPr>
    </w:pPr>
  </w:style>
  <w:style w:type="paragraph" w:styleId="ListNumber5">
    <w:name w:val="List Number 5"/>
    <w:basedOn w:val="List5"/>
    <w:rsid w:val="00AF7B6C"/>
    <w:pPr>
      <w:numPr>
        <w:numId w:val="6"/>
      </w:numPr>
    </w:pPr>
  </w:style>
  <w:style w:type="paragraph" w:styleId="BlockText">
    <w:name w:val="Block Text"/>
    <w:basedOn w:val="Normal"/>
    <w:rsid w:val="00AF7B6C"/>
    <w:pPr>
      <w:spacing w:after="120"/>
      <w:ind w:left="1440" w:right="1440"/>
    </w:pPr>
  </w:style>
  <w:style w:type="character" w:customStyle="1" w:styleId="Subscript">
    <w:name w:val="Subscript"/>
    <w:basedOn w:val="DefaultParagraphFont"/>
    <w:rsid w:val="00AF7B6C"/>
    <w:rPr>
      <w:sz w:val="16"/>
      <w:vertAlign w:val="subscript"/>
    </w:rPr>
  </w:style>
  <w:style w:type="character" w:customStyle="1" w:styleId="Superscript">
    <w:name w:val="Superscript"/>
    <w:basedOn w:val="DefaultParagraphFont"/>
    <w:rsid w:val="00AF7B6C"/>
    <w:rPr>
      <w:sz w:val="16"/>
      <w:vertAlign w:val="superscript"/>
    </w:rPr>
  </w:style>
  <w:style w:type="character" w:customStyle="1" w:styleId="Symbols">
    <w:name w:val="Symbols"/>
    <w:basedOn w:val="DefaultParagraphFont"/>
    <w:rsid w:val="00AF7B6C"/>
    <w:rPr>
      <w:rFonts w:ascii="Symbol" w:hAnsi="Symbol"/>
    </w:rPr>
  </w:style>
  <w:style w:type="character" w:customStyle="1" w:styleId="MenuOptions">
    <w:name w:val="Menu Options"/>
    <w:basedOn w:val="DefaultParagraphFont"/>
    <w:rsid w:val="00AF7B6C"/>
    <w:rPr>
      <w:rFonts w:ascii="Arial Narrow" w:hAnsi="Arial Narrow"/>
      <w:smallCaps/>
    </w:rPr>
  </w:style>
  <w:style w:type="character" w:customStyle="1" w:styleId="Buttons">
    <w:name w:val="Buttons"/>
    <w:basedOn w:val="DefaultParagraphFont"/>
    <w:rsid w:val="00AF7B6C"/>
    <w:rPr>
      <w:b/>
    </w:rPr>
  </w:style>
  <w:style w:type="character" w:customStyle="1" w:styleId="Underlined">
    <w:name w:val="Underlined"/>
    <w:basedOn w:val="DefaultParagraphFont"/>
    <w:rsid w:val="00AF7B6C"/>
    <w:rPr>
      <w:u w:val="single"/>
    </w:rPr>
  </w:style>
  <w:style w:type="paragraph" w:customStyle="1" w:styleId="TableBodyTextRight">
    <w:name w:val="Table Body Text Right"/>
    <w:basedOn w:val="TableBodyText"/>
    <w:rsid w:val="00AF7B6C"/>
    <w:pPr>
      <w:widowControl w:val="0"/>
      <w:autoSpaceDE w:val="0"/>
      <w:autoSpaceDN w:val="0"/>
      <w:adjustRightInd w:val="0"/>
      <w:jc w:val="right"/>
    </w:pPr>
    <w:rPr>
      <w:rFonts w:cs="Arial"/>
      <w:szCs w:val="18"/>
    </w:rPr>
  </w:style>
  <w:style w:type="paragraph" w:customStyle="1" w:styleId="CopyrightText">
    <w:name w:val="Copyright Text"/>
    <w:basedOn w:val="BodyText"/>
    <w:rsid w:val="00AF7B6C"/>
    <w:rPr>
      <w:sz w:val="18"/>
    </w:rPr>
  </w:style>
  <w:style w:type="paragraph" w:customStyle="1" w:styleId="BodySmallRight">
    <w:name w:val="Body Small Right"/>
    <w:basedOn w:val="BodyTextRight"/>
    <w:rsid w:val="00AF7B6C"/>
    <w:rPr>
      <w:sz w:val="18"/>
      <w:szCs w:val="18"/>
    </w:rPr>
  </w:style>
  <w:style w:type="paragraph" w:customStyle="1" w:styleId="MarginEdition">
    <w:name w:val="Margin Edition"/>
    <w:basedOn w:val="MarginNote"/>
    <w:rsid w:val="00AF7B6C"/>
    <w:pPr>
      <w:spacing w:before="0" w:after="0"/>
    </w:pPr>
    <w:rPr>
      <w:rFonts w:ascii="Times New Roman" w:hAnsi="Times New Roman"/>
      <w:color w:val="999999"/>
    </w:rPr>
  </w:style>
  <w:style w:type="paragraph" w:customStyle="1" w:styleId="Spacer">
    <w:name w:val="Spacer"/>
    <w:basedOn w:val="Normal"/>
    <w:rsid w:val="00AF7B6C"/>
    <w:rPr>
      <w:sz w:val="2"/>
      <w:szCs w:val="2"/>
    </w:rPr>
  </w:style>
  <w:style w:type="character" w:customStyle="1" w:styleId="Small">
    <w:name w:val="Small"/>
    <w:basedOn w:val="DefaultParagraphFont"/>
    <w:rsid w:val="00AF7B6C"/>
    <w:rPr>
      <w:sz w:val="16"/>
    </w:rPr>
  </w:style>
  <w:style w:type="paragraph" w:customStyle="1" w:styleId="WideTable">
    <w:name w:val="Wide Table"/>
    <w:basedOn w:val="Normal"/>
    <w:rsid w:val="00AF7B6C"/>
    <w:pPr>
      <w:ind w:left="-1418"/>
    </w:pPr>
    <w:rPr>
      <w:sz w:val="2"/>
      <w:szCs w:val="2"/>
    </w:rPr>
  </w:style>
  <w:style w:type="character" w:styleId="PageNumber">
    <w:name w:val="page number"/>
    <w:basedOn w:val="DefaultParagraphFont"/>
    <w:rsid w:val="00AF7B6C"/>
  </w:style>
  <w:style w:type="paragraph" w:styleId="Quote">
    <w:name w:val="Quote"/>
    <w:basedOn w:val="Heading1"/>
    <w:link w:val="QuoteChar"/>
    <w:qFormat/>
    <w:rsid w:val="00AF7B6C"/>
    <w:rPr>
      <w:b w:val="0"/>
      <w:sz w:val="72"/>
      <w:szCs w:val="72"/>
      <w:lang w:val="en-NZ"/>
    </w:rPr>
  </w:style>
  <w:style w:type="character" w:customStyle="1" w:styleId="QuoteChar">
    <w:name w:val="Quote Char"/>
    <w:basedOn w:val="DefaultParagraphFont"/>
    <w:link w:val="Quote"/>
    <w:rsid w:val="00AF7B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7B6C"/>
    <w:pPr>
      <w:pageBreakBefore/>
    </w:pPr>
  </w:style>
  <w:style w:type="paragraph" w:customStyle="1" w:styleId="Border">
    <w:name w:val="Border"/>
    <w:basedOn w:val="Normal"/>
    <w:qFormat/>
    <w:rsid w:val="00AF7B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7B6C"/>
    <w:rPr>
      <w:b/>
      <w:bCs/>
      <w:i/>
      <w:iCs/>
      <w:color w:val="auto"/>
    </w:rPr>
  </w:style>
  <w:style w:type="paragraph" w:styleId="IntenseQuote">
    <w:name w:val="Intense Quote"/>
    <w:basedOn w:val="Normal"/>
    <w:next w:val="Normal"/>
    <w:link w:val="IntenseQuoteChar"/>
    <w:uiPriority w:val="30"/>
    <w:qFormat/>
    <w:rsid w:val="00AF7B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7B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7B6C"/>
    <w:rPr>
      <w:smallCaps/>
      <w:color w:val="auto"/>
      <w:u w:val="single"/>
    </w:rPr>
  </w:style>
  <w:style w:type="character" w:styleId="IntenseReference">
    <w:name w:val="Intense Reference"/>
    <w:basedOn w:val="DefaultParagraphFont"/>
    <w:uiPriority w:val="32"/>
    <w:qFormat/>
    <w:rsid w:val="00AF7B6C"/>
    <w:rPr>
      <w:b/>
      <w:bCs/>
      <w:smallCaps/>
      <w:color w:val="auto"/>
      <w:spacing w:val="5"/>
      <w:u w:val="single"/>
    </w:rPr>
  </w:style>
  <w:style w:type="paragraph" w:customStyle="1" w:styleId="2ColumnHeading">
    <w:name w:val="2Column Heading"/>
    <w:basedOn w:val="BodyText"/>
    <w:qFormat/>
    <w:rsid w:val="00AF7B6C"/>
    <w:pPr>
      <w:spacing w:after="60"/>
      <w:ind w:left="-2268"/>
    </w:pPr>
    <w:rPr>
      <w:b/>
    </w:rPr>
  </w:style>
  <w:style w:type="paragraph" w:customStyle="1" w:styleId="Heading1TOC">
    <w:name w:val="Heading1 TOC"/>
    <w:basedOn w:val="Normal"/>
    <w:qFormat/>
    <w:rsid w:val="00AF7B6C"/>
    <w:pPr>
      <w:spacing w:before="240" w:after="120"/>
    </w:pPr>
    <w:rPr>
      <w:rFonts w:ascii="Times New Roman" w:hAnsi="Times New Roman"/>
      <w:b/>
      <w:sz w:val="32"/>
    </w:rPr>
  </w:style>
  <w:style w:type="paragraph" w:customStyle="1" w:styleId="Heading2TOC">
    <w:name w:val="Heading2 TOC"/>
    <w:basedOn w:val="Normal"/>
    <w:qFormat/>
    <w:rsid w:val="00AF7B6C"/>
    <w:pPr>
      <w:spacing w:before="240" w:after="60"/>
    </w:pPr>
    <w:rPr>
      <w:rFonts w:ascii="Times New Roman" w:hAnsi="Times New Roman"/>
      <w:b/>
      <w:sz w:val="28"/>
    </w:rPr>
  </w:style>
  <w:style w:type="character" w:customStyle="1" w:styleId="Underline">
    <w:name w:val="Underline"/>
    <w:basedOn w:val="DefaultParagraphFont"/>
    <w:qFormat/>
    <w:rsid w:val="00AF7B6C"/>
    <w:rPr>
      <w:u w:val="single"/>
    </w:rPr>
  </w:style>
  <w:style w:type="character" w:customStyle="1" w:styleId="BoldandItalics">
    <w:name w:val="Bold and Italics"/>
    <w:qFormat/>
    <w:rsid w:val="00AF7B6C"/>
    <w:rPr>
      <w:b/>
      <w:i/>
      <w:u w:val="none"/>
    </w:rPr>
  </w:style>
  <w:style w:type="paragraph" w:styleId="BalloonText">
    <w:name w:val="Balloon Text"/>
    <w:basedOn w:val="Normal"/>
    <w:link w:val="BalloonTextChar"/>
    <w:rsid w:val="00AF7B6C"/>
    <w:rPr>
      <w:rFonts w:ascii="Tahoma" w:hAnsi="Tahoma" w:cs="Tahoma"/>
      <w:sz w:val="16"/>
      <w:szCs w:val="16"/>
    </w:rPr>
  </w:style>
  <w:style w:type="character" w:customStyle="1" w:styleId="BalloonTextChar">
    <w:name w:val="Balloon Text Char"/>
    <w:basedOn w:val="DefaultParagraphFont"/>
    <w:link w:val="BalloonText"/>
    <w:rsid w:val="00AF7B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7B6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7B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7B6C"/>
    <w:rPr>
      <w:b/>
      <w:color w:val="660033"/>
      <w:spacing w:val="0"/>
    </w:rPr>
  </w:style>
  <w:style w:type="paragraph" w:customStyle="1" w:styleId="Nameditemlist">
    <w:name w:val="Named item list"/>
    <w:basedOn w:val="BodyText"/>
    <w:qFormat/>
    <w:rsid w:val="00AF7B6C"/>
    <w:pPr>
      <w:tabs>
        <w:tab w:val="left" w:pos="2835"/>
      </w:tabs>
      <w:ind w:left="2835" w:hanging="2835"/>
    </w:pPr>
  </w:style>
  <w:style w:type="paragraph" w:customStyle="1" w:styleId="BodyTextnopadding">
    <w:name w:val="Body Text no padding"/>
    <w:basedOn w:val="BodyText"/>
    <w:qFormat/>
    <w:rsid w:val="00AF7B6C"/>
    <w:pPr>
      <w:spacing w:before="0" w:after="0"/>
    </w:pPr>
  </w:style>
  <w:style w:type="paragraph" w:customStyle="1" w:styleId="BodyTextBold">
    <w:name w:val="Body Text Bold"/>
    <w:basedOn w:val="BodyText"/>
    <w:qFormat/>
    <w:rsid w:val="00AF7B6C"/>
    <w:rPr>
      <w:b/>
    </w:rPr>
  </w:style>
  <w:style w:type="character" w:styleId="Hyperlink">
    <w:name w:val="Hyperlink"/>
    <w:basedOn w:val="DefaultParagraphFont"/>
    <w:uiPriority w:val="99"/>
    <w:unhideWhenUsed/>
    <w:rsid w:val="008F406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767</Words>
  <Characters>5130</Characters>
  <Application>Microsoft Office Word</Application>
  <DocSecurity>0</DocSecurity>
  <Lines>213</Lines>
  <Paragraphs>103</Paragraphs>
  <ScaleCrop>false</ScaleCrop>
  <Company>Author-it Software Corporation Ltd.</Company>
  <LinksUpToDate>false</LinksUpToDate>
  <CharactersWithSpaces>5794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MEA285 Repair or overhaul aircraft radio frequency communication and navigation system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2019-09-30T08:11:00Z</dcterms:created>
  <dcterms:modified xsi:type="dcterms:W3CDTF">2019-09-30T08:11:00Z</dcterms:modified>
</cp:coreProperties>
</file>