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092A" w:rsidP="0000092A">
      <w:pPr>
        <w:pStyle w:val="Title"/>
      </w:pPr>
      <w:r>
        <w:fldChar w:fldCharType="begin"/>
      </w:r>
      <w:r>
        <w:instrText xml:space="preserve"> TITLE   \* MERGEFORMAT </w:instrText>
      </w:r>
      <w:r>
        <w:fldChar w:fldCharType="separate"/>
      </w:r>
      <w:r>
        <w:t>MEA285 Repair or overhaul aircraft radio frequency communication and navigation system components</w:t>
      </w:r>
      <w:r>
        <w:fldChar w:fldCharType="end"/>
      </w:r>
    </w:p>
    <w:p w:rsidR="0000092A" w:rsidP="0000092A">
      <w:pPr>
        <w:pStyle w:val="Version"/>
        <w:sectPr w:rsidSect="00B42B3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42B30" w:rsidP="00B42B30">
      <w:pPr>
        <w:pStyle w:val="SuperHeading"/>
      </w:pPr>
      <w:r w:rsidRPr="00B42B30">
        <w:t>MEA285 Repair or overhaul aircraft radio frequency communication and navigation system components</w:t>
      </w:r>
    </w:p>
    <w:p w:rsidR="00000000" w:rsidRPr="00B42B30" w:rsidP="00B42B30">
      <w:pPr>
        <w:pStyle w:val="Heading1"/>
      </w:pPr>
      <w:bookmarkStart w:id="1" w:name="O_998302"/>
      <w:bookmarkEnd w:id="1"/>
      <w:r w:rsidRPr="00B42B30">
        <w:t>Modification History</w:t>
      </w:r>
    </w:p>
    <w:p w:rsidR="00000000" w:rsidRPr="00B42B30" w:rsidP="0000092A">
      <w:pPr>
        <w:pStyle w:val="BodyText"/>
      </w:pPr>
      <w:r w:rsidRPr="00B42B30">
        <w:t>Release 2. Equiva</w:t>
      </w:r>
      <w:r w:rsidRPr="00B42B30">
        <w:t>lent to MEA285 Repair or overhaul aircraft radio frequency communication and navigation system components with amended prerequisite codes.</w:t>
      </w:r>
    </w:p>
    <w:p w:rsidR="00000000" w:rsidRPr="00B42B30" w:rsidP="00B42B30">
      <w:pPr>
        <w:pStyle w:val="Heading1"/>
      </w:pPr>
      <w:bookmarkStart w:id="2" w:name="O_998301"/>
      <w:bookmarkEnd w:id="2"/>
      <w:r w:rsidRPr="00B42B30">
        <w:t>Application</w:t>
      </w:r>
    </w:p>
    <w:p w:rsidR="00000000" w:rsidRPr="00B42B30" w:rsidP="0000092A">
      <w:pPr>
        <w:pStyle w:val="BodyText"/>
      </w:pPr>
      <w:r w:rsidRPr="00B42B30">
        <w:t>This unit of competency requires application of hand skills, test equipment and knowledg</w:t>
      </w:r>
      <w:r w:rsidRPr="00B42B30">
        <w:t>e of analogue and digital theory to repair or overhaul radio frequency (RF) components from aircraft communication and navigation systems.</w:t>
      </w:r>
    </w:p>
    <w:p w:rsidR="00000000" w:rsidRPr="00B42B30" w:rsidP="0000092A">
      <w:pPr>
        <w:pStyle w:val="BodyText"/>
      </w:pPr>
      <w:r w:rsidRPr="00B42B30">
        <w:t>Applications include RF communications and navigation system components from fixed and rotary wing aircraft that are</w:t>
      </w:r>
      <w:r w:rsidRPr="00B42B30">
        <w:t xml:space="preserve"> repaired or overhauled in aviation maintenance workshops during scheduled or unscheduled maintenance. Work may be performed individually or as part of a team.</w:t>
      </w:r>
    </w:p>
    <w:p w:rsidR="00000000" w:rsidRPr="00B42B30" w:rsidP="0000092A">
      <w:pPr>
        <w:pStyle w:val="BodyText"/>
      </w:pPr>
      <w:r w:rsidRPr="00B42B30">
        <w:t>The unit is part of the Avionic Certificate IV (Component Workshop Maintenance Stream) training</w:t>
      </w:r>
      <w:r w:rsidRPr="00B42B30">
        <w:t xml:space="preserve"> pathway.</w:t>
      </w:r>
    </w:p>
    <w:p w:rsidR="00000000" w:rsidRPr="00B42B30" w:rsidP="0000092A">
      <w:pPr>
        <w:pStyle w:val="BodyText"/>
      </w:pPr>
      <w:r w:rsidRPr="00B42B30">
        <w:t xml:space="preserve">Repair of circuit boards is covered by MEA262 Modify/repair aircraft component single layer printed circuit boards and MEA263 Modify/repair aircraft component multi-layer printed circuit boards. </w:t>
      </w:r>
    </w:p>
    <w:p w:rsidR="00000000" w:rsidRPr="00B42B30" w:rsidP="0000092A">
      <w:pPr>
        <w:pStyle w:val="BodyText"/>
      </w:pPr>
      <w:r w:rsidRPr="00B42B30">
        <w:t>The unit is used in workplaces that operate under</w:t>
      </w:r>
      <w:r w:rsidRPr="00B42B30">
        <w:t xml:space="preserve"> the airworthiness regulatory systems of the Australian Defence Force (ADF) and the Civil Aviation safety Authority (CASA). </w:t>
      </w:r>
    </w:p>
    <w:p w:rsidR="00000000" w:rsidRPr="00B42B30" w:rsidP="00B42B30">
      <w:pPr>
        <w:pStyle w:val="Heading1"/>
      </w:pPr>
      <w:bookmarkStart w:id="3" w:name="O_998300"/>
      <w:bookmarkEnd w:id="3"/>
      <w:r w:rsidRPr="00B42B30">
        <w:t>Pre-requisite Unit</w:t>
      </w:r>
    </w:p>
    <w:tbl>
      <w:tblPr>
        <w:tblW w:w="0" w:type="auto"/>
        <w:tblLayout w:type="fixed"/>
        <w:tblCellMar>
          <w:left w:w="62" w:type="dxa"/>
          <w:right w:w="62" w:type="dxa"/>
        </w:tblCellMar>
        <w:tblLook w:val="0000"/>
      </w:tblPr>
      <w:tblGrid>
        <w:gridCol w:w="1674"/>
        <w:gridCol w:w="6245"/>
      </w:tblGrid>
      <w:tr w:rsidTr="00B42B30">
        <w:tblPrEx>
          <w:tblW w:w="0" w:type="auto"/>
          <w:tblLayout w:type="fixed"/>
          <w:tblCellMar>
            <w:left w:w="62" w:type="dxa"/>
            <w:right w:w="62" w:type="dxa"/>
          </w:tblCellMar>
          <w:tblLook w:val="0000"/>
        </w:tblPrEx>
        <w:tc>
          <w:tcPr>
            <w:tcW w:w="1674" w:type="dxa"/>
            <w:tcBorders>
              <w:top w:val="nil"/>
              <w:left w:val="nil"/>
              <w:bottom w:val="nil"/>
              <w:right w:val="nil"/>
            </w:tcBorders>
            <w:tcMar>
              <w:top w:w="0" w:type="dxa"/>
              <w:left w:w="62" w:type="dxa"/>
              <w:bottom w:w="0" w:type="dxa"/>
              <w:right w:w="62" w:type="dxa"/>
            </w:tcMar>
          </w:tcPr>
          <w:p w:rsidR="00000000" w:rsidP="00B42B30">
            <w:pPr>
              <w:pStyle w:val="BodyText"/>
              <w:rPr>
                <w:lang w:val="en-NZ"/>
              </w:rPr>
            </w:pPr>
            <w:r w:rsidRPr="00B42B30">
              <w:t>MEA261</w:t>
            </w:r>
          </w:p>
        </w:tc>
        <w:tc>
          <w:tcPr>
            <w:tcW w:w="6245" w:type="dxa"/>
            <w:tcBorders>
              <w:top w:val="nil"/>
              <w:left w:val="nil"/>
              <w:bottom w:val="nil"/>
              <w:right w:val="nil"/>
            </w:tcBorders>
            <w:tcMar>
              <w:top w:w="0" w:type="dxa"/>
              <w:left w:w="62" w:type="dxa"/>
              <w:bottom w:w="0" w:type="dxa"/>
              <w:right w:w="62" w:type="dxa"/>
            </w:tcMar>
          </w:tcPr>
          <w:p w:rsidR="00000000" w:rsidP="00B42B30">
            <w:pPr>
              <w:pStyle w:val="BodyText"/>
              <w:rPr>
                <w:lang w:val="en-NZ"/>
              </w:rPr>
            </w:pPr>
            <w:r w:rsidRPr="00B42B30">
              <w:t>Use electronic test equipment</w:t>
            </w:r>
          </w:p>
        </w:tc>
      </w:tr>
      <w:tr w:rsidTr="00B42B30">
        <w:tblPrEx>
          <w:tblW w:w="0" w:type="auto"/>
          <w:tblLayout w:type="fixed"/>
          <w:tblCellMar>
            <w:left w:w="62" w:type="dxa"/>
            <w:right w:w="62" w:type="dxa"/>
          </w:tblCellMar>
          <w:tblLook w:val="0000"/>
        </w:tblPrEx>
        <w:tc>
          <w:tcPr>
            <w:tcW w:w="1674" w:type="dxa"/>
            <w:tcBorders>
              <w:top w:val="nil"/>
              <w:left w:val="nil"/>
              <w:bottom w:val="nil"/>
              <w:right w:val="nil"/>
            </w:tcBorders>
            <w:tcMar>
              <w:top w:w="0" w:type="dxa"/>
              <w:left w:w="62" w:type="dxa"/>
              <w:bottom w:w="0" w:type="dxa"/>
              <w:right w:w="62" w:type="dxa"/>
            </w:tcMar>
          </w:tcPr>
          <w:p w:rsidR="00000000" w:rsidP="00B42B30">
            <w:pPr>
              <w:pStyle w:val="BodyText"/>
              <w:rPr>
                <w:lang w:val="en-NZ"/>
              </w:rPr>
            </w:pPr>
            <w:r w:rsidRPr="00B42B30">
              <w:t>MEA296</w:t>
            </w:r>
          </w:p>
        </w:tc>
        <w:tc>
          <w:tcPr>
            <w:tcW w:w="6245" w:type="dxa"/>
            <w:tcBorders>
              <w:top w:val="nil"/>
              <w:left w:val="nil"/>
              <w:bottom w:val="nil"/>
              <w:right w:val="nil"/>
            </w:tcBorders>
            <w:tcMar>
              <w:top w:w="0" w:type="dxa"/>
              <w:left w:w="62" w:type="dxa"/>
              <w:bottom w:w="0" w:type="dxa"/>
              <w:right w:w="62" w:type="dxa"/>
            </w:tcMar>
          </w:tcPr>
          <w:p w:rsidR="00000000" w:rsidRPr="00B42B30" w:rsidP="00B42B30">
            <w:pPr>
              <w:pStyle w:val="BodyText"/>
            </w:pPr>
            <w:r w:rsidRPr="00B42B30">
              <w:t>Use electrical test equipment in aviation maintena</w:t>
            </w:r>
            <w:r w:rsidRPr="00B42B30">
              <w:t>nce activities</w:t>
            </w:r>
          </w:p>
        </w:tc>
      </w:tr>
    </w:tbl>
    <w:p w:rsidR="00000000" w:rsidRPr="00B42B30" w:rsidP="00B42B30">
      <w:pPr>
        <w:pStyle w:val="BodyText"/>
      </w:pPr>
    </w:p>
    <w:p w:rsidR="00000000" w:rsidRPr="00B42B30" w:rsidP="00B42B30">
      <w:pPr>
        <w:pStyle w:val="AllowPageBreak"/>
      </w:pPr>
    </w:p>
    <w:p w:rsidR="00000000" w:rsidRPr="00B42B30" w:rsidP="00B42B30">
      <w:pPr>
        <w:pStyle w:val="Heading1"/>
      </w:pPr>
      <w:bookmarkStart w:id="4" w:name="O_998299"/>
      <w:bookmarkEnd w:id="4"/>
      <w:r w:rsidRPr="00B42B30">
        <w:t>Competency Field</w:t>
      </w:r>
    </w:p>
    <w:p w:rsidR="00000000" w:rsidRPr="00B42B30" w:rsidP="0000092A">
      <w:pPr>
        <w:pStyle w:val="BodyText"/>
      </w:pPr>
      <w:r w:rsidRPr="00B42B30">
        <w:t>Aviation maintenance</w:t>
      </w:r>
    </w:p>
    <w:p w:rsidR="00000000" w:rsidRPr="00B42B30" w:rsidP="00B42B30">
      <w:pPr>
        <w:pStyle w:val="Heading1"/>
      </w:pPr>
      <w:bookmarkStart w:id="5" w:name="O_998298"/>
      <w:bookmarkEnd w:id="5"/>
      <w:r w:rsidRPr="00B42B30">
        <w:t>Unit Sector</w:t>
      </w:r>
    </w:p>
    <w:p w:rsidR="00000000" w:rsidRPr="00B42B30" w:rsidP="00B42B30">
      <w:pPr>
        <w:pStyle w:val="Heading1"/>
      </w:pPr>
      <w:bookmarkStart w:id="6" w:name="O_998297"/>
      <w:bookmarkEnd w:id="6"/>
      <w:r w:rsidRPr="00B42B30">
        <w:t>Elements and Performance Criteria</w:t>
      </w:r>
    </w:p>
    <w:tbl>
      <w:tblPr>
        <w:tblW w:w="0" w:type="auto"/>
        <w:tblLayout w:type="fixed"/>
        <w:tblCellMar>
          <w:left w:w="62" w:type="dxa"/>
          <w:right w:w="62" w:type="dxa"/>
        </w:tblCellMar>
        <w:tblLook w:val="0000"/>
      </w:tblPr>
      <w:tblGrid>
        <w:gridCol w:w="574"/>
        <w:gridCol w:w="2439"/>
        <w:gridCol w:w="717"/>
        <w:gridCol w:w="5450"/>
      </w:tblGrid>
      <w:tr w:rsidTr="00B42B30">
        <w:tblPrEx>
          <w:tblW w:w="0" w:type="auto"/>
          <w:tblLayout w:type="fixed"/>
          <w:tblCellMar>
            <w:left w:w="62" w:type="dxa"/>
            <w:right w:w="62" w:type="dxa"/>
          </w:tblCellMar>
          <w:tblLook w:val="0000"/>
        </w:tblPrEx>
        <w:tc>
          <w:tcPr>
            <w:tcW w:w="3013" w:type="dxa"/>
            <w:gridSpan w:val="2"/>
            <w:tcBorders>
              <w:top w:val="nil"/>
              <w:left w:val="nil"/>
              <w:bottom w:val="nil"/>
              <w:right w:val="nil"/>
            </w:tcBorders>
            <w:tcMar>
              <w:top w:w="0" w:type="dxa"/>
              <w:left w:w="62" w:type="dxa"/>
              <w:bottom w:w="0" w:type="dxa"/>
              <w:right w:w="62" w:type="dxa"/>
            </w:tcMar>
          </w:tcPr>
          <w:p w:rsidR="00000000" w:rsidP="00B42B30">
            <w:pPr>
              <w:pStyle w:val="BodyText"/>
              <w:rPr>
                <w:lang w:val="en-NZ"/>
              </w:rPr>
            </w:pPr>
            <w:r w:rsidRPr="00B42B30">
              <w:t>Elements describe the essential outcomes.</w:t>
            </w:r>
          </w:p>
        </w:tc>
        <w:tc>
          <w:tcPr>
            <w:tcW w:w="6167" w:type="dxa"/>
            <w:gridSpan w:val="2"/>
            <w:tcBorders>
              <w:top w:val="nil"/>
              <w:left w:val="nil"/>
              <w:bottom w:val="nil"/>
              <w:right w:val="nil"/>
            </w:tcBorders>
            <w:tcMar>
              <w:top w:w="0" w:type="dxa"/>
              <w:left w:w="62" w:type="dxa"/>
              <w:bottom w:w="0" w:type="dxa"/>
              <w:right w:w="62" w:type="dxa"/>
            </w:tcMar>
          </w:tcPr>
          <w:p w:rsidR="00000000" w:rsidP="00B42B30">
            <w:pPr>
              <w:pStyle w:val="BodyText"/>
              <w:rPr>
                <w:lang w:val="en-NZ"/>
              </w:rPr>
            </w:pPr>
            <w:r w:rsidRPr="00B42B30">
              <w:t xml:space="preserve">Performance criteria describe the performance needed to demonstrate achievement of the element. </w:t>
            </w:r>
          </w:p>
        </w:tc>
      </w:tr>
      <w:tr w:rsidTr="00B42B30">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B42B30">
            <w:pPr>
              <w:pStyle w:val="BodyText"/>
              <w:rPr>
                <w:lang w:val="en-NZ"/>
              </w:rPr>
            </w:pPr>
            <w:r w:rsidRPr="00B42B30">
              <w:t>1.</w:t>
            </w:r>
          </w:p>
        </w:tc>
        <w:tc>
          <w:tcPr>
            <w:tcW w:w="2439" w:type="dxa"/>
            <w:tcBorders>
              <w:top w:val="nil"/>
              <w:left w:val="nil"/>
              <w:bottom w:val="nil"/>
              <w:right w:val="nil"/>
            </w:tcBorders>
            <w:tcMar>
              <w:top w:w="0" w:type="dxa"/>
              <w:left w:w="62" w:type="dxa"/>
              <w:bottom w:w="0" w:type="dxa"/>
              <w:right w:w="62" w:type="dxa"/>
            </w:tcMar>
          </w:tcPr>
          <w:p w:rsidR="00000000" w:rsidP="00B42B30">
            <w:pPr>
              <w:pStyle w:val="BodyText"/>
              <w:rPr>
                <w:lang w:val="en-NZ"/>
              </w:rPr>
            </w:pPr>
            <w:r w:rsidRPr="00B42B30">
              <w:t>Determine requirements</w:t>
            </w:r>
          </w:p>
        </w:tc>
        <w:tc>
          <w:tcPr>
            <w:tcW w:w="717" w:type="dxa"/>
            <w:tcBorders>
              <w:top w:val="nil"/>
              <w:left w:val="nil"/>
              <w:bottom w:val="nil"/>
              <w:right w:val="nil"/>
            </w:tcBorders>
            <w:tcMar>
              <w:top w:w="0" w:type="dxa"/>
              <w:left w:w="62" w:type="dxa"/>
              <w:bottom w:w="0" w:type="dxa"/>
              <w:right w:w="62" w:type="dxa"/>
            </w:tcMar>
          </w:tcPr>
          <w:p w:rsidR="00000000" w:rsidP="00B42B30">
            <w:pPr>
              <w:pStyle w:val="BodyText"/>
              <w:rPr>
                <w:lang w:val="en-NZ"/>
              </w:rPr>
            </w:pPr>
            <w:r w:rsidRPr="00B42B30">
              <w:t>1.1</w:t>
            </w:r>
          </w:p>
        </w:tc>
        <w:tc>
          <w:tcPr>
            <w:tcW w:w="5450" w:type="dxa"/>
            <w:tcBorders>
              <w:top w:val="nil"/>
              <w:left w:val="nil"/>
              <w:bottom w:val="nil"/>
              <w:right w:val="nil"/>
            </w:tcBorders>
            <w:tcMar>
              <w:top w:w="0" w:type="dxa"/>
              <w:left w:w="62" w:type="dxa"/>
              <w:bottom w:w="0" w:type="dxa"/>
              <w:right w:w="62" w:type="dxa"/>
            </w:tcMar>
          </w:tcPr>
          <w:p w:rsidR="00000000" w:rsidP="00B42B30">
            <w:pPr>
              <w:pStyle w:val="BodyText"/>
              <w:rPr>
                <w:lang w:val="en-NZ"/>
              </w:rPr>
            </w:pPr>
            <w:r w:rsidRPr="00B42B30">
              <w:t>Communication and navigation system component defect reports (removal tags) or customer order are correctly interpreted and matched by part and serial numbers</w:t>
            </w:r>
          </w:p>
        </w:tc>
      </w:tr>
      <w:tr w:rsidTr="00B42B30">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B42B30">
            <w:pPr>
              <w:pStyle w:val="BodyText"/>
              <w:rPr>
                <w:lang w:val="en-NZ"/>
              </w:rPr>
            </w:pPr>
            <w:r w:rsidRPr="00B42B30">
              <w:t>1.2</w:t>
            </w:r>
          </w:p>
        </w:tc>
        <w:tc>
          <w:tcPr>
            <w:tcW w:w="5450" w:type="dxa"/>
            <w:tcBorders>
              <w:top w:val="nil"/>
              <w:left w:val="nil"/>
              <w:bottom w:val="nil"/>
              <w:right w:val="nil"/>
            </w:tcBorders>
            <w:tcMar>
              <w:top w:w="0" w:type="dxa"/>
              <w:left w:w="62" w:type="dxa"/>
              <w:bottom w:w="0" w:type="dxa"/>
              <w:right w:w="62" w:type="dxa"/>
            </w:tcMar>
          </w:tcPr>
          <w:p w:rsidR="00000000" w:rsidP="00B42B30">
            <w:pPr>
              <w:pStyle w:val="BodyText"/>
              <w:rPr>
                <w:lang w:val="en-NZ"/>
              </w:rPr>
            </w:pPr>
            <w:r w:rsidRPr="00B42B30">
              <w:t>Circuitry is correctly prepared and connected to the applicable test equipment and is func</w:t>
            </w:r>
            <w:r w:rsidRPr="00B42B30">
              <w:t>tionally tested or cycled through the prescribed test procedures in accordance with the maintenance documentation for evidence of serviceability or malfunction</w:t>
            </w:r>
          </w:p>
        </w:tc>
      </w:tr>
      <w:tr w:rsidTr="00B42B30">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B42B30">
            <w:pPr>
              <w:pStyle w:val="BodyText"/>
              <w:rPr>
                <w:lang w:val="en-NZ"/>
              </w:rPr>
            </w:pPr>
            <w:r w:rsidRPr="00B42B30">
              <w:t>1.3</w:t>
            </w:r>
          </w:p>
        </w:tc>
        <w:tc>
          <w:tcPr>
            <w:tcW w:w="5450" w:type="dxa"/>
            <w:tcBorders>
              <w:top w:val="nil"/>
              <w:left w:val="nil"/>
              <w:bottom w:val="nil"/>
              <w:right w:val="nil"/>
            </w:tcBorders>
            <w:tcMar>
              <w:top w:w="0" w:type="dxa"/>
              <w:left w:w="62" w:type="dxa"/>
              <w:bottom w:w="0" w:type="dxa"/>
              <w:right w:w="62" w:type="dxa"/>
            </w:tcMar>
          </w:tcPr>
          <w:p w:rsidR="00000000" w:rsidP="00B42B30">
            <w:pPr>
              <w:pStyle w:val="BodyText"/>
              <w:rPr>
                <w:lang w:val="en-NZ"/>
              </w:rPr>
            </w:pPr>
            <w:r w:rsidRPr="00B42B30">
              <w:t>Modification status is clearly established to assist in determining the overhaul requirem</w:t>
            </w:r>
            <w:r w:rsidRPr="00B42B30">
              <w:t>ents for the components</w:t>
            </w:r>
          </w:p>
        </w:tc>
      </w:tr>
      <w:tr w:rsidTr="00B42B30">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B42B30">
            <w:pPr>
              <w:pStyle w:val="BodyText"/>
              <w:rPr>
                <w:lang w:val="en-NZ"/>
              </w:rPr>
            </w:pPr>
            <w:r w:rsidRPr="00B42B30">
              <w:t>1.4</w:t>
            </w:r>
          </w:p>
        </w:tc>
        <w:tc>
          <w:tcPr>
            <w:tcW w:w="5450" w:type="dxa"/>
            <w:tcBorders>
              <w:top w:val="nil"/>
              <w:left w:val="nil"/>
              <w:bottom w:val="nil"/>
              <w:right w:val="nil"/>
            </w:tcBorders>
            <w:tcMar>
              <w:top w:w="0" w:type="dxa"/>
              <w:left w:w="62" w:type="dxa"/>
              <w:bottom w:w="0" w:type="dxa"/>
              <w:right w:w="62" w:type="dxa"/>
            </w:tcMar>
          </w:tcPr>
          <w:p w:rsidR="00000000" w:rsidP="00B42B30">
            <w:pPr>
              <w:pStyle w:val="BodyText"/>
              <w:rPr>
                <w:lang w:val="en-NZ"/>
              </w:rPr>
            </w:pPr>
            <w:r w:rsidRPr="00B42B30">
              <w:t>Extent of overhaul or repair is correctly identified and documented</w:t>
            </w:r>
          </w:p>
        </w:tc>
      </w:tr>
      <w:tr w:rsidTr="00B42B30">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B42B30">
            <w:pPr>
              <w:pStyle w:val="BodyText"/>
              <w:rPr>
                <w:lang w:val="en-NZ"/>
              </w:rPr>
            </w:pPr>
            <w:r w:rsidRPr="00B42B30">
              <w:t>2.</w:t>
            </w:r>
          </w:p>
        </w:tc>
        <w:tc>
          <w:tcPr>
            <w:tcW w:w="2439" w:type="dxa"/>
            <w:tcBorders>
              <w:top w:val="nil"/>
              <w:left w:val="nil"/>
              <w:bottom w:val="nil"/>
              <w:right w:val="nil"/>
            </w:tcBorders>
            <w:tcMar>
              <w:top w:w="0" w:type="dxa"/>
              <w:left w:w="62" w:type="dxa"/>
              <w:bottom w:w="0" w:type="dxa"/>
              <w:right w:w="62" w:type="dxa"/>
            </w:tcMar>
          </w:tcPr>
          <w:p w:rsidR="00000000" w:rsidP="00B42B30">
            <w:pPr>
              <w:pStyle w:val="BodyText"/>
              <w:rPr>
                <w:lang w:val="en-NZ"/>
              </w:rPr>
            </w:pPr>
            <w:r w:rsidRPr="00B42B30">
              <w:t>Troubleshoot RF communication and navigation system components</w:t>
            </w:r>
          </w:p>
        </w:tc>
        <w:tc>
          <w:tcPr>
            <w:tcW w:w="717" w:type="dxa"/>
            <w:tcBorders>
              <w:top w:val="nil"/>
              <w:left w:val="nil"/>
              <w:bottom w:val="nil"/>
              <w:right w:val="nil"/>
            </w:tcBorders>
            <w:tcMar>
              <w:top w:w="0" w:type="dxa"/>
              <w:left w:w="62" w:type="dxa"/>
              <w:bottom w:w="0" w:type="dxa"/>
              <w:right w:w="62" w:type="dxa"/>
            </w:tcMar>
          </w:tcPr>
          <w:p w:rsidR="00000000" w:rsidP="00B42B30">
            <w:pPr>
              <w:pStyle w:val="BodyText"/>
              <w:rPr>
                <w:lang w:val="en-NZ"/>
              </w:rPr>
            </w:pPr>
            <w:r w:rsidRPr="00B42B30">
              <w:t>2.1</w:t>
            </w:r>
          </w:p>
        </w:tc>
        <w:tc>
          <w:tcPr>
            <w:tcW w:w="5450" w:type="dxa"/>
            <w:tcBorders>
              <w:top w:val="nil"/>
              <w:left w:val="nil"/>
              <w:bottom w:val="nil"/>
              <w:right w:val="nil"/>
            </w:tcBorders>
            <w:tcMar>
              <w:top w:w="0" w:type="dxa"/>
              <w:left w:w="62" w:type="dxa"/>
              <w:bottom w:w="0" w:type="dxa"/>
              <w:right w:w="62" w:type="dxa"/>
            </w:tcMar>
          </w:tcPr>
          <w:p w:rsidR="00000000" w:rsidP="00B42B30">
            <w:pPr>
              <w:pStyle w:val="BodyText"/>
              <w:rPr>
                <w:lang w:val="en-NZ"/>
              </w:rPr>
            </w:pPr>
            <w:r w:rsidRPr="00B42B30">
              <w:t>Available information from maintenance records and inspection and test results is used</w:t>
            </w:r>
            <w:r w:rsidRPr="00B42B30">
              <w:t>, where necessary, to assist in fault determination</w:t>
            </w:r>
          </w:p>
        </w:tc>
      </w:tr>
      <w:tr w:rsidTr="00B42B30">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B42B30">
            <w:pPr>
              <w:pStyle w:val="BodyText"/>
              <w:rPr>
                <w:lang w:val="en-NZ"/>
              </w:rPr>
            </w:pPr>
            <w:r w:rsidRPr="00B42B30">
              <w:t>2.2</w:t>
            </w:r>
          </w:p>
        </w:tc>
        <w:tc>
          <w:tcPr>
            <w:tcW w:w="5450" w:type="dxa"/>
            <w:tcBorders>
              <w:top w:val="nil"/>
              <w:left w:val="nil"/>
              <w:bottom w:val="nil"/>
              <w:right w:val="nil"/>
            </w:tcBorders>
            <w:tcMar>
              <w:top w:w="0" w:type="dxa"/>
              <w:left w:w="62" w:type="dxa"/>
              <w:bottom w:w="0" w:type="dxa"/>
              <w:right w:w="62" w:type="dxa"/>
            </w:tcMar>
          </w:tcPr>
          <w:p w:rsidR="00000000" w:rsidP="00B42B30">
            <w:pPr>
              <w:pStyle w:val="BodyText"/>
              <w:rPr>
                <w:lang w:val="en-NZ"/>
              </w:rPr>
            </w:pPr>
            <w:r w:rsidRPr="00B42B30">
              <w:t>Maintenance manual fault diagnosis guides and logic processes are used to ensure efficient and accurate troubleshooting</w:t>
            </w:r>
          </w:p>
        </w:tc>
      </w:tr>
      <w:tr w:rsidTr="00B42B30">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B42B30">
            <w:pPr>
              <w:pStyle w:val="BodyText"/>
              <w:rPr>
                <w:lang w:val="en-NZ"/>
              </w:rPr>
            </w:pPr>
            <w:r w:rsidRPr="00B42B30">
              <w:t>2.3</w:t>
            </w:r>
          </w:p>
        </w:tc>
        <w:tc>
          <w:tcPr>
            <w:tcW w:w="5450" w:type="dxa"/>
            <w:tcBorders>
              <w:top w:val="nil"/>
              <w:left w:val="nil"/>
              <w:bottom w:val="nil"/>
              <w:right w:val="nil"/>
            </w:tcBorders>
            <w:tcMar>
              <w:top w:w="0" w:type="dxa"/>
              <w:left w:w="62" w:type="dxa"/>
              <w:bottom w:w="0" w:type="dxa"/>
              <w:right w:w="62" w:type="dxa"/>
            </w:tcMar>
          </w:tcPr>
          <w:p w:rsidR="00000000" w:rsidP="00B42B30">
            <w:pPr>
              <w:pStyle w:val="BodyText"/>
              <w:rPr>
                <w:lang w:val="en-NZ"/>
              </w:rPr>
            </w:pPr>
            <w:r w:rsidRPr="00B42B30">
              <w:t>Faults are located and the causes of the faults are clearly identified and correctly recorded in maintenance documentation, where required</w:t>
            </w:r>
          </w:p>
        </w:tc>
      </w:tr>
      <w:tr w:rsidTr="00B42B30">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B42B30">
            <w:pPr>
              <w:pStyle w:val="BodyText"/>
              <w:rPr>
                <w:lang w:val="en-NZ"/>
              </w:rPr>
            </w:pPr>
            <w:r w:rsidRPr="00B42B30">
              <w:t>2.4</w:t>
            </w:r>
          </w:p>
        </w:tc>
        <w:tc>
          <w:tcPr>
            <w:tcW w:w="5450" w:type="dxa"/>
            <w:tcBorders>
              <w:top w:val="nil"/>
              <w:left w:val="nil"/>
              <w:bottom w:val="nil"/>
              <w:right w:val="nil"/>
            </w:tcBorders>
            <w:tcMar>
              <w:top w:w="0" w:type="dxa"/>
              <w:left w:w="62" w:type="dxa"/>
              <w:bottom w:w="0" w:type="dxa"/>
              <w:right w:w="62" w:type="dxa"/>
            </w:tcMar>
          </w:tcPr>
          <w:p w:rsidR="00000000" w:rsidP="00B42B30">
            <w:pPr>
              <w:pStyle w:val="BodyText"/>
              <w:rPr>
                <w:lang w:val="en-NZ"/>
              </w:rPr>
            </w:pPr>
            <w:r w:rsidRPr="00B42B30">
              <w:t>Fault rectification requirements are determined</w:t>
            </w:r>
          </w:p>
        </w:tc>
      </w:tr>
      <w:tr w:rsidTr="00B42B30">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B42B30">
            <w:pPr>
              <w:pStyle w:val="BodyText"/>
              <w:rPr>
                <w:lang w:val="en-NZ"/>
              </w:rPr>
            </w:pPr>
            <w:r w:rsidRPr="00B42B30">
              <w:t>3.</w:t>
            </w:r>
          </w:p>
        </w:tc>
        <w:tc>
          <w:tcPr>
            <w:tcW w:w="2439" w:type="dxa"/>
            <w:tcBorders>
              <w:top w:val="nil"/>
              <w:left w:val="nil"/>
              <w:bottom w:val="nil"/>
              <w:right w:val="nil"/>
            </w:tcBorders>
            <w:tcMar>
              <w:top w:w="0" w:type="dxa"/>
              <w:left w:w="62" w:type="dxa"/>
              <w:bottom w:w="0" w:type="dxa"/>
              <w:right w:w="62" w:type="dxa"/>
            </w:tcMar>
          </w:tcPr>
          <w:p w:rsidR="00000000" w:rsidP="00B42B30">
            <w:pPr>
              <w:pStyle w:val="BodyText"/>
              <w:rPr>
                <w:lang w:val="en-NZ"/>
              </w:rPr>
            </w:pPr>
            <w:r w:rsidRPr="00B42B30">
              <w:t>Dismantle and inspect RF communication and navigation syst</w:t>
            </w:r>
            <w:r w:rsidRPr="00B42B30">
              <w:t>em components</w:t>
            </w:r>
          </w:p>
        </w:tc>
        <w:tc>
          <w:tcPr>
            <w:tcW w:w="717" w:type="dxa"/>
            <w:tcBorders>
              <w:top w:val="nil"/>
              <w:left w:val="nil"/>
              <w:bottom w:val="nil"/>
              <w:right w:val="nil"/>
            </w:tcBorders>
            <w:tcMar>
              <w:top w:w="0" w:type="dxa"/>
              <w:left w:w="62" w:type="dxa"/>
              <w:bottom w:w="0" w:type="dxa"/>
              <w:right w:w="62" w:type="dxa"/>
            </w:tcMar>
          </w:tcPr>
          <w:p w:rsidR="00000000" w:rsidP="00B42B30">
            <w:pPr>
              <w:pStyle w:val="BodyText"/>
              <w:rPr>
                <w:lang w:val="en-NZ"/>
              </w:rPr>
            </w:pPr>
            <w:r w:rsidRPr="00B42B30">
              <w:t>3.1</w:t>
            </w:r>
          </w:p>
        </w:tc>
        <w:tc>
          <w:tcPr>
            <w:tcW w:w="5450" w:type="dxa"/>
            <w:tcBorders>
              <w:top w:val="nil"/>
              <w:left w:val="nil"/>
              <w:bottom w:val="nil"/>
              <w:right w:val="nil"/>
            </w:tcBorders>
            <w:tcMar>
              <w:top w:w="0" w:type="dxa"/>
              <w:left w:w="62" w:type="dxa"/>
              <w:bottom w:w="0" w:type="dxa"/>
              <w:right w:w="62" w:type="dxa"/>
            </w:tcMar>
          </w:tcPr>
          <w:p w:rsidR="00000000" w:rsidP="00B42B30">
            <w:pPr>
              <w:pStyle w:val="BodyText"/>
              <w:rPr>
                <w:lang w:val="en-NZ"/>
              </w:rPr>
            </w:pPr>
            <w:r w:rsidRPr="00B42B30">
              <w:t>Component parts are dismantled in accordance with maintenance manuals while observing all relevant work health and safety (WHS) requirements</w:t>
            </w:r>
          </w:p>
        </w:tc>
      </w:tr>
      <w:tr w:rsidTr="00B42B30">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B42B30">
            <w:pPr>
              <w:pStyle w:val="BodyText"/>
              <w:rPr>
                <w:lang w:val="en-NZ"/>
              </w:rPr>
            </w:pPr>
            <w:r w:rsidRPr="00B42B30">
              <w:t>3.2</w:t>
            </w:r>
          </w:p>
        </w:tc>
        <w:tc>
          <w:tcPr>
            <w:tcW w:w="5450" w:type="dxa"/>
            <w:tcBorders>
              <w:top w:val="nil"/>
              <w:left w:val="nil"/>
              <w:bottom w:val="nil"/>
              <w:right w:val="nil"/>
            </w:tcBorders>
            <w:tcMar>
              <w:top w:w="0" w:type="dxa"/>
              <w:left w:w="62" w:type="dxa"/>
              <w:bottom w:w="0" w:type="dxa"/>
              <w:right w:w="62" w:type="dxa"/>
            </w:tcMar>
          </w:tcPr>
          <w:p w:rsidR="00000000" w:rsidP="00B42B30">
            <w:pPr>
              <w:pStyle w:val="BodyText"/>
              <w:rPr>
                <w:lang w:val="en-NZ"/>
              </w:rPr>
            </w:pPr>
            <w:r w:rsidRPr="00B42B30">
              <w:t>Component parts are assessed for serviceability in accordance with the relevant maintenance documentation</w:t>
            </w:r>
          </w:p>
        </w:tc>
      </w:tr>
      <w:tr w:rsidTr="00B42B30">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B42B30">
            <w:pPr>
              <w:pStyle w:val="BodyText"/>
              <w:rPr>
                <w:lang w:val="en-NZ"/>
              </w:rPr>
            </w:pPr>
            <w:r w:rsidRPr="00B42B30">
              <w:t>3.3</w:t>
            </w:r>
          </w:p>
        </w:tc>
        <w:tc>
          <w:tcPr>
            <w:tcW w:w="5450" w:type="dxa"/>
            <w:tcBorders>
              <w:top w:val="nil"/>
              <w:left w:val="nil"/>
              <w:bottom w:val="nil"/>
              <w:right w:val="nil"/>
            </w:tcBorders>
            <w:tcMar>
              <w:top w:w="0" w:type="dxa"/>
              <w:left w:w="62" w:type="dxa"/>
              <w:bottom w:w="0" w:type="dxa"/>
              <w:right w:w="62" w:type="dxa"/>
            </w:tcMar>
          </w:tcPr>
          <w:p w:rsidR="00000000" w:rsidP="00B42B30">
            <w:pPr>
              <w:pStyle w:val="BodyText"/>
              <w:rPr>
                <w:lang w:val="en-NZ"/>
              </w:rPr>
            </w:pPr>
            <w:r w:rsidRPr="00B42B30">
              <w:t>Parts requiring specialist repair are tagged and repair instructions are accurately specified</w:t>
            </w:r>
          </w:p>
        </w:tc>
      </w:tr>
      <w:tr w:rsidTr="00B42B30">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B42B30">
            <w:pPr>
              <w:pStyle w:val="BodyText"/>
              <w:rPr>
                <w:lang w:val="en-NZ"/>
              </w:rPr>
            </w:pPr>
            <w:r w:rsidRPr="00B42B30">
              <w:t>3.4</w:t>
            </w:r>
          </w:p>
        </w:tc>
        <w:tc>
          <w:tcPr>
            <w:tcW w:w="5450" w:type="dxa"/>
            <w:tcBorders>
              <w:top w:val="nil"/>
              <w:left w:val="nil"/>
              <w:bottom w:val="nil"/>
              <w:right w:val="nil"/>
            </w:tcBorders>
            <w:tcMar>
              <w:top w:w="0" w:type="dxa"/>
              <w:left w:w="62" w:type="dxa"/>
              <w:bottom w:w="0" w:type="dxa"/>
              <w:right w:w="62" w:type="dxa"/>
            </w:tcMar>
          </w:tcPr>
          <w:p w:rsidR="00000000" w:rsidP="00B42B30">
            <w:pPr>
              <w:pStyle w:val="BodyText"/>
              <w:rPr>
                <w:lang w:val="en-NZ"/>
              </w:rPr>
            </w:pPr>
            <w:r w:rsidRPr="00B42B30">
              <w:t xml:space="preserve">Parts lists are compiled and processed in </w:t>
            </w:r>
            <w:r w:rsidRPr="00B42B30">
              <w:t>accordance with standard enterprise procedures</w:t>
            </w:r>
          </w:p>
        </w:tc>
      </w:tr>
      <w:tr w:rsidTr="00B42B30">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B42B30">
            <w:pPr>
              <w:pStyle w:val="BodyText"/>
              <w:rPr>
                <w:lang w:val="en-NZ"/>
              </w:rPr>
            </w:pPr>
            <w:r w:rsidRPr="00B42B30">
              <w:t>4.</w:t>
            </w:r>
          </w:p>
        </w:tc>
        <w:tc>
          <w:tcPr>
            <w:tcW w:w="2439" w:type="dxa"/>
            <w:tcBorders>
              <w:top w:val="nil"/>
              <w:left w:val="nil"/>
              <w:bottom w:val="nil"/>
              <w:right w:val="nil"/>
            </w:tcBorders>
            <w:tcMar>
              <w:top w:w="0" w:type="dxa"/>
              <w:left w:w="62" w:type="dxa"/>
              <w:bottom w:w="0" w:type="dxa"/>
              <w:right w:w="62" w:type="dxa"/>
            </w:tcMar>
          </w:tcPr>
          <w:p w:rsidR="00000000" w:rsidP="00B42B30">
            <w:pPr>
              <w:pStyle w:val="BodyText"/>
              <w:rPr>
                <w:lang w:val="en-NZ"/>
              </w:rPr>
            </w:pPr>
            <w:r w:rsidRPr="00B42B30">
              <w:t>Repair and/or modify RF communication and navigation system components</w:t>
            </w:r>
          </w:p>
        </w:tc>
        <w:tc>
          <w:tcPr>
            <w:tcW w:w="717" w:type="dxa"/>
            <w:tcBorders>
              <w:top w:val="nil"/>
              <w:left w:val="nil"/>
              <w:bottom w:val="nil"/>
              <w:right w:val="nil"/>
            </w:tcBorders>
            <w:tcMar>
              <w:top w:w="0" w:type="dxa"/>
              <w:left w:w="62" w:type="dxa"/>
              <w:bottom w:w="0" w:type="dxa"/>
              <w:right w:w="62" w:type="dxa"/>
            </w:tcMar>
          </w:tcPr>
          <w:p w:rsidR="00000000" w:rsidP="00B42B30">
            <w:pPr>
              <w:pStyle w:val="BodyText"/>
              <w:rPr>
                <w:lang w:val="en-NZ"/>
              </w:rPr>
            </w:pPr>
            <w:r w:rsidRPr="00B42B30">
              <w:t>4.1</w:t>
            </w:r>
          </w:p>
        </w:tc>
        <w:tc>
          <w:tcPr>
            <w:tcW w:w="5450" w:type="dxa"/>
            <w:tcBorders>
              <w:top w:val="nil"/>
              <w:left w:val="nil"/>
              <w:bottom w:val="nil"/>
              <w:right w:val="nil"/>
            </w:tcBorders>
            <w:tcMar>
              <w:top w:w="0" w:type="dxa"/>
              <w:left w:w="62" w:type="dxa"/>
              <w:bottom w:w="0" w:type="dxa"/>
              <w:right w:w="62" w:type="dxa"/>
            </w:tcMar>
          </w:tcPr>
          <w:p w:rsidR="00000000" w:rsidP="00B42B30">
            <w:pPr>
              <w:pStyle w:val="BodyText"/>
              <w:rPr>
                <w:lang w:val="en-NZ"/>
              </w:rPr>
            </w:pPr>
            <w:r w:rsidRPr="00B42B30">
              <w:t>Component parts are repaired or replaced in accordance with the relevant maintenance documentation</w:t>
            </w:r>
          </w:p>
        </w:tc>
      </w:tr>
      <w:tr w:rsidTr="00B42B30">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B42B30">
            <w:pPr>
              <w:pStyle w:val="BodyText"/>
              <w:rPr>
                <w:lang w:val="en-NZ"/>
              </w:rPr>
            </w:pPr>
            <w:r w:rsidRPr="00B42B30">
              <w:t>4.2</w:t>
            </w:r>
          </w:p>
        </w:tc>
        <w:tc>
          <w:tcPr>
            <w:tcW w:w="5450" w:type="dxa"/>
            <w:tcBorders>
              <w:top w:val="nil"/>
              <w:left w:val="nil"/>
              <w:bottom w:val="nil"/>
              <w:right w:val="nil"/>
            </w:tcBorders>
            <w:tcMar>
              <w:top w:w="0" w:type="dxa"/>
              <w:left w:w="62" w:type="dxa"/>
              <w:bottom w:w="0" w:type="dxa"/>
              <w:right w:w="62" w:type="dxa"/>
            </w:tcMar>
          </w:tcPr>
          <w:p w:rsidR="00000000" w:rsidP="00B42B30">
            <w:pPr>
              <w:pStyle w:val="BodyText"/>
              <w:rPr>
                <w:lang w:val="en-NZ"/>
              </w:rPr>
            </w:pPr>
            <w:r w:rsidRPr="00B42B30">
              <w:t>Modification of components or parts is undertaken, where required, by relevant manufacturers’ bulletins or procedures</w:t>
            </w:r>
          </w:p>
        </w:tc>
      </w:tr>
      <w:tr w:rsidTr="00B42B30">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B42B30">
            <w:pPr>
              <w:pStyle w:val="BodyText"/>
              <w:rPr>
                <w:lang w:val="en-NZ"/>
              </w:rPr>
            </w:pPr>
            <w:r w:rsidRPr="00B42B30">
              <w:t>5.</w:t>
            </w:r>
          </w:p>
        </w:tc>
        <w:tc>
          <w:tcPr>
            <w:tcW w:w="2439" w:type="dxa"/>
            <w:tcBorders>
              <w:top w:val="nil"/>
              <w:left w:val="nil"/>
              <w:bottom w:val="nil"/>
              <w:right w:val="nil"/>
            </w:tcBorders>
            <w:tcMar>
              <w:top w:w="0" w:type="dxa"/>
              <w:left w:w="62" w:type="dxa"/>
              <w:bottom w:w="0" w:type="dxa"/>
              <w:right w:w="62" w:type="dxa"/>
            </w:tcMar>
          </w:tcPr>
          <w:p w:rsidR="00000000" w:rsidP="00B42B30">
            <w:pPr>
              <w:pStyle w:val="BodyText"/>
              <w:rPr>
                <w:lang w:val="en-NZ"/>
              </w:rPr>
            </w:pPr>
            <w:r w:rsidRPr="00B42B30">
              <w:t>Assemble, test and adjust RF communication and navigation system components</w:t>
            </w:r>
          </w:p>
        </w:tc>
        <w:tc>
          <w:tcPr>
            <w:tcW w:w="717" w:type="dxa"/>
            <w:tcBorders>
              <w:top w:val="nil"/>
              <w:left w:val="nil"/>
              <w:bottom w:val="nil"/>
              <w:right w:val="nil"/>
            </w:tcBorders>
            <w:tcMar>
              <w:top w:w="0" w:type="dxa"/>
              <w:left w:w="62" w:type="dxa"/>
              <w:bottom w:w="0" w:type="dxa"/>
              <w:right w:w="62" w:type="dxa"/>
            </w:tcMar>
          </w:tcPr>
          <w:p w:rsidR="00000000" w:rsidP="00B42B30">
            <w:pPr>
              <w:pStyle w:val="BodyText"/>
              <w:rPr>
                <w:lang w:val="en-NZ"/>
              </w:rPr>
            </w:pPr>
            <w:r w:rsidRPr="00B42B30">
              <w:t>5.1</w:t>
            </w:r>
          </w:p>
        </w:tc>
        <w:tc>
          <w:tcPr>
            <w:tcW w:w="5450" w:type="dxa"/>
            <w:tcBorders>
              <w:top w:val="nil"/>
              <w:left w:val="nil"/>
              <w:bottom w:val="nil"/>
              <w:right w:val="nil"/>
            </w:tcBorders>
            <w:tcMar>
              <w:top w:w="0" w:type="dxa"/>
              <w:left w:w="62" w:type="dxa"/>
              <w:bottom w:w="0" w:type="dxa"/>
              <w:right w:w="62" w:type="dxa"/>
            </w:tcMar>
          </w:tcPr>
          <w:p w:rsidR="00000000" w:rsidP="00B42B30">
            <w:pPr>
              <w:pStyle w:val="BodyText"/>
              <w:rPr>
                <w:lang w:val="en-NZ"/>
              </w:rPr>
            </w:pPr>
            <w:r w:rsidRPr="00B42B30">
              <w:t>Assembly of component parts is carried out in accordan</w:t>
            </w:r>
            <w:r w:rsidRPr="00B42B30">
              <w:t>ce with specified tolerances and the applicable maintenance documents</w:t>
            </w:r>
          </w:p>
        </w:tc>
      </w:tr>
      <w:tr w:rsidTr="00B42B30">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B42B30">
            <w:pPr>
              <w:pStyle w:val="BodyText"/>
              <w:rPr>
                <w:lang w:val="en-NZ"/>
              </w:rPr>
            </w:pPr>
            <w:r w:rsidRPr="00B42B30">
              <w:t>5.2</w:t>
            </w:r>
          </w:p>
        </w:tc>
        <w:tc>
          <w:tcPr>
            <w:tcW w:w="5450" w:type="dxa"/>
            <w:tcBorders>
              <w:top w:val="nil"/>
              <w:left w:val="nil"/>
              <w:bottom w:val="nil"/>
              <w:right w:val="nil"/>
            </w:tcBorders>
            <w:tcMar>
              <w:top w:w="0" w:type="dxa"/>
              <w:left w:w="62" w:type="dxa"/>
              <w:bottom w:w="0" w:type="dxa"/>
              <w:right w:w="62" w:type="dxa"/>
            </w:tcMar>
          </w:tcPr>
          <w:p w:rsidR="00000000" w:rsidP="00B42B30">
            <w:pPr>
              <w:pStyle w:val="BodyText"/>
              <w:rPr>
                <w:lang w:val="en-NZ"/>
              </w:rPr>
            </w:pPr>
            <w:r w:rsidRPr="00B42B30">
              <w:t>Assembled components are tested and adjusted/aligned in accordance with the applicable maintenance documentation using the appropriate test equipment</w:t>
            </w:r>
          </w:p>
        </w:tc>
      </w:tr>
      <w:tr w:rsidTr="00B42B30">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B42B30">
            <w:pPr>
              <w:pStyle w:val="BodyText"/>
              <w:rPr>
                <w:lang w:val="en-NZ"/>
              </w:rPr>
            </w:pPr>
            <w:r w:rsidRPr="00B42B30">
              <w:t>5.3</w:t>
            </w:r>
          </w:p>
        </w:tc>
        <w:tc>
          <w:tcPr>
            <w:tcW w:w="5450" w:type="dxa"/>
            <w:tcBorders>
              <w:top w:val="nil"/>
              <w:left w:val="nil"/>
              <w:bottom w:val="nil"/>
              <w:right w:val="nil"/>
            </w:tcBorders>
            <w:tcMar>
              <w:top w:w="0" w:type="dxa"/>
              <w:left w:w="62" w:type="dxa"/>
              <w:bottom w:w="0" w:type="dxa"/>
              <w:right w:w="62" w:type="dxa"/>
            </w:tcMar>
          </w:tcPr>
          <w:p w:rsidR="00000000" w:rsidRPr="00B42B30" w:rsidP="00B42B30">
            <w:pPr>
              <w:pStyle w:val="BodyText"/>
            </w:pPr>
            <w:r w:rsidRPr="00B42B30">
              <w:t>Required maintenance d</w:t>
            </w:r>
            <w:r w:rsidRPr="00B42B30">
              <w:t>ocumentation and modification records are completed and processed in accordance with standard enterprise procedures</w:t>
            </w:r>
          </w:p>
        </w:tc>
      </w:tr>
    </w:tbl>
    <w:p w:rsidR="00000000" w:rsidRPr="00B42B30" w:rsidP="00B42B30">
      <w:pPr>
        <w:pStyle w:val="BodyText"/>
      </w:pPr>
    </w:p>
    <w:p w:rsidR="00000000" w:rsidRPr="00B42B30" w:rsidP="00B42B30">
      <w:pPr>
        <w:pStyle w:val="AllowPageBreak"/>
      </w:pPr>
    </w:p>
    <w:p w:rsidR="00000000" w:rsidRPr="00B42B30" w:rsidP="00B42B30">
      <w:pPr>
        <w:pStyle w:val="Heading1"/>
      </w:pPr>
      <w:bookmarkStart w:id="7" w:name="O_998296"/>
      <w:bookmarkEnd w:id="7"/>
      <w:r w:rsidRPr="00B42B30">
        <w:t>Foundation Skills</w:t>
      </w:r>
    </w:p>
    <w:p w:rsidR="00000000" w:rsidRPr="00B42B30" w:rsidP="0000092A">
      <w:pPr>
        <w:pStyle w:val="BodyText"/>
      </w:pPr>
      <w:r w:rsidRPr="00B42B30">
        <w:t>F</w:t>
      </w:r>
      <w:r w:rsidRPr="00B42B30">
        <w:t>oundation skills essential to performance are explicit in the performance criteria of this unit of competency.</w:t>
      </w:r>
    </w:p>
    <w:p w:rsidR="00000000" w:rsidRPr="00B42B30" w:rsidP="00B42B30">
      <w:pPr>
        <w:pStyle w:val="Heading1"/>
      </w:pPr>
      <w:bookmarkStart w:id="8" w:name="O_998295"/>
      <w:bookmarkEnd w:id="8"/>
      <w:r w:rsidRPr="00B42B30">
        <w:t>Range of Conditions</w:t>
      </w:r>
    </w:p>
    <w:tbl>
      <w:tblPr>
        <w:tblW w:w="0" w:type="auto"/>
        <w:tblLayout w:type="fixed"/>
        <w:tblCellMar>
          <w:left w:w="62" w:type="dxa"/>
          <w:right w:w="62" w:type="dxa"/>
        </w:tblCellMar>
        <w:tblLook w:val="0000"/>
      </w:tblPr>
      <w:tblGrid>
        <w:gridCol w:w="3060"/>
        <w:gridCol w:w="6012"/>
      </w:tblGrid>
      <w:tr w:rsidTr="00B42B3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42B30">
            <w:pPr>
              <w:pStyle w:val="BodyText"/>
              <w:rPr>
                <w:lang w:val="en-NZ"/>
              </w:rPr>
            </w:pPr>
            <w:r w:rsidRPr="00B42B30">
              <w:t>This field allows for different work environments and conditions that may affect performance. Essential oper</w:t>
            </w:r>
            <w:r w:rsidRPr="00B42B30">
              <w:t>ating conditions that may be present (depending on the work situation, needs of the candidate, accessibility of the item, and local industry and regional contexts) are included.</w:t>
            </w:r>
          </w:p>
        </w:tc>
      </w:tr>
      <w:tr w:rsidTr="00B42B3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B42B30">
            <w:pPr>
              <w:pStyle w:val="BodyText"/>
              <w:rPr>
                <w:lang w:val="en-NZ"/>
              </w:rPr>
            </w:pPr>
            <w:r w:rsidRPr="00B42B30">
              <w:rPr>
                <w:rStyle w:val="SpecialBold"/>
              </w:rPr>
              <w:t>Communication and navigation system components are from any or all of the fo</w:t>
            </w:r>
            <w:r w:rsidRPr="00B42B30">
              <w:rPr>
                <w:rStyle w:val="SpecialBold"/>
              </w:rPr>
              <w:t>llowing aircraft systems:</w:t>
            </w:r>
          </w:p>
        </w:tc>
        <w:tc>
          <w:tcPr>
            <w:tcW w:w="6012" w:type="dxa"/>
            <w:tcBorders>
              <w:top w:val="nil"/>
              <w:left w:val="nil"/>
              <w:bottom w:val="nil"/>
              <w:right w:val="nil"/>
            </w:tcBorders>
            <w:tcMar>
              <w:top w:w="0" w:type="dxa"/>
              <w:left w:w="62" w:type="dxa"/>
              <w:bottom w:w="0" w:type="dxa"/>
              <w:right w:w="62" w:type="dxa"/>
            </w:tcMar>
          </w:tcPr>
          <w:p w:rsidR="00000000" w:rsidRPr="00B42B30" w:rsidP="00B42B30">
            <w:pPr>
              <w:pStyle w:val="ListBullet"/>
            </w:pPr>
            <w:r w:rsidRPr="00B42B30">
              <w:t>Very high frequency (VHF) communications</w:t>
            </w:r>
          </w:p>
          <w:p w:rsidR="00000000" w:rsidRPr="00B42B30" w:rsidP="00B42B30">
            <w:pPr>
              <w:pStyle w:val="ListBullet"/>
            </w:pPr>
            <w:r w:rsidRPr="00B42B30">
              <w:t>High frequency (HF) communications</w:t>
            </w:r>
          </w:p>
          <w:p w:rsidR="00000000" w:rsidRPr="00B42B30" w:rsidP="00B42B30">
            <w:pPr>
              <w:pStyle w:val="ListBullet"/>
            </w:pPr>
            <w:r w:rsidRPr="00B42B30">
              <w:t>Ultra-high frequency (UHF) communications</w:t>
            </w:r>
          </w:p>
          <w:p w:rsidR="00000000" w:rsidRPr="00B42B30" w:rsidP="00B42B30">
            <w:pPr>
              <w:pStyle w:val="ListBullet"/>
            </w:pPr>
            <w:r w:rsidRPr="00B42B30">
              <w:t>Satellite communications</w:t>
            </w:r>
          </w:p>
          <w:p w:rsidR="00000000" w:rsidRPr="00B42B30" w:rsidP="00B42B30">
            <w:pPr>
              <w:pStyle w:val="ListBullet"/>
            </w:pPr>
            <w:r w:rsidRPr="00B42B30">
              <w:t>Emergency location transmitter (ELT)</w:t>
            </w:r>
          </w:p>
          <w:p w:rsidR="00000000" w:rsidRPr="00B42B30" w:rsidP="00B42B30">
            <w:pPr>
              <w:pStyle w:val="ListBullet"/>
            </w:pPr>
            <w:r w:rsidRPr="00B42B30">
              <w:t>Aeronautical Radio Incorporated (ARINC) Communication Addressing and Reporting System</w:t>
            </w:r>
          </w:p>
          <w:p w:rsidR="00000000" w:rsidRPr="00B42B30" w:rsidP="00B42B30">
            <w:pPr>
              <w:pStyle w:val="ListBullet"/>
            </w:pPr>
            <w:r w:rsidRPr="00B42B30">
              <w:t>Intercommunication and public address</w:t>
            </w:r>
          </w:p>
          <w:p w:rsidR="00000000" w:rsidRPr="00B42B30" w:rsidP="00B42B30">
            <w:pPr>
              <w:pStyle w:val="ListBullet"/>
            </w:pPr>
            <w:r w:rsidRPr="00B42B30">
              <w:t>Automatic direction finding (ADF) navigation</w:t>
            </w:r>
          </w:p>
          <w:p w:rsidR="00000000" w:rsidRPr="00B42B30" w:rsidP="00B42B30">
            <w:pPr>
              <w:pStyle w:val="ListBullet"/>
            </w:pPr>
            <w:r w:rsidRPr="00B42B30">
              <w:t>Very high frequency omni-directional range (VOR) navigation</w:t>
            </w:r>
          </w:p>
          <w:p w:rsidR="00000000" w:rsidRPr="00B42B30" w:rsidP="00B42B30">
            <w:pPr>
              <w:pStyle w:val="ListBullet"/>
            </w:pPr>
            <w:r w:rsidRPr="00B42B30">
              <w:t>Instrument landing system (</w:t>
            </w:r>
            <w:r w:rsidRPr="00B42B30">
              <w:t>ILS)</w:t>
            </w:r>
          </w:p>
          <w:p w:rsidR="00000000" w:rsidP="00B42B30">
            <w:pPr>
              <w:pStyle w:val="ListBullet"/>
              <w:rPr>
                <w:lang w:val="en-NZ"/>
              </w:rPr>
            </w:pPr>
            <w:r w:rsidRPr="00B42B30">
              <w:t>Ground positioning system (GPS)</w:t>
            </w:r>
          </w:p>
        </w:tc>
      </w:tr>
      <w:tr w:rsidTr="00B42B3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B42B30">
            <w:pPr>
              <w:pStyle w:val="BodyText"/>
              <w:rPr>
                <w:lang w:val="en-NZ"/>
              </w:rPr>
            </w:pPr>
            <w:r w:rsidRPr="00B42B30">
              <w:rPr>
                <w:rStyle w:val="SpecialBold"/>
              </w:rPr>
              <w:t>Procedures and requirements include:</w:t>
            </w:r>
          </w:p>
        </w:tc>
        <w:tc>
          <w:tcPr>
            <w:tcW w:w="6012" w:type="dxa"/>
            <w:tcBorders>
              <w:top w:val="nil"/>
              <w:left w:val="nil"/>
              <w:bottom w:val="nil"/>
              <w:right w:val="nil"/>
            </w:tcBorders>
            <w:tcMar>
              <w:top w:w="0" w:type="dxa"/>
              <w:left w:w="62" w:type="dxa"/>
              <w:bottom w:w="0" w:type="dxa"/>
              <w:right w:w="62" w:type="dxa"/>
            </w:tcMar>
          </w:tcPr>
          <w:p w:rsidR="00000000" w:rsidRPr="00B42B30" w:rsidP="00B42B30">
            <w:pPr>
              <w:pStyle w:val="ListBullet"/>
            </w:pPr>
            <w:r w:rsidRPr="00B42B30">
              <w:t>Industry standard procedures specified by manufacturers, regulatory authorities or the enterprise</w:t>
            </w:r>
          </w:p>
        </w:tc>
      </w:tr>
    </w:tbl>
    <w:p w:rsidR="00000000" w:rsidRPr="00B42B30" w:rsidP="00B42B30">
      <w:pPr>
        <w:pStyle w:val="BodyText"/>
      </w:pPr>
    </w:p>
    <w:p w:rsidR="00000000" w:rsidRPr="00B42B30" w:rsidP="00B42B30">
      <w:pPr>
        <w:pStyle w:val="AllowPageBreak"/>
      </w:pPr>
    </w:p>
    <w:p w:rsidR="00000000" w:rsidRPr="00B42B30" w:rsidP="00B42B30">
      <w:pPr>
        <w:pStyle w:val="Heading1"/>
      </w:pPr>
      <w:bookmarkStart w:id="9" w:name="O_998294"/>
      <w:bookmarkEnd w:id="9"/>
      <w:r w:rsidRPr="00B42B30">
        <w:t>Unit Mapping Information</w:t>
      </w:r>
    </w:p>
    <w:p w:rsidR="00000000" w:rsidRPr="00B42B30" w:rsidP="0000092A">
      <w:pPr>
        <w:pStyle w:val="BodyText"/>
      </w:pPr>
      <w:r w:rsidRPr="00B42B30">
        <w:t>Release 2. Equivalent to MEA285 Repair or overhaul aircraft radio frequency communication and navigation system components</w:t>
      </w:r>
    </w:p>
    <w:p w:rsidR="00000000" w:rsidRPr="00B42B30" w:rsidP="00B42B30">
      <w:pPr>
        <w:pStyle w:val="Heading1"/>
      </w:pPr>
      <w:bookmarkStart w:id="10" w:name="O_998303"/>
      <w:bookmarkEnd w:id="10"/>
      <w:r w:rsidRPr="00B42B30">
        <w:t>Links</w:t>
      </w:r>
    </w:p>
    <w:p w:rsidR="00000000" w:rsidRPr="00B42B30" w:rsidP="0000092A">
      <w:pPr>
        <w:pStyle w:val="BodyText"/>
      </w:pPr>
      <w:r w:rsidRPr="00B42B30">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A2097B">
        <w:rPr>
          <w:rStyle w:val="Hyperlink"/>
        </w:rPr>
        <w:t>https://vetnet.gov.au/Pages/TrainingDocs.aspx?q=ce216c9c-04d5-4b3b-9bcf-4e81d0950371</w:t>
      </w:r>
      <w:r>
        <w:fldChar w:fldCharType="end"/>
      </w:r>
    </w:p>
    <w:p w:rsidR="00000000" w:rsidRPr="00B42B30" w:rsidP="0000092A">
      <w:pPr>
        <w:pStyle w:val="BodyText"/>
        <w:sectPr w:rsidSect="00B42B30">
          <w:headerReference w:type="default" r:id="rId10"/>
          <w:footerReference w:type="default" r:id="rId11"/>
          <w:pgSz w:w="11908" w:h="16833"/>
          <w:pgMar w:top="1702" w:right="1418" w:bottom="1702" w:left="1418" w:header="992" w:footer="992" w:gutter="0"/>
          <w:cols w:space="720"/>
          <w:noEndnote/>
          <w:docGrid w:linePitch="299"/>
        </w:sectPr>
      </w:pPr>
    </w:p>
    <w:p w:rsidR="00000000" w:rsidRPr="00B42B30" w:rsidP="00B42B30">
      <w:pPr>
        <w:pStyle w:val="SuperHeading"/>
      </w:pPr>
      <w:r w:rsidRPr="00B42B30">
        <w:t>Assessment Requirements for MEA285 Repair or overhaul aircraft radio frequency communication and navigation system components</w:t>
      </w:r>
    </w:p>
    <w:p w:rsidR="00000000" w:rsidRPr="00B42B30" w:rsidP="00B42B30">
      <w:pPr>
        <w:pStyle w:val="Heading1"/>
      </w:pPr>
      <w:bookmarkStart w:id="11" w:name="O_998292"/>
      <w:bookmarkEnd w:id="11"/>
      <w:r w:rsidRPr="00B42B30">
        <w:t>Modification History</w:t>
      </w:r>
    </w:p>
    <w:p w:rsidR="00000000" w:rsidRPr="00B42B30" w:rsidP="0000092A">
      <w:pPr>
        <w:pStyle w:val="BodyText"/>
      </w:pPr>
      <w:r w:rsidRPr="00B42B30">
        <w:t>Release 2.</w:t>
      </w:r>
      <w:r w:rsidRPr="00B42B30">
        <w:t xml:space="preserve"> Equivalent to MEA285 Repair or overhaul aircraft radio frequency communication and navigation system components with amended prerequisite codes.</w:t>
      </w:r>
    </w:p>
    <w:p w:rsidR="00000000" w:rsidRPr="00B42B30" w:rsidP="00B42B30">
      <w:pPr>
        <w:pStyle w:val="Heading1"/>
      </w:pPr>
      <w:bookmarkStart w:id="12" w:name="O_998291"/>
      <w:bookmarkEnd w:id="12"/>
      <w:r w:rsidRPr="00B42B30">
        <w:t>Performance Evidence</w:t>
      </w:r>
    </w:p>
    <w:p w:rsidR="00000000" w:rsidRPr="00B42B30" w:rsidP="0000092A">
      <w:pPr>
        <w:pStyle w:val="BodyText"/>
      </w:pPr>
      <w:r w:rsidRPr="00B42B30">
        <w:t>Evidence required to demonstrate competency in this unit must be relevan</w:t>
      </w:r>
      <w:r w:rsidRPr="00B42B30">
        <w:t>t to and satisfy all of the requirements of the elements and performance criteria under the specified conditions of assessment, and must include:</w:t>
      </w:r>
    </w:p>
    <w:p w:rsidR="00000000" w:rsidRPr="00B42B30" w:rsidP="00B42B30">
      <w:pPr>
        <w:pStyle w:val="ListBullet"/>
      </w:pPr>
      <w:r w:rsidRPr="00B42B30">
        <w:t>applying relevant WHS practices</w:t>
      </w:r>
    </w:p>
    <w:p w:rsidR="00000000" w:rsidRPr="00B42B30" w:rsidP="00B42B30">
      <w:pPr>
        <w:pStyle w:val="ListBullet"/>
      </w:pPr>
      <w:r w:rsidRPr="00B42B30">
        <w:t xml:space="preserve">using approved repair/overhaul manuals, procedures and processes relating to </w:t>
      </w:r>
      <w:r w:rsidRPr="00B42B30">
        <w:t xml:space="preserve">analogue circuitry </w:t>
      </w:r>
    </w:p>
    <w:p w:rsidR="00000000" w:rsidRPr="00B42B30" w:rsidP="00B42B30">
      <w:pPr>
        <w:pStyle w:val="ListBullet"/>
      </w:pPr>
      <w:r w:rsidRPr="00B42B30">
        <w:t>recognising the serviceability state and repair or overhaul requirements for aircraft RF communication and navigation system components</w:t>
      </w:r>
    </w:p>
    <w:p w:rsidR="00000000" w:rsidRPr="00B42B30" w:rsidP="00B42B30">
      <w:pPr>
        <w:pStyle w:val="ListBullet"/>
      </w:pPr>
      <w:r w:rsidRPr="00B42B30">
        <w:t>applying logic processes, and using test equipment and appropriate wiring diagrams and manuals to is</w:t>
      </w:r>
      <w:r w:rsidRPr="00B42B30">
        <w:t>olate component faults</w:t>
      </w:r>
    </w:p>
    <w:p w:rsidR="00000000" w:rsidRPr="00B42B30" w:rsidP="00B42B30">
      <w:pPr>
        <w:pStyle w:val="ListBullet"/>
      </w:pPr>
      <w:r w:rsidRPr="00B42B30">
        <w:t>performing component testing to isolate/confirm component fault and assess post-repair/overhaul serviceability</w:t>
      </w:r>
    </w:p>
    <w:p w:rsidR="00000000" w:rsidRPr="00B42B30" w:rsidP="00B42B30">
      <w:pPr>
        <w:pStyle w:val="ListBullet"/>
      </w:pPr>
      <w:r w:rsidRPr="00B42B30">
        <w:t>correctly aligning components listed above to operate within prescribed specifications.</w:t>
      </w:r>
    </w:p>
    <w:p w:rsidR="00000000" w:rsidRPr="00B42B30" w:rsidP="0000092A">
      <w:pPr>
        <w:pStyle w:val="BodyText"/>
      </w:pPr>
      <w:r w:rsidRPr="00B42B30">
        <w:t>It is essenti</w:t>
      </w:r>
      <w:r w:rsidRPr="00B42B30">
        <w:t>al that component testing procedures, cleanliness requirements and safety precautions applicable to the system components being maintained are fully observed, understood and complied with. Ability to interpret inspection procedures and specifications (allo</w:t>
      </w:r>
      <w:r w:rsidRPr="00B42B30">
        <w:t>wable limits) and apply them in practice across a range of inspection, testing, alignment and troubleshooting applications (including the timely involvement of supervisors or other trades) is critical.</w:t>
      </w:r>
    </w:p>
    <w:p w:rsidR="0000092A" w:rsidP="0000092A">
      <w:pPr>
        <w:pStyle w:val="BodyText"/>
      </w:pPr>
      <w:r w:rsidRPr="00B42B30">
        <w:t>Evidence of transferability of skills and knowledge re</w:t>
      </w:r>
      <w:r w:rsidRPr="00B42B30">
        <w:t xml:space="preserve">lated to testing, aligning and troubleshooting is essential. This may be demonstrated through application across a representative range of the components from systems listed in the Assessment Conditions. </w:t>
      </w:r>
    </w:p>
    <w:p w:rsidR="00000000" w:rsidRPr="00B42B30" w:rsidP="00B42B30">
      <w:pPr>
        <w:pStyle w:val="Heading1"/>
      </w:pPr>
      <w:bookmarkStart w:id="13" w:name="O_998290"/>
      <w:bookmarkEnd w:id="13"/>
      <w:r w:rsidRPr="00B42B30">
        <w:t>Knowledge Evidence</w:t>
      </w:r>
    </w:p>
    <w:p w:rsidR="00000000" w:rsidRPr="00B42B30" w:rsidP="0000092A">
      <w:pPr>
        <w:pStyle w:val="BodyText"/>
      </w:pPr>
      <w:r w:rsidRPr="00B42B30">
        <w:t>Evidence requi</w:t>
      </w:r>
      <w:r w:rsidRPr="00B42B30">
        <w:t>red to demonstrate competency in this unit must be relevant to and satisfy all of the requirements of the elements and performance criteria and include knowledge of:</w:t>
      </w:r>
    </w:p>
    <w:p w:rsidR="00000000" w:rsidRPr="00B42B30" w:rsidP="00B42B30">
      <w:pPr>
        <w:pStyle w:val="ListBullet"/>
      </w:pPr>
      <w:r w:rsidRPr="00B42B30">
        <w:t>component and system operation</w:t>
      </w:r>
    </w:p>
    <w:p w:rsidR="00000000" w:rsidRPr="00B42B30" w:rsidP="00B42B30">
      <w:pPr>
        <w:pStyle w:val="ListBullet"/>
      </w:pPr>
      <w:r w:rsidRPr="00B42B30">
        <w:t>the basic function and operation of components of radio fr</w:t>
      </w:r>
      <w:r w:rsidRPr="00B42B30">
        <w:t>equency communication and navigation systems to enable testing for fault isolation/confirmation, to determine repair or overhaul requirements, and serviceability status post-repair or overhaul</w:t>
      </w:r>
    </w:p>
    <w:p w:rsidR="00000000" w:rsidRPr="00B42B30" w:rsidP="00B42B30">
      <w:pPr>
        <w:pStyle w:val="ListBullet"/>
      </w:pPr>
      <w:r w:rsidRPr="00B42B30">
        <w:t>basic principles/functions relating to radio frequency communic</w:t>
      </w:r>
      <w:r w:rsidRPr="00B42B30">
        <w:t>ation and navigation system components and associated with:</w:t>
      </w:r>
    </w:p>
    <w:p w:rsidR="00000000" w:rsidRPr="00B42B30" w:rsidP="00B42B30">
      <w:pPr>
        <w:pStyle w:val="ListBullet2"/>
      </w:pPr>
      <w:r w:rsidRPr="00B42B30">
        <w:t>advanced analogue fundamentals</w:t>
      </w:r>
    </w:p>
    <w:p w:rsidR="00000000" w:rsidRPr="00B42B30" w:rsidP="00B42B30">
      <w:pPr>
        <w:pStyle w:val="ListBullet2"/>
      </w:pPr>
      <w:r w:rsidRPr="00B42B30">
        <w:t>digital fundamentals</w:t>
      </w:r>
    </w:p>
    <w:p w:rsidR="00000000" w:rsidRPr="00B42B30" w:rsidP="00B42B30">
      <w:pPr>
        <w:pStyle w:val="ListBullet2"/>
      </w:pPr>
      <w:r w:rsidRPr="00B42B30">
        <w:t>AC and DC electrical systems</w:t>
      </w:r>
    </w:p>
    <w:p w:rsidR="00000000" w:rsidRPr="00B42B30" w:rsidP="00B42B30">
      <w:pPr>
        <w:pStyle w:val="ListBullet2"/>
      </w:pPr>
      <w:r w:rsidRPr="00B42B30">
        <w:t>electromagnetic radiation</w:t>
      </w:r>
    </w:p>
    <w:p w:rsidR="00000000" w:rsidRPr="00B42B30" w:rsidP="00B42B30">
      <w:pPr>
        <w:pStyle w:val="ListBullet2"/>
      </w:pPr>
      <w:r w:rsidRPr="00B42B30">
        <w:t>antenna and transmission line (including waveguide) characteristics</w:t>
      </w:r>
    </w:p>
    <w:p w:rsidR="00000000" w:rsidRPr="00B42B30" w:rsidP="00B42B30">
      <w:pPr>
        <w:pStyle w:val="ListBullet2"/>
      </w:pPr>
      <w:r w:rsidRPr="00B42B30">
        <w:t>radio transmission/signal propagation and frequency modulation</w:t>
      </w:r>
    </w:p>
    <w:p w:rsidR="00000000" w:rsidRPr="00B42B30" w:rsidP="00B42B30">
      <w:pPr>
        <w:pStyle w:val="ListBullet2"/>
      </w:pPr>
      <w:r w:rsidRPr="00B42B30">
        <w:t>GPS</w:t>
      </w:r>
    </w:p>
    <w:p w:rsidR="00000000" w:rsidRPr="00B42B30" w:rsidP="00B42B30">
      <w:pPr>
        <w:pStyle w:val="ListBullet"/>
      </w:pPr>
      <w:r w:rsidRPr="00B42B30">
        <w:t>satellite communications (industry specific).</w:t>
      </w:r>
    </w:p>
    <w:p w:rsidR="00000000" w:rsidRPr="00B42B30" w:rsidP="00B42B30">
      <w:pPr>
        <w:pStyle w:val="AllowPageBreak"/>
      </w:pPr>
    </w:p>
    <w:p w:rsidR="00000000" w:rsidRPr="00B42B30" w:rsidP="00B42B30">
      <w:pPr>
        <w:pStyle w:val="Heading1"/>
      </w:pPr>
      <w:bookmarkStart w:id="14" w:name="O_998289"/>
      <w:bookmarkEnd w:id="14"/>
      <w:r w:rsidRPr="00B42B30">
        <w:t>Assessment Conditions</w:t>
      </w:r>
    </w:p>
    <w:p w:rsidR="00000000" w:rsidRPr="00B42B30" w:rsidP="00B42B30">
      <w:pPr>
        <w:pStyle w:val="ListBullet"/>
      </w:pPr>
      <w:r w:rsidRPr="00B42B30">
        <w:t xml:space="preserve">Competency should be assessed in the work environment, or simulated work environment, using tools and </w:t>
      </w:r>
      <w:r w:rsidRPr="00B42B30">
        <w:t>equipment specified in maintenance documentation. It is also expected that general and special-purpose tools and test equipment would be used where appropriate.</w:t>
      </w:r>
    </w:p>
    <w:p w:rsidR="00000000" w:rsidRPr="00B42B30" w:rsidP="00B42B30">
      <w:pPr>
        <w:pStyle w:val="ListBullet"/>
      </w:pPr>
      <w:r w:rsidRPr="00B42B30">
        <w:t>The application of testing procedures should clearly indicate knowledge of system operation bef</w:t>
      </w:r>
      <w:r w:rsidRPr="00B42B30">
        <w:t>ore undertaking any action. Knowledge of system operation and the relationship of individual components will be necessary to supplement evidence of ability to troubleshoot component faults. The work plan should take account of applicable safety and quality</w:t>
      </w:r>
      <w:r w:rsidRPr="00B42B30">
        <w:t xml:space="preserve"> requirements in accordance with the industry and regulatory standards. Use of high precision, high reliability soldering techniques and handling of components, including application of anti-static equipment, must be demonstrated.</w:t>
      </w:r>
    </w:p>
    <w:p w:rsidR="00000000" w:rsidRPr="00B42B30" w:rsidP="00B42B30">
      <w:pPr>
        <w:pStyle w:val="ListBullet"/>
      </w:pPr>
      <w:r w:rsidRPr="00B42B30">
        <w:t>Assessment should be made</w:t>
      </w:r>
      <w:r w:rsidRPr="00B42B30">
        <w:t xml:space="preserve"> across a sufficient number of components to establish the ability to apply attained skills and knowledge across the full range of RF components with the aid of applicable maintenance manuals and data.</w:t>
      </w:r>
    </w:p>
    <w:p w:rsidR="00000000" w:rsidRPr="00B42B30" w:rsidP="00B42B30">
      <w:pPr>
        <w:pStyle w:val="ListBullet"/>
      </w:pPr>
      <w:r w:rsidRPr="00B42B30">
        <w:t>The following conditions of assessment represent the r</w:t>
      </w:r>
      <w:r w:rsidRPr="00B42B30">
        <w:t>equirements of the Regulators (ADF and CASA) and maintenance stakeholders and must be rigorously observed.</w:t>
      </w:r>
    </w:p>
    <w:p w:rsidR="00000000" w:rsidRPr="00B42B30" w:rsidP="00B42B30">
      <w:pPr>
        <w:pStyle w:val="ListBullet"/>
      </w:pPr>
      <w:r w:rsidRPr="00B42B30">
        <w:t>A person cannot be assessed as competent until it can be demonstrated to the satisfaction of the workplace assessor that the relevant elements and pe</w:t>
      </w:r>
      <w:r w:rsidRPr="00B42B30">
        <w:t>rformance criteria of the unit of competency are being achieved under routine supervision on a representative range of components, applicable to the enterprise, from the following systems:</w:t>
      </w:r>
    </w:p>
    <w:p w:rsidR="00000000" w:rsidRPr="00B42B30" w:rsidP="00B42B30">
      <w:pPr>
        <w:pStyle w:val="ListBullet2"/>
      </w:pPr>
      <w:r w:rsidRPr="00B42B30">
        <w:t>VHF communications</w:t>
      </w:r>
    </w:p>
    <w:p w:rsidR="00000000" w:rsidRPr="00B42B30" w:rsidP="00B42B30">
      <w:pPr>
        <w:pStyle w:val="ListBullet2"/>
      </w:pPr>
      <w:r w:rsidRPr="00B42B30">
        <w:t>HF communications</w:t>
      </w:r>
    </w:p>
    <w:p w:rsidR="00000000" w:rsidRPr="00B42B30" w:rsidP="00B42B30">
      <w:pPr>
        <w:pStyle w:val="ListBullet2"/>
      </w:pPr>
      <w:r w:rsidRPr="00B42B30">
        <w:t>UHF communications</w:t>
      </w:r>
    </w:p>
    <w:p w:rsidR="00000000" w:rsidRPr="00B42B30" w:rsidP="00B42B30">
      <w:pPr>
        <w:pStyle w:val="ListBullet2"/>
      </w:pPr>
      <w:r w:rsidRPr="00B42B30">
        <w:t>satellite communications</w:t>
      </w:r>
    </w:p>
    <w:p w:rsidR="00000000" w:rsidRPr="00B42B30" w:rsidP="00B42B30">
      <w:pPr>
        <w:pStyle w:val="ListBullet2"/>
      </w:pPr>
      <w:r w:rsidRPr="00B42B30">
        <w:t>ELT</w:t>
      </w:r>
    </w:p>
    <w:p w:rsidR="00000000" w:rsidRPr="00B42B30" w:rsidP="00B42B30">
      <w:pPr>
        <w:pStyle w:val="ListBullet2"/>
      </w:pPr>
      <w:r w:rsidRPr="00B42B30">
        <w:t>ARINC Communication Addressing and Reporting System</w:t>
      </w:r>
    </w:p>
    <w:p w:rsidR="00000000" w:rsidRPr="00B42B30" w:rsidP="00B42B30">
      <w:pPr>
        <w:pStyle w:val="ListBullet2"/>
      </w:pPr>
      <w:r w:rsidRPr="00B42B30">
        <w:t>intercommunication and public address</w:t>
      </w:r>
    </w:p>
    <w:p w:rsidR="00000000" w:rsidRPr="00B42B30" w:rsidP="00B42B30">
      <w:pPr>
        <w:pStyle w:val="ListBullet2"/>
      </w:pPr>
      <w:r w:rsidRPr="00B42B30">
        <w:t>ADF navigation</w:t>
      </w:r>
    </w:p>
    <w:p w:rsidR="00000000" w:rsidRPr="00B42B30" w:rsidP="00B42B30">
      <w:pPr>
        <w:pStyle w:val="ListBullet2"/>
      </w:pPr>
      <w:r w:rsidRPr="00B42B30">
        <w:t>VOR navigation</w:t>
      </w:r>
    </w:p>
    <w:p w:rsidR="00000000" w:rsidRPr="00B42B30" w:rsidP="00B42B30">
      <w:pPr>
        <w:pStyle w:val="ListBullet2"/>
      </w:pPr>
      <w:r w:rsidRPr="00B42B30">
        <w:t>ILS</w:t>
      </w:r>
    </w:p>
    <w:p w:rsidR="00000000" w:rsidRPr="00B42B30" w:rsidP="00B42B30">
      <w:pPr>
        <w:pStyle w:val="ListBullet2"/>
      </w:pPr>
      <w:r w:rsidRPr="00B42B30">
        <w:t>GPS.</w:t>
      </w:r>
    </w:p>
    <w:p w:rsidR="00000000" w:rsidRPr="00B42B30" w:rsidP="00B42B30">
      <w:pPr>
        <w:pStyle w:val="ListBullet"/>
      </w:pPr>
      <w:r w:rsidRPr="00B42B30">
        <w:t>This shall be established via the records in the Log of Industrial Experience and Achievement or,</w:t>
      </w:r>
      <w:r w:rsidRPr="00B42B30">
        <w:t xml:space="preserve"> where appropriate, an equivalent Industry Evidence Guide (for details refer to the Companion Volume Assessment Guidelines).</w:t>
      </w:r>
    </w:p>
    <w:p w:rsidR="00000000" w:rsidRPr="00B42B30" w:rsidP="00B42B30">
      <w:pPr>
        <w:pStyle w:val="ListBullet"/>
      </w:pPr>
      <w:r w:rsidRPr="00B42B30">
        <w:t>Assessors must satisfy the requirements of the National Vocational Education and Training Regulator (Australian Skills Quality Auth</w:t>
      </w:r>
      <w:r w:rsidRPr="00B42B30">
        <w:t>ority, or its successors).</w:t>
      </w:r>
    </w:p>
    <w:p w:rsidR="00000000" w:rsidRPr="00B42B30" w:rsidP="00B42B30">
      <w:pPr>
        <w:pStyle w:val="AllowPageBreak"/>
      </w:pPr>
    </w:p>
    <w:p w:rsidR="00000000" w:rsidRPr="00B42B30" w:rsidP="00B42B30">
      <w:pPr>
        <w:pStyle w:val="Heading1"/>
      </w:pPr>
      <w:bookmarkStart w:id="15" w:name="O_998304"/>
      <w:bookmarkEnd w:id="15"/>
      <w:r w:rsidRPr="00B42B30">
        <w:t>Links</w:t>
      </w:r>
    </w:p>
    <w:p w:rsidR="00000000" w:rsidRPr="00B42B30" w:rsidP="0000092A">
      <w:pPr>
        <w:pStyle w:val="BodyText"/>
      </w:pPr>
      <w:r w:rsidRPr="00B42B30">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A2097B">
        <w:rPr>
          <w:rStyle w:val="Hyperlink"/>
        </w:rPr>
        <w:t>https://vetnet.gov.au/Pages/TrainingDocs.aspx?q=ce216c9c-04d5-4b3b-9bcf-4e81d0950371</w:t>
      </w:r>
      <w:r>
        <w:fldChar w:fldCharType="end"/>
      </w:r>
    </w:p>
    <w:p w:rsidR="00000000" w:rsidRPr="00B42B30" w:rsidP="00B42B30"/>
    <w:sectPr w:rsidSect="00B42B3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B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B30" w:rsidRPr="0000092A" w:rsidP="0000092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B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92A" w:rsidP="00B42B3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0092A" w:rsidP="00B42B3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00092A" w:rsidP="00B42B3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B30" w:rsidP="00B42B30">
    <w:pPr>
      <w:pStyle w:val="Footer"/>
      <w:framePr w:wrap="around"/>
    </w:pPr>
    <w:r>
      <w:fldChar w:fldCharType="begin"/>
    </w:r>
    <w:r>
      <w:instrText xml:space="preserve"> DOCPROPERTY  Subject  \* MERGEFORMAT </w:instrText>
    </w:r>
    <w:r>
      <w:fldChar w:fldCharType="separate"/>
    </w:r>
    <w:r w:rsidR="0000092A">
      <w:t>Approved</w:t>
    </w:r>
    <w:r w:rsidR="0000092A">
      <w:fldChar w:fldCharType="end"/>
    </w:r>
    <w:r>
      <w:tab/>
      <w:t xml:space="preserve">Page </w:t>
    </w:r>
    <w:r>
      <w:fldChar w:fldCharType="begin"/>
    </w:r>
    <w:r>
      <w:instrText xml:space="preserve"> PAGE  \* Arabic  \* MERGEFORMAT </w:instrText>
    </w:r>
    <w:r>
      <w:fldChar w:fldCharType="separate"/>
    </w:r>
    <w:r w:rsidR="0000092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0092A">
      <w:rPr>
        <w:noProof/>
      </w:rPr>
      <w:t>5</w:t>
    </w:r>
    <w:r>
      <w:rPr>
        <w:noProof/>
      </w:rPr>
      <w:fldChar w:fldCharType="end"/>
    </w:r>
  </w:p>
  <w:p w:rsidR="00B42B30" w:rsidP="00B42B30">
    <w:pPr>
      <w:pStyle w:val="Footer"/>
      <w:framePr w:wrap="around"/>
    </w:pPr>
    <w:r>
      <w:t xml:space="preserve">© Commonwealth of Australia, </w:t>
    </w:r>
    <w:r>
      <w:fldChar w:fldCharType="begin"/>
    </w:r>
    <w:r>
      <w:instrText xml:space="preserve"> DATE  \@ "yyyy"  \* MERGEFORMAT </w:instrText>
    </w:r>
    <w:r>
      <w:fldChar w:fldCharType="separate"/>
    </w:r>
    <w:r w:rsidR="0000092A">
      <w:rPr>
        <w:noProof/>
      </w:rPr>
      <w:t>2025</w:t>
    </w:r>
    <w:r>
      <w:fldChar w:fldCharType="end"/>
    </w:r>
    <w:r>
      <w:tab/>
    </w:r>
    <w:r>
      <w:fldChar w:fldCharType="begin"/>
    </w:r>
    <w:r>
      <w:instrText xml:space="preserve"> DOCPROPERTY  Author  \* MERGEFORMAT </w:instrText>
    </w:r>
    <w:r>
      <w:fldChar w:fldCharType="separate"/>
    </w:r>
    <w:r w:rsidR="0000092A">
      <w:t>Manufacturing Industry Skills Alliance</w:t>
    </w:r>
    <w:r w:rsidR="0000092A">
      <w:fldChar w:fldCharType="end"/>
    </w:r>
  </w:p>
  <w:p w:rsidR="00B42B30" w:rsidP="00B42B3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B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92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42B30" w:rsidRPr="0000092A" w:rsidP="0000092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B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92A" w:rsidRPr="002D2AF8" w:rsidP="00B42B30">
    <w:pPr>
      <w:pStyle w:val="Header"/>
      <w:framePr w:wrap="around"/>
    </w:pPr>
    <w:r>
      <w:fldChar w:fldCharType="begin"/>
    </w:r>
    <w:r>
      <w:instrText xml:space="preserve"> TITLE   \* MERGEFORMAT </w:instrText>
    </w:r>
    <w:r>
      <w:fldChar w:fldCharType="separate"/>
    </w:r>
    <w:r>
      <w:t>MEA285 Repair or overhaul aircraft radio frequency communication and navigation system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0092A" w:rsidP="00B42B3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B30" w:rsidRPr="002D2AF8" w:rsidP="00B42B30">
    <w:pPr>
      <w:pStyle w:val="Header"/>
      <w:framePr w:wrap="around"/>
    </w:pPr>
    <w:r>
      <w:fldChar w:fldCharType="begin"/>
    </w:r>
    <w:r>
      <w:instrText xml:space="preserve"> TITLE   \* MERGEFORMAT </w:instrText>
    </w:r>
    <w:r>
      <w:fldChar w:fldCharType="separate"/>
    </w:r>
    <w:r w:rsidR="0000092A">
      <w:t>MEA285 Repair or overhaul aircraft radio frequency communication and navigation system components</w:t>
    </w:r>
    <w:r w:rsidR="0000092A">
      <w:fldChar w:fldCharType="end"/>
    </w:r>
    <w:r>
      <w:tab/>
      <w:t xml:space="preserve">Date this document was generated: </w:t>
    </w:r>
    <w:r>
      <w:fldChar w:fldCharType="begin"/>
    </w:r>
    <w:r>
      <w:instrText xml:space="preserve"> CREATEDATE  \@ "d MMMM yyyy"  \* MERGEFORMAT </w:instrText>
    </w:r>
    <w:r>
      <w:fldChar w:fldCharType="separate"/>
    </w:r>
    <w:r w:rsidR="0000092A">
      <w:rPr>
        <w:noProof/>
      </w:rPr>
      <w:t>2 March 2025</w:t>
    </w:r>
    <w:r>
      <w:fldChar w:fldCharType="end"/>
    </w:r>
  </w:p>
  <w:p w:rsidR="00B42B30" w:rsidP="00B42B3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6CE7C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A880C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A2245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2B3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42B30"/>
    <w:pPr>
      <w:spacing w:before="360" w:after="60"/>
      <w:outlineLvl w:val="0"/>
    </w:pPr>
    <w:rPr>
      <w:sz w:val="32"/>
    </w:rPr>
  </w:style>
  <w:style w:type="paragraph" w:styleId="Heading2">
    <w:name w:val="heading 2"/>
    <w:basedOn w:val="HeadingBase"/>
    <w:next w:val="BodyText"/>
    <w:link w:val="Heading2Char"/>
    <w:qFormat/>
    <w:rsid w:val="00B42B30"/>
    <w:pPr>
      <w:keepLines/>
      <w:spacing w:before="240" w:after="120"/>
      <w:outlineLvl w:val="1"/>
    </w:pPr>
    <w:rPr>
      <w:sz w:val="28"/>
      <w:szCs w:val="40"/>
    </w:rPr>
  </w:style>
  <w:style w:type="paragraph" w:styleId="Heading3">
    <w:name w:val="heading 3"/>
    <w:basedOn w:val="HeadingBase"/>
    <w:next w:val="BodyText"/>
    <w:link w:val="Heading3Char"/>
    <w:qFormat/>
    <w:rsid w:val="00B42B30"/>
    <w:pPr>
      <w:spacing w:before="180" w:after="120"/>
      <w:outlineLvl w:val="2"/>
    </w:pPr>
    <w:rPr>
      <w:spacing w:val="-10"/>
      <w:kern w:val="32"/>
    </w:rPr>
  </w:style>
  <w:style w:type="paragraph" w:styleId="Heading4">
    <w:name w:val="heading 4"/>
    <w:basedOn w:val="HeadingBase"/>
    <w:next w:val="BodyText"/>
    <w:link w:val="Heading4Char"/>
    <w:qFormat/>
    <w:rsid w:val="00B42B30"/>
    <w:pPr>
      <w:spacing w:before="160" w:after="120"/>
      <w:outlineLvl w:val="3"/>
    </w:pPr>
    <w:rPr>
      <w:sz w:val="22"/>
    </w:rPr>
  </w:style>
  <w:style w:type="paragraph" w:styleId="Heading5">
    <w:name w:val="heading 5"/>
    <w:basedOn w:val="HeadingBase"/>
    <w:next w:val="Normal"/>
    <w:link w:val="Heading5Char"/>
    <w:qFormat/>
    <w:rsid w:val="00B42B30"/>
    <w:pPr>
      <w:spacing w:before="80"/>
      <w:outlineLvl w:val="4"/>
    </w:pPr>
    <w:rPr>
      <w:color w:val="918585"/>
      <w:sz w:val="20"/>
    </w:rPr>
  </w:style>
  <w:style w:type="paragraph" w:styleId="Heading6">
    <w:name w:val="heading 6"/>
    <w:basedOn w:val="HeadingBase"/>
    <w:next w:val="Normal"/>
    <w:link w:val="Heading6Char"/>
    <w:qFormat/>
    <w:rsid w:val="00B42B30"/>
    <w:pPr>
      <w:spacing w:before="60"/>
      <w:outlineLvl w:val="5"/>
    </w:pPr>
    <w:rPr>
      <w:color w:val="918585"/>
      <w:sz w:val="20"/>
    </w:rPr>
  </w:style>
  <w:style w:type="paragraph" w:styleId="Heading7">
    <w:name w:val="heading 7"/>
    <w:basedOn w:val="Normal"/>
    <w:next w:val="Normal"/>
    <w:link w:val="Heading7Char"/>
    <w:qFormat/>
    <w:rsid w:val="00B42B30"/>
    <w:pPr>
      <w:ind w:left="720"/>
      <w:outlineLvl w:val="6"/>
    </w:pPr>
    <w:rPr>
      <w:i/>
    </w:rPr>
  </w:style>
  <w:style w:type="paragraph" w:styleId="Heading8">
    <w:name w:val="heading 8"/>
    <w:basedOn w:val="Normal"/>
    <w:next w:val="Normal"/>
    <w:link w:val="Heading8Char"/>
    <w:qFormat/>
    <w:rsid w:val="00B42B30"/>
    <w:pPr>
      <w:ind w:left="720"/>
      <w:outlineLvl w:val="7"/>
    </w:pPr>
    <w:rPr>
      <w:i/>
    </w:rPr>
  </w:style>
  <w:style w:type="paragraph" w:styleId="Heading9">
    <w:name w:val="heading 9"/>
    <w:basedOn w:val="Normal"/>
    <w:next w:val="Normal"/>
    <w:link w:val="Heading9Char"/>
    <w:qFormat/>
    <w:rsid w:val="00B42B30"/>
    <w:pPr>
      <w:ind w:left="720"/>
      <w:outlineLvl w:val="8"/>
    </w:pPr>
    <w:rPr>
      <w:i/>
    </w:rPr>
  </w:style>
  <w:style w:type="character" w:default="1" w:styleId="DefaultParagraphFont">
    <w:name w:val="Default Paragraph Font"/>
    <w:uiPriority w:val="1"/>
    <w:unhideWhenUsed/>
    <w:rsid w:val="00B42B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2B30"/>
  </w:style>
  <w:style w:type="character" w:customStyle="1" w:styleId="Heading1Char">
    <w:name w:val="Heading 1 Char"/>
    <w:basedOn w:val="DefaultParagraphFont"/>
    <w:link w:val="Heading1"/>
    <w:rsid w:val="00B42B30"/>
    <w:rPr>
      <w:rFonts w:ascii="Times New Roman" w:eastAsia="Times New Roman" w:hAnsi="Times New Roman" w:cs="Times New Roman"/>
      <w:b/>
      <w:sz w:val="32"/>
      <w:szCs w:val="20"/>
      <w:lang w:eastAsia="en-US"/>
    </w:rPr>
  </w:style>
  <w:style w:type="paragraph" w:styleId="BodyText">
    <w:name w:val="Body Text"/>
    <w:basedOn w:val="Normal"/>
    <w:link w:val="BodyTextChar"/>
    <w:rsid w:val="00B42B3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42B30"/>
    <w:rPr>
      <w:rFonts w:ascii="Times New Roman" w:eastAsia="Times New Roman" w:hAnsi="Times New Roman" w:cs="Times New Roman"/>
      <w:sz w:val="24"/>
      <w:lang w:eastAsia="en-US"/>
    </w:rPr>
  </w:style>
  <w:style w:type="paragraph" w:styleId="ListBullet">
    <w:name w:val="List Bullet"/>
    <w:basedOn w:val="List"/>
    <w:rsid w:val="00B42B30"/>
    <w:pPr>
      <w:numPr>
        <w:numId w:val="12"/>
      </w:numPr>
      <w:tabs>
        <w:tab w:val="clear" w:pos="340"/>
      </w:tabs>
      <w:spacing w:before="40" w:after="40"/>
    </w:pPr>
  </w:style>
  <w:style w:type="character" w:customStyle="1" w:styleId="SpecialBold">
    <w:name w:val="Special Bold"/>
    <w:basedOn w:val="DefaultParagraphFont"/>
    <w:rsid w:val="00B42B30"/>
    <w:rPr>
      <w:b/>
      <w:spacing w:val="0"/>
    </w:rPr>
  </w:style>
  <w:style w:type="paragraph" w:styleId="ListBullet2">
    <w:name w:val="List Bullet 2"/>
    <w:basedOn w:val="List2"/>
    <w:rsid w:val="00B42B30"/>
    <w:pPr>
      <w:numPr>
        <w:numId w:val="13"/>
      </w:numPr>
      <w:tabs>
        <w:tab w:val="clear" w:pos="680"/>
      </w:tabs>
    </w:pPr>
  </w:style>
  <w:style w:type="paragraph" w:customStyle="1" w:styleId="SuperHeading">
    <w:name w:val="SuperHeading"/>
    <w:basedOn w:val="Normal"/>
    <w:rsid w:val="00B42B30"/>
    <w:pPr>
      <w:spacing w:before="240" w:after="120"/>
      <w:outlineLvl w:val="0"/>
    </w:pPr>
    <w:rPr>
      <w:rFonts w:ascii="Times New Roman" w:hAnsi="Times New Roman"/>
      <w:b/>
      <w:sz w:val="32"/>
    </w:rPr>
  </w:style>
  <w:style w:type="paragraph" w:customStyle="1" w:styleId="AllowPageBreak">
    <w:name w:val="AllowPageBreak"/>
    <w:rsid w:val="00B42B3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42B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2B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42B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42B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2B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2B3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42B3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42B30"/>
    <w:rPr>
      <w:rFonts w:ascii="Courier New" w:eastAsia="Times New Roman" w:hAnsi="Courier New" w:cs="Times New Roman"/>
      <w:i/>
      <w:szCs w:val="20"/>
      <w:lang w:eastAsia="en-US"/>
    </w:rPr>
  </w:style>
  <w:style w:type="paragraph" w:customStyle="1" w:styleId="HeadingBase">
    <w:name w:val="Heading Base"/>
    <w:rsid w:val="00B42B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2B30"/>
    <w:pPr>
      <w:tabs>
        <w:tab w:val="right" w:leader="dot" w:pos="9072"/>
      </w:tabs>
      <w:ind w:left="567"/>
    </w:pPr>
    <w:rPr>
      <w:szCs w:val="22"/>
    </w:rPr>
  </w:style>
  <w:style w:type="paragraph" w:customStyle="1" w:styleId="TOCBase">
    <w:name w:val="TOC Base"/>
    <w:rsid w:val="00B42B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2B30"/>
    <w:pPr>
      <w:tabs>
        <w:tab w:val="right" w:leader="dot" w:pos="9072"/>
      </w:tabs>
      <w:spacing w:before="40" w:after="40"/>
      <w:ind w:left="284"/>
    </w:pPr>
    <w:rPr>
      <w:rFonts w:ascii="Times New Roman" w:hAnsi="Times New Roman"/>
    </w:rPr>
  </w:style>
  <w:style w:type="paragraph" w:styleId="TOC1">
    <w:name w:val="toc 1"/>
    <w:basedOn w:val="TOCBase"/>
    <w:next w:val="Normal"/>
    <w:rsid w:val="00B42B3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42B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2B30"/>
    <w:rPr>
      <w:rFonts w:ascii="Times New Roman" w:eastAsia="Times New Roman" w:hAnsi="Times New Roman" w:cs="Times New Roman"/>
      <w:sz w:val="16"/>
      <w:lang w:eastAsia="en-US"/>
    </w:rPr>
  </w:style>
  <w:style w:type="paragraph" w:styleId="Title">
    <w:name w:val="Title"/>
    <w:basedOn w:val="HeadingBase"/>
    <w:link w:val="TitleChar"/>
    <w:qFormat/>
    <w:rsid w:val="00B42B30"/>
    <w:pPr>
      <w:spacing w:before="5040"/>
      <w:jc w:val="center"/>
    </w:pPr>
    <w:rPr>
      <w:sz w:val="48"/>
      <w:szCs w:val="72"/>
      <w:lang w:val="en-US"/>
    </w:rPr>
  </w:style>
  <w:style w:type="character" w:customStyle="1" w:styleId="TitleChar">
    <w:name w:val="Title Char"/>
    <w:basedOn w:val="DefaultParagraphFont"/>
    <w:link w:val="Title"/>
    <w:rsid w:val="00B42B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2B30"/>
    <w:pPr>
      <w:tabs>
        <w:tab w:val="left" w:pos="3600"/>
        <w:tab w:val="left" w:pos="3958"/>
      </w:tabs>
    </w:pPr>
  </w:style>
  <w:style w:type="paragraph" w:styleId="List">
    <w:name w:val="List"/>
    <w:basedOn w:val="BodyText"/>
    <w:next w:val="BodyText"/>
    <w:rsid w:val="00B42B30"/>
    <w:pPr>
      <w:tabs>
        <w:tab w:val="left" w:pos="340"/>
      </w:tabs>
      <w:spacing w:before="60" w:after="60"/>
      <w:ind w:left="340" w:hanging="340"/>
    </w:pPr>
  </w:style>
  <w:style w:type="paragraph" w:customStyle="1" w:styleId="Note">
    <w:name w:val="Note"/>
    <w:basedOn w:val="BodyText"/>
    <w:rsid w:val="00B42B3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42B30"/>
    <w:pPr>
      <w:framePr w:wrap="auto" w:hAnchor="text" w:y="6049"/>
    </w:pPr>
    <w:rPr>
      <w:color w:val="000000"/>
      <w:sz w:val="40"/>
    </w:rPr>
  </w:style>
  <w:style w:type="paragraph" w:customStyle="1" w:styleId="TOCTitle">
    <w:name w:val="TOCTitle"/>
    <w:basedOn w:val="Heading1"/>
    <w:rsid w:val="00B42B30"/>
    <w:pPr>
      <w:spacing w:after="240"/>
      <w:jc w:val="center"/>
      <w:outlineLvl w:val="9"/>
    </w:pPr>
    <w:rPr>
      <w:caps/>
    </w:rPr>
  </w:style>
  <w:style w:type="paragraph" w:customStyle="1" w:styleId="Version">
    <w:name w:val="Version"/>
    <w:rsid w:val="00B42B3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42B30"/>
    <w:pPr>
      <w:keepNext w:val="0"/>
      <w:tabs>
        <w:tab w:val="right" w:pos="4176"/>
      </w:tabs>
      <w:ind w:left="198" w:hanging="198"/>
    </w:pPr>
    <w:rPr>
      <w:rFonts w:ascii="Garamond" w:hAnsi="Garamond"/>
    </w:rPr>
  </w:style>
  <w:style w:type="paragraph" w:styleId="IndexHeading">
    <w:name w:val="index heading"/>
    <w:basedOn w:val="Normal"/>
    <w:next w:val="Index1"/>
    <w:semiHidden/>
    <w:rsid w:val="00B42B30"/>
    <w:pPr>
      <w:spacing w:before="120" w:after="120"/>
    </w:pPr>
    <w:rPr>
      <w:rFonts w:ascii="Arial" w:hAnsi="Arial"/>
      <w:b/>
      <w:color w:val="918585"/>
      <w:sz w:val="24"/>
    </w:rPr>
  </w:style>
  <w:style w:type="paragraph" w:styleId="Header">
    <w:name w:val="header"/>
    <w:basedOn w:val="Normal"/>
    <w:link w:val="HeaderChar"/>
    <w:rsid w:val="00B42B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2B30"/>
    <w:rPr>
      <w:rFonts w:ascii="Times New Roman" w:eastAsia="Times New Roman" w:hAnsi="Times New Roman" w:cs="Times New Roman"/>
      <w:sz w:val="16"/>
      <w:szCs w:val="20"/>
      <w:lang w:val="en-GB" w:eastAsia="en-US"/>
    </w:rPr>
  </w:style>
  <w:style w:type="paragraph" w:customStyle="1" w:styleId="Chapter">
    <w:name w:val="Chapter"/>
    <w:basedOn w:val="Normal"/>
    <w:rsid w:val="00B42B30"/>
    <w:pPr>
      <w:spacing w:before="240"/>
    </w:pPr>
    <w:rPr>
      <w:rFonts w:ascii="Times New Roman" w:hAnsi="Times New Roman"/>
      <w:smallCaps/>
      <w:spacing w:val="80"/>
      <w:sz w:val="28"/>
    </w:rPr>
  </w:style>
  <w:style w:type="paragraph" w:customStyle="1" w:styleId="InChapter">
    <w:name w:val="InChapter"/>
    <w:basedOn w:val="Heading3"/>
    <w:rsid w:val="00B42B30"/>
    <w:pPr>
      <w:spacing w:after="240"/>
      <w:outlineLvl w:val="9"/>
    </w:pPr>
    <w:rPr>
      <w:noProof/>
    </w:rPr>
  </w:style>
  <w:style w:type="paragraph" w:styleId="Index2">
    <w:name w:val="index 2"/>
    <w:basedOn w:val="Normal"/>
    <w:next w:val="Normal"/>
    <w:semiHidden/>
    <w:rsid w:val="00B42B30"/>
    <w:pPr>
      <w:tabs>
        <w:tab w:val="right" w:pos="4176"/>
      </w:tabs>
      <w:ind w:left="568" w:hanging="284"/>
    </w:pPr>
    <w:rPr>
      <w:rFonts w:ascii="Garamond" w:hAnsi="Garamond"/>
    </w:rPr>
  </w:style>
  <w:style w:type="paragraph" w:customStyle="1" w:styleId="Byline">
    <w:name w:val="Byline"/>
    <w:rsid w:val="00B42B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2B30"/>
    <w:pPr>
      <w:tabs>
        <w:tab w:val="clear" w:pos="3600"/>
        <w:tab w:val="clear" w:pos="3958"/>
      </w:tabs>
      <w:jc w:val="right"/>
    </w:pPr>
  </w:style>
  <w:style w:type="character" w:styleId="Emphasis">
    <w:name w:val="Emphasis"/>
    <w:basedOn w:val="DefaultParagraphFont"/>
    <w:qFormat/>
    <w:rsid w:val="00B42B30"/>
    <w:rPr>
      <w:i/>
    </w:rPr>
  </w:style>
  <w:style w:type="paragraph" w:styleId="Caption">
    <w:name w:val="caption"/>
    <w:basedOn w:val="BodyText"/>
    <w:next w:val="Normal"/>
    <w:qFormat/>
    <w:rsid w:val="00B42B30"/>
    <w:pPr>
      <w:framePr w:w="2268" w:hSpace="181" w:vSpace="181" w:wrap="around" w:vAnchor="text" w:hAnchor="page" w:x="1135" w:y="285" w:anchorLock="1"/>
    </w:pPr>
    <w:rPr>
      <w:i/>
    </w:rPr>
  </w:style>
  <w:style w:type="paragraph" w:customStyle="1" w:styleId="MiniTOCTitle">
    <w:name w:val="MiniTOCTitle"/>
    <w:basedOn w:val="Heading4"/>
    <w:rsid w:val="00B42B30"/>
    <w:pPr>
      <w:spacing w:before="240"/>
      <w:outlineLvl w:val="9"/>
    </w:pPr>
    <w:rPr>
      <w:noProof/>
      <w:sz w:val="24"/>
    </w:rPr>
  </w:style>
  <w:style w:type="paragraph" w:customStyle="1" w:styleId="MiniTOCItem">
    <w:name w:val="MiniTOCItem"/>
    <w:basedOn w:val="ListBullet"/>
    <w:rsid w:val="00B42B30"/>
    <w:pPr>
      <w:numPr>
        <w:numId w:val="0"/>
      </w:numPr>
      <w:tabs>
        <w:tab w:val="right" w:leader="dot" w:pos="6521"/>
      </w:tabs>
      <w:spacing w:before="0" w:after="0"/>
    </w:pPr>
  </w:style>
  <w:style w:type="paragraph" w:customStyle="1" w:styleId="TOFTitle">
    <w:name w:val="TOFTitle"/>
    <w:basedOn w:val="TOCTitle"/>
    <w:rsid w:val="00B42B30"/>
  </w:style>
  <w:style w:type="paragraph" w:styleId="TableofFigures">
    <w:name w:val="table of figures"/>
    <w:basedOn w:val="Normal"/>
    <w:next w:val="Normal"/>
    <w:semiHidden/>
    <w:rsid w:val="00B42B30"/>
    <w:pPr>
      <w:tabs>
        <w:tab w:val="right" w:leader="dot" w:pos="9072"/>
      </w:tabs>
      <w:ind w:left="970" w:hanging="403"/>
    </w:pPr>
    <w:rPr>
      <w:rFonts w:ascii="Times New Roman" w:hAnsi="Times New Roman"/>
      <w:b/>
    </w:rPr>
  </w:style>
  <w:style w:type="paragraph" w:styleId="ListNumber">
    <w:name w:val="List Number"/>
    <w:basedOn w:val="List"/>
    <w:rsid w:val="00B42B30"/>
    <w:pPr>
      <w:numPr>
        <w:numId w:val="15"/>
      </w:numPr>
      <w:tabs>
        <w:tab w:val="clear" w:pos="340"/>
      </w:tabs>
    </w:pPr>
  </w:style>
  <w:style w:type="character" w:customStyle="1" w:styleId="WingdingSymbols">
    <w:name w:val="Wingding Symbols"/>
    <w:rsid w:val="00B42B30"/>
    <w:rPr>
      <w:rFonts w:ascii="Wingdings" w:hAnsi="Wingdings"/>
    </w:rPr>
  </w:style>
  <w:style w:type="paragraph" w:customStyle="1" w:styleId="TableHeading">
    <w:name w:val="Table Heading"/>
    <w:basedOn w:val="HeadingBase"/>
    <w:rsid w:val="00B42B30"/>
    <w:pPr>
      <w:keepLines/>
      <w:pBdr>
        <w:bottom w:val="single" w:sz="6" w:space="1" w:color="918585"/>
      </w:pBdr>
      <w:spacing w:before="240"/>
    </w:pPr>
  </w:style>
  <w:style w:type="character" w:customStyle="1" w:styleId="HotSpot">
    <w:name w:val="HotSpot"/>
    <w:rsid w:val="00B42B30"/>
    <w:rPr>
      <w:color w:val="0033CC"/>
      <w:u w:val="none"/>
    </w:rPr>
  </w:style>
  <w:style w:type="paragraph" w:customStyle="1" w:styleId="BodyTextRight">
    <w:name w:val="Body Text Right"/>
    <w:basedOn w:val="BodyText"/>
    <w:rsid w:val="00B42B30"/>
    <w:pPr>
      <w:spacing w:before="0" w:after="0"/>
      <w:jc w:val="right"/>
    </w:pPr>
  </w:style>
  <w:style w:type="paragraph" w:styleId="Index3">
    <w:name w:val="index 3"/>
    <w:basedOn w:val="ListNumber2"/>
    <w:next w:val="Normal"/>
    <w:semiHidden/>
    <w:rsid w:val="00B42B30"/>
    <w:pPr>
      <w:numPr>
        <w:numId w:val="0"/>
      </w:numPr>
      <w:tabs>
        <w:tab w:val="right" w:leader="dot" w:pos="4176"/>
      </w:tabs>
    </w:pPr>
  </w:style>
  <w:style w:type="paragraph" w:styleId="ListNumber2">
    <w:name w:val="List Number 2"/>
    <w:basedOn w:val="List2"/>
    <w:rsid w:val="00B42B30"/>
    <w:pPr>
      <w:numPr>
        <w:numId w:val="10"/>
      </w:numPr>
      <w:tabs>
        <w:tab w:val="clear" w:pos="1060"/>
      </w:tabs>
    </w:pPr>
  </w:style>
  <w:style w:type="paragraph" w:customStyle="1" w:styleId="MarginNote">
    <w:name w:val="Margin Note"/>
    <w:basedOn w:val="BodyText"/>
    <w:rsid w:val="00B42B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2B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2B3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42B30"/>
    <w:rPr>
      <w:sz w:val="32"/>
    </w:rPr>
  </w:style>
  <w:style w:type="paragraph" w:customStyle="1" w:styleId="HeadingProcedure">
    <w:name w:val="Heading Procedure"/>
    <w:basedOn w:val="HeadingBase"/>
    <w:next w:val="Normal"/>
    <w:rsid w:val="00B42B30"/>
    <w:pPr>
      <w:tabs>
        <w:tab w:val="left" w:pos="0"/>
      </w:tabs>
      <w:spacing w:before="120" w:after="60"/>
    </w:pPr>
    <w:rPr>
      <w:i/>
      <w:color w:val="918585"/>
      <w:sz w:val="22"/>
    </w:rPr>
  </w:style>
  <w:style w:type="paragraph" w:customStyle="1" w:styleId="TableBodyText">
    <w:name w:val="Table Body Text"/>
    <w:basedOn w:val="BodyText"/>
    <w:rsid w:val="00B42B30"/>
    <w:pPr>
      <w:spacing w:before="60" w:after="60"/>
    </w:pPr>
  </w:style>
  <w:style w:type="paragraph" w:styleId="ListContinue">
    <w:name w:val="List Continue"/>
    <w:basedOn w:val="List"/>
    <w:rsid w:val="00B42B30"/>
    <w:pPr>
      <w:ind w:firstLine="0"/>
    </w:pPr>
  </w:style>
  <w:style w:type="paragraph" w:customStyle="1" w:styleId="ListNote">
    <w:name w:val="List Note"/>
    <w:basedOn w:val="List"/>
    <w:rsid w:val="00B42B30"/>
    <w:pPr>
      <w:pBdr>
        <w:top w:val="single" w:sz="6" w:space="2" w:color="918585"/>
        <w:bottom w:val="single" w:sz="6" w:space="2" w:color="918585"/>
      </w:pBdr>
      <w:tabs>
        <w:tab w:val="left" w:pos="1021"/>
      </w:tabs>
      <w:ind w:firstLine="0"/>
    </w:pPr>
  </w:style>
  <w:style w:type="paragraph" w:customStyle="1" w:styleId="Warning">
    <w:name w:val="Warning"/>
    <w:basedOn w:val="BodyText"/>
    <w:rsid w:val="00B42B30"/>
    <w:pPr>
      <w:shd w:val="clear" w:color="auto" w:fill="D9D9D9"/>
      <w:tabs>
        <w:tab w:val="left" w:pos="992"/>
      </w:tabs>
      <w:ind w:left="119" w:right="119"/>
    </w:pPr>
    <w:rPr>
      <w:sz w:val="20"/>
    </w:rPr>
  </w:style>
  <w:style w:type="paragraph" w:customStyle="1" w:styleId="MarginIcons">
    <w:name w:val="Margin Icons"/>
    <w:basedOn w:val="BodyText"/>
    <w:rsid w:val="00B42B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2B30"/>
    <w:rPr>
      <w:rFonts w:ascii="Courier New" w:hAnsi="Courier New"/>
    </w:rPr>
  </w:style>
  <w:style w:type="paragraph" w:customStyle="1" w:styleId="NoteBullet">
    <w:name w:val="Note Bullet"/>
    <w:basedOn w:val="Note"/>
    <w:rsid w:val="00B42B30"/>
    <w:pPr>
      <w:tabs>
        <w:tab w:val="clear" w:pos="680"/>
      </w:tabs>
      <w:spacing w:before="60" w:after="60"/>
    </w:pPr>
  </w:style>
  <w:style w:type="paragraph" w:customStyle="1" w:styleId="SubHeading2">
    <w:name w:val="SubHeading2"/>
    <w:basedOn w:val="HeadingBase"/>
    <w:rsid w:val="00B42B30"/>
    <w:pPr>
      <w:spacing w:before="240" w:after="60"/>
    </w:pPr>
    <w:rPr>
      <w:sz w:val="20"/>
    </w:rPr>
  </w:style>
  <w:style w:type="paragraph" w:customStyle="1" w:styleId="SubHeading1">
    <w:name w:val="SubHeading1"/>
    <w:basedOn w:val="HeadingBase"/>
    <w:rsid w:val="00B42B30"/>
    <w:pPr>
      <w:spacing w:before="240" w:after="60"/>
    </w:pPr>
    <w:rPr>
      <w:color w:val="918585"/>
      <w:sz w:val="22"/>
    </w:rPr>
  </w:style>
  <w:style w:type="paragraph" w:customStyle="1" w:styleId="SideHeading">
    <w:name w:val="Side Heading"/>
    <w:basedOn w:val="HeadingBase"/>
    <w:rsid w:val="00B42B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2B30"/>
    <w:pPr>
      <w:tabs>
        <w:tab w:val="num" w:pos="360"/>
      </w:tabs>
    </w:pPr>
  </w:style>
  <w:style w:type="paragraph" w:styleId="PlainText">
    <w:name w:val="Plain Text"/>
    <w:basedOn w:val="Normal"/>
    <w:link w:val="PlainTextChar"/>
    <w:rsid w:val="00B42B30"/>
    <w:rPr>
      <w:sz w:val="20"/>
    </w:rPr>
  </w:style>
  <w:style w:type="character" w:customStyle="1" w:styleId="PlainTextChar">
    <w:name w:val="Plain Text Char"/>
    <w:basedOn w:val="DefaultParagraphFont"/>
    <w:link w:val="PlainText"/>
    <w:rsid w:val="00B42B30"/>
    <w:rPr>
      <w:rFonts w:ascii="Courier New" w:eastAsia="Times New Roman" w:hAnsi="Courier New" w:cs="Times New Roman"/>
      <w:sz w:val="20"/>
      <w:szCs w:val="20"/>
      <w:lang w:eastAsia="en-US"/>
    </w:rPr>
  </w:style>
  <w:style w:type="character" w:customStyle="1" w:styleId="MenuOption">
    <w:name w:val="Menu Option"/>
    <w:basedOn w:val="DefaultParagraphFont"/>
    <w:rsid w:val="00B42B30"/>
    <w:rPr>
      <w:b/>
      <w:smallCaps/>
    </w:rPr>
  </w:style>
  <w:style w:type="paragraph" w:customStyle="1" w:styleId="TableListNumber">
    <w:name w:val="Table List Number"/>
    <w:basedOn w:val="ListNumber"/>
    <w:rsid w:val="00B42B30"/>
    <w:pPr>
      <w:numPr>
        <w:numId w:val="0"/>
      </w:numPr>
    </w:pPr>
  </w:style>
  <w:style w:type="paragraph" w:styleId="TOC4">
    <w:name w:val="toc 4"/>
    <w:basedOn w:val="TOCBase"/>
    <w:next w:val="Normal"/>
    <w:semiHidden/>
    <w:rsid w:val="00B42B30"/>
    <w:pPr>
      <w:tabs>
        <w:tab w:val="right" w:leader="dot" w:pos="9071"/>
      </w:tabs>
      <w:ind w:left="1701"/>
    </w:pPr>
  </w:style>
  <w:style w:type="paragraph" w:customStyle="1" w:styleId="ListAlpha">
    <w:name w:val="List Alpha"/>
    <w:basedOn w:val="List"/>
    <w:rsid w:val="00B42B30"/>
    <w:pPr>
      <w:numPr>
        <w:numId w:val="9"/>
      </w:numPr>
    </w:pPr>
  </w:style>
  <w:style w:type="paragraph" w:customStyle="1" w:styleId="ListAlpha2">
    <w:name w:val="List Alpha 2"/>
    <w:basedOn w:val="List2"/>
    <w:rsid w:val="00B42B30"/>
    <w:pPr>
      <w:numPr>
        <w:numId w:val="8"/>
      </w:numPr>
    </w:pPr>
  </w:style>
  <w:style w:type="paragraph" w:styleId="List2">
    <w:name w:val="List 2"/>
    <w:basedOn w:val="BodyText"/>
    <w:rsid w:val="00B42B30"/>
    <w:pPr>
      <w:tabs>
        <w:tab w:val="left" w:pos="680"/>
      </w:tabs>
      <w:spacing w:before="60" w:after="60"/>
      <w:ind w:left="680" w:hanging="340"/>
    </w:pPr>
  </w:style>
  <w:style w:type="paragraph" w:styleId="List3">
    <w:name w:val="List 3"/>
    <w:basedOn w:val="BodyText"/>
    <w:rsid w:val="00B42B30"/>
    <w:pPr>
      <w:tabs>
        <w:tab w:val="left" w:pos="1021"/>
      </w:tabs>
      <w:spacing w:before="60" w:after="60"/>
      <w:ind w:left="1020" w:hanging="340"/>
    </w:pPr>
  </w:style>
  <w:style w:type="paragraph" w:styleId="List4">
    <w:name w:val="List 4"/>
    <w:basedOn w:val="BodyText"/>
    <w:rsid w:val="00B42B30"/>
    <w:pPr>
      <w:tabs>
        <w:tab w:val="left" w:pos="1361"/>
      </w:tabs>
      <w:spacing w:before="60" w:after="60"/>
      <w:ind w:left="1361" w:hanging="340"/>
    </w:pPr>
  </w:style>
  <w:style w:type="paragraph" w:styleId="List5">
    <w:name w:val="List 5"/>
    <w:basedOn w:val="BodyText"/>
    <w:rsid w:val="00B42B30"/>
    <w:pPr>
      <w:tabs>
        <w:tab w:val="left" w:pos="1701"/>
      </w:tabs>
      <w:spacing w:before="60" w:after="60"/>
      <w:ind w:left="1701" w:hanging="340"/>
    </w:pPr>
  </w:style>
  <w:style w:type="paragraph" w:styleId="ListBullet3">
    <w:name w:val="List Bullet 3"/>
    <w:basedOn w:val="List3"/>
    <w:rsid w:val="00B42B30"/>
    <w:pPr>
      <w:numPr>
        <w:numId w:val="14"/>
      </w:numPr>
      <w:tabs>
        <w:tab w:val="clear" w:pos="1021"/>
      </w:tabs>
      <w:ind w:left="1037" w:hanging="357"/>
    </w:pPr>
  </w:style>
  <w:style w:type="paragraph" w:styleId="ListBullet4">
    <w:name w:val="List Bullet 4"/>
    <w:basedOn w:val="List4"/>
    <w:rsid w:val="00B42B30"/>
    <w:pPr>
      <w:numPr>
        <w:numId w:val="3"/>
      </w:numPr>
      <w:tabs>
        <w:tab w:val="clear" w:pos="1361"/>
      </w:tabs>
    </w:pPr>
  </w:style>
  <w:style w:type="paragraph" w:styleId="ListBullet5">
    <w:name w:val="List Bullet 5"/>
    <w:basedOn w:val="List5"/>
    <w:rsid w:val="00B42B30"/>
    <w:pPr>
      <w:numPr>
        <w:numId w:val="4"/>
      </w:numPr>
    </w:pPr>
  </w:style>
  <w:style w:type="paragraph" w:styleId="ListContinue2">
    <w:name w:val="List Continue 2"/>
    <w:basedOn w:val="List2"/>
    <w:rsid w:val="00B42B30"/>
    <w:pPr>
      <w:ind w:firstLine="0"/>
    </w:pPr>
  </w:style>
  <w:style w:type="paragraph" w:styleId="ListContinue3">
    <w:name w:val="List Continue 3"/>
    <w:basedOn w:val="List3"/>
    <w:rsid w:val="00B42B30"/>
    <w:pPr>
      <w:ind w:left="1021" w:firstLine="0"/>
    </w:pPr>
  </w:style>
  <w:style w:type="paragraph" w:styleId="ListContinue4">
    <w:name w:val="List Continue 4"/>
    <w:basedOn w:val="List4"/>
    <w:rsid w:val="00B42B30"/>
    <w:pPr>
      <w:ind w:firstLine="0"/>
    </w:pPr>
  </w:style>
  <w:style w:type="paragraph" w:styleId="ListContinue5">
    <w:name w:val="List Continue 5"/>
    <w:basedOn w:val="List5"/>
    <w:rsid w:val="00B42B30"/>
    <w:pPr>
      <w:ind w:firstLine="0"/>
    </w:pPr>
  </w:style>
  <w:style w:type="paragraph" w:styleId="ListNumber3">
    <w:name w:val="List Number 3"/>
    <w:basedOn w:val="List3"/>
    <w:rsid w:val="00B42B30"/>
    <w:pPr>
      <w:numPr>
        <w:numId w:val="5"/>
      </w:numPr>
    </w:pPr>
  </w:style>
  <w:style w:type="paragraph" w:styleId="ListNumber4">
    <w:name w:val="List Number 4"/>
    <w:basedOn w:val="List4"/>
    <w:rsid w:val="00B42B30"/>
    <w:pPr>
      <w:numPr>
        <w:numId w:val="6"/>
      </w:numPr>
    </w:pPr>
  </w:style>
  <w:style w:type="paragraph" w:styleId="ListNumber5">
    <w:name w:val="List Number 5"/>
    <w:basedOn w:val="List5"/>
    <w:rsid w:val="00B42B30"/>
    <w:pPr>
      <w:numPr>
        <w:numId w:val="7"/>
      </w:numPr>
    </w:pPr>
  </w:style>
  <w:style w:type="paragraph" w:styleId="BlockText">
    <w:name w:val="Block Text"/>
    <w:basedOn w:val="Normal"/>
    <w:rsid w:val="00B42B30"/>
    <w:pPr>
      <w:spacing w:after="120"/>
      <w:ind w:left="1440" w:right="1440"/>
    </w:pPr>
  </w:style>
  <w:style w:type="character" w:customStyle="1" w:styleId="Subscript">
    <w:name w:val="Subscript"/>
    <w:basedOn w:val="DefaultParagraphFont"/>
    <w:rsid w:val="00B42B30"/>
    <w:rPr>
      <w:sz w:val="16"/>
      <w:vertAlign w:val="subscript"/>
    </w:rPr>
  </w:style>
  <w:style w:type="character" w:customStyle="1" w:styleId="Superscript">
    <w:name w:val="Superscript"/>
    <w:basedOn w:val="DefaultParagraphFont"/>
    <w:rsid w:val="00B42B30"/>
    <w:rPr>
      <w:sz w:val="16"/>
      <w:vertAlign w:val="superscript"/>
    </w:rPr>
  </w:style>
  <w:style w:type="character" w:customStyle="1" w:styleId="Symbols">
    <w:name w:val="Symbols"/>
    <w:basedOn w:val="DefaultParagraphFont"/>
    <w:rsid w:val="00B42B30"/>
    <w:rPr>
      <w:rFonts w:ascii="Symbol" w:hAnsi="Symbol"/>
    </w:rPr>
  </w:style>
  <w:style w:type="character" w:customStyle="1" w:styleId="MenuOptions">
    <w:name w:val="Menu Options"/>
    <w:basedOn w:val="DefaultParagraphFont"/>
    <w:rsid w:val="00B42B30"/>
    <w:rPr>
      <w:rFonts w:ascii="Arial Narrow" w:hAnsi="Arial Narrow"/>
      <w:smallCaps/>
    </w:rPr>
  </w:style>
  <w:style w:type="character" w:customStyle="1" w:styleId="Buttons">
    <w:name w:val="Buttons"/>
    <w:basedOn w:val="DefaultParagraphFont"/>
    <w:rsid w:val="00B42B30"/>
    <w:rPr>
      <w:b/>
    </w:rPr>
  </w:style>
  <w:style w:type="character" w:customStyle="1" w:styleId="Underlined">
    <w:name w:val="Underlined"/>
    <w:basedOn w:val="DefaultParagraphFont"/>
    <w:rsid w:val="00B42B30"/>
    <w:rPr>
      <w:u w:val="single"/>
    </w:rPr>
  </w:style>
  <w:style w:type="paragraph" w:customStyle="1" w:styleId="TableBodyTextRight">
    <w:name w:val="Table Body Text Right"/>
    <w:basedOn w:val="TableBodyText"/>
    <w:rsid w:val="00B42B30"/>
    <w:pPr>
      <w:widowControl w:val="0"/>
      <w:autoSpaceDE w:val="0"/>
      <w:autoSpaceDN w:val="0"/>
      <w:adjustRightInd w:val="0"/>
      <w:jc w:val="right"/>
    </w:pPr>
    <w:rPr>
      <w:rFonts w:cs="Arial"/>
      <w:szCs w:val="18"/>
    </w:rPr>
  </w:style>
  <w:style w:type="paragraph" w:customStyle="1" w:styleId="CopyrightText">
    <w:name w:val="Copyright Text"/>
    <w:basedOn w:val="BodyText"/>
    <w:rsid w:val="00B42B30"/>
    <w:rPr>
      <w:sz w:val="18"/>
    </w:rPr>
  </w:style>
  <w:style w:type="paragraph" w:customStyle="1" w:styleId="BodySmallRight">
    <w:name w:val="Body Small Right"/>
    <w:basedOn w:val="BodyTextRight"/>
    <w:rsid w:val="00B42B30"/>
    <w:rPr>
      <w:sz w:val="18"/>
      <w:szCs w:val="18"/>
    </w:rPr>
  </w:style>
  <w:style w:type="paragraph" w:customStyle="1" w:styleId="MarginEdition">
    <w:name w:val="Margin Edition"/>
    <w:basedOn w:val="MarginNote"/>
    <w:rsid w:val="00B42B30"/>
    <w:pPr>
      <w:spacing w:before="0" w:after="0"/>
    </w:pPr>
    <w:rPr>
      <w:rFonts w:ascii="Times New Roman" w:hAnsi="Times New Roman"/>
      <w:color w:val="999999"/>
    </w:rPr>
  </w:style>
  <w:style w:type="paragraph" w:customStyle="1" w:styleId="Spacer">
    <w:name w:val="Spacer"/>
    <w:basedOn w:val="Normal"/>
    <w:rsid w:val="00B42B30"/>
    <w:rPr>
      <w:sz w:val="2"/>
      <w:szCs w:val="2"/>
    </w:rPr>
  </w:style>
  <w:style w:type="character" w:customStyle="1" w:styleId="Small">
    <w:name w:val="Small"/>
    <w:basedOn w:val="DefaultParagraphFont"/>
    <w:rsid w:val="00B42B30"/>
    <w:rPr>
      <w:sz w:val="16"/>
    </w:rPr>
  </w:style>
  <w:style w:type="paragraph" w:customStyle="1" w:styleId="WideTable">
    <w:name w:val="Wide Table"/>
    <w:basedOn w:val="Normal"/>
    <w:rsid w:val="00B42B30"/>
    <w:pPr>
      <w:ind w:left="-1418"/>
    </w:pPr>
    <w:rPr>
      <w:sz w:val="2"/>
      <w:szCs w:val="2"/>
    </w:rPr>
  </w:style>
  <w:style w:type="character" w:styleId="PageNumber">
    <w:name w:val="page number"/>
    <w:basedOn w:val="DefaultParagraphFont"/>
    <w:rsid w:val="00B42B30"/>
  </w:style>
  <w:style w:type="paragraph" w:styleId="Quote">
    <w:name w:val="Quote"/>
    <w:basedOn w:val="Heading1"/>
    <w:link w:val="QuoteChar"/>
    <w:qFormat/>
    <w:rsid w:val="00B42B30"/>
    <w:rPr>
      <w:b w:val="0"/>
      <w:sz w:val="72"/>
      <w:szCs w:val="72"/>
      <w:lang w:val="en-NZ"/>
    </w:rPr>
  </w:style>
  <w:style w:type="character" w:customStyle="1" w:styleId="QuoteChar">
    <w:name w:val="Quote Char"/>
    <w:basedOn w:val="DefaultParagraphFont"/>
    <w:link w:val="Quote"/>
    <w:rsid w:val="00B42B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2B30"/>
    <w:pPr>
      <w:pageBreakBefore/>
    </w:pPr>
  </w:style>
  <w:style w:type="paragraph" w:customStyle="1" w:styleId="Border">
    <w:name w:val="Border"/>
    <w:basedOn w:val="Normal"/>
    <w:qFormat/>
    <w:rsid w:val="00B42B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2B30"/>
    <w:rPr>
      <w:b/>
      <w:bCs/>
      <w:i/>
      <w:iCs/>
      <w:color w:val="auto"/>
    </w:rPr>
  </w:style>
  <w:style w:type="paragraph" w:styleId="IntenseQuote">
    <w:name w:val="Intense Quote"/>
    <w:basedOn w:val="Normal"/>
    <w:next w:val="Normal"/>
    <w:link w:val="IntenseQuoteChar"/>
    <w:uiPriority w:val="30"/>
    <w:qFormat/>
    <w:rsid w:val="00B42B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2B3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42B30"/>
    <w:rPr>
      <w:smallCaps/>
      <w:color w:val="auto"/>
      <w:u w:val="single"/>
    </w:rPr>
  </w:style>
  <w:style w:type="character" w:styleId="IntenseReference">
    <w:name w:val="Intense Reference"/>
    <w:basedOn w:val="DefaultParagraphFont"/>
    <w:uiPriority w:val="32"/>
    <w:qFormat/>
    <w:rsid w:val="00B42B30"/>
    <w:rPr>
      <w:b/>
      <w:bCs/>
      <w:smallCaps/>
      <w:color w:val="auto"/>
      <w:spacing w:val="5"/>
      <w:u w:val="single"/>
    </w:rPr>
  </w:style>
  <w:style w:type="paragraph" w:customStyle="1" w:styleId="2ColumnHeading">
    <w:name w:val="2Column Heading"/>
    <w:basedOn w:val="BodyText"/>
    <w:qFormat/>
    <w:rsid w:val="00B42B30"/>
    <w:pPr>
      <w:spacing w:after="60"/>
      <w:ind w:left="-2268"/>
    </w:pPr>
    <w:rPr>
      <w:b/>
    </w:rPr>
  </w:style>
  <w:style w:type="paragraph" w:customStyle="1" w:styleId="Heading1TOC">
    <w:name w:val="Heading1 TOC"/>
    <w:basedOn w:val="Normal"/>
    <w:qFormat/>
    <w:rsid w:val="00B42B30"/>
    <w:pPr>
      <w:spacing w:before="240" w:after="120"/>
    </w:pPr>
    <w:rPr>
      <w:rFonts w:ascii="Times New Roman" w:hAnsi="Times New Roman"/>
      <w:b/>
      <w:sz w:val="32"/>
    </w:rPr>
  </w:style>
  <w:style w:type="paragraph" w:customStyle="1" w:styleId="Heading2TOC">
    <w:name w:val="Heading2 TOC"/>
    <w:basedOn w:val="Normal"/>
    <w:qFormat/>
    <w:rsid w:val="00B42B30"/>
    <w:pPr>
      <w:spacing w:before="240" w:after="60"/>
    </w:pPr>
    <w:rPr>
      <w:rFonts w:ascii="Times New Roman" w:hAnsi="Times New Roman"/>
      <w:b/>
      <w:sz w:val="28"/>
    </w:rPr>
  </w:style>
  <w:style w:type="character" w:customStyle="1" w:styleId="Underline">
    <w:name w:val="Underline"/>
    <w:basedOn w:val="DefaultParagraphFont"/>
    <w:qFormat/>
    <w:rsid w:val="00B42B30"/>
    <w:rPr>
      <w:u w:val="single"/>
    </w:rPr>
  </w:style>
  <w:style w:type="character" w:customStyle="1" w:styleId="BoldandItalics">
    <w:name w:val="Bold and Italics"/>
    <w:qFormat/>
    <w:rsid w:val="00B42B30"/>
    <w:rPr>
      <w:b/>
      <w:i/>
      <w:u w:val="none"/>
    </w:rPr>
  </w:style>
  <w:style w:type="paragraph" w:styleId="BalloonText">
    <w:name w:val="Balloon Text"/>
    <w:basedOn w:val="Normal"/>
    <w:link w:val="BalloonTextChar"/>
    <w:rsid w:val="00B42B30"/>
    <w:rPr>
      <w:rFonts w:ascii="Tahoma" w:hAnsi="Tahoma" w:cs="Tahoma"/>
      <w:sz w:val="16"/>
      <w:szCs w:val="16"/>
    </w:rPr>
  </w:style>
  <w:style w:type="character" w:customStyle="1" w:styleId="BalloonTextChar">
    <w:name w:val="Balloon Text Char"/>
    <w:basedOn w:val="DefaultParagraphFont"/>
    <w:link w:val="BalloonText"/>
    <w:rsid w:val="00B42B3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42B3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42B3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42B30"/>
    <w:rPr>
      <w:b/>
      <w:color w:val="660033"/>
      <w:spacing w:val="0"/>
    </w:rPr>
  </w:style>
  <w:style w:type="paragraph" w:customStyle="1" w:styleId="Nameditemlist">
    <w:name w:val="Named item list"/>
    <w:basedOn w:val="BodyText"/>
    <w:qFormat/>
    <w:rsid w:val="00B42B30"/>
    <w:pPr>
      <w:tabs>
        <w:tab w:val="left" w:pos="2835"/>
      </w:tabs>
      <w:ind w:left="2835" w:hanging="2835"/>
    </w:pPr>
  </w:style>
  <w:style w:type="paragraph" w:customStyle="1" w:styleId="BodyTextnopadding">
    <w:name w:val="Body Text no padding"/>
    <w:basedOn w:val="BodyText"/>
    <w:qFormat/>
    <w:rsid w:val="00B42B30"/>
    <w:pPr>
      <w:spacing w:before="0" w:after="0"/>
    </w:pPr>
  </w:style>
  <w:style w:type="paragraph" w:customStyle="1" w:styleId="BodyTextBold">
    <w:name w:val="Body Text Bold"/>
    <w:basedOn w:val="BodyText"/>
    <w:qFormat/>
    <w:rsid w:val="00B42B30"/>
    <w:rPr>
      <w:b/>
    </w:rPr>
  </w:style>
  <w:style w:type="character" w:styleId="Hyperlink">
    <w:name w:val="Hyperlink"/>
    <w:basedOn w:val="DefaultParagraphFont"/>
    <w:uiPriority w:val="99"/>
    <w:unhideWhenUsed/>
    <w:rsid w:val="0000092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1437</Words>
  <Characters>9634</Characters>
  <Application>Microsoft Office Word</Application>
  <DocSecurity>0</DocSecurity>
  <Lines>310</Lines>
  <Paragraphs>158</Paragraphs>
  <ScaleCrop>false</ScaleCrop>
  <Company>Author-it Software Corporation Ltd.</Company>
  <LinksUpToDate>false</LinksUpToDate>
  <CharactersWithSpaces>10913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MEA285 Repair or overhaul aircraft radio frequency communication and navigation system components</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2025-03-02T02:02:00Z</dcterms:created>
  <dcterms:modified xsi:type="dcterms:W3CDTF">2025-03-02T02:02:00Z</dcterms:modified>
</cp:coreProperties>
</file>