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63D" w:rsidP="0074463D">
      <w:pPr>
        <w:pStyle w:val="Title"/>
      </w:pPr>
      <w:r>
        <w:fldChar w:fldCharType="begin"/>
      </w:r>
      <w:r>
        <w:instrText xml:space="preserve"> TITLE   \* MERGEFORMAT </w:instrText>
      </w:r>
      <w:r>
        <w:fldChar w:fldCharType="separate"/>
      </w:r>
      <w:r>
        <w:t>MEA283 Repair or overhaul aircraft display, control and distribution system components</w:t>
      </w:r>
      <w:r>
        <w:fldChar w:fldCharType="end"/>
      </w:r>
    </w:p>
    <w:p w:rsidR="0074463D" w:rsidP="0074463D">
      <w:pPr>
        <w:pStyle w:val="Version"/>
        <w:sectPr w:rsidSect="001B3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080" w:rsidP="001B3080">
      <w:pPr>
        <w:pStyle w:val="SuperHeading"/>
      </w:pPr>
      <w:r w:rsidRPr="001B3080">
        <w:t>MEA283 Repair or overhaul aircraft display, control and distribution system components</w:t>
      </w:r>
    </w:p>
    <w:p w:rsidR="00000000" w:rsidRPr="001B3080" w:rsidP="001B3080">
      <w:pPr>
        <w:pStyle w:val="Heading1"/>
      </w:pPr>
      <w:bookmarkStart w:id="1" w:name="O_998266"/>
      <w:bookmarkEnd w:id="1"/>
      <w:r w:rsidRPr="001B3080">
        <w:t>Modification History</w:t>
      </w:r>
    </w:p>
    <w:p w:rsidR="00000000" w:rsidRPr="001B3080" w:rsidP="0074463D">
      <w:pPr>
        <w:pStyle w:val="BodyText"/>
      </w:pPr>
      <w:r w:rsidRPr="001B3080">
        <w:t>Release 2. E</w:t>
      </w:r>
      <w:r w:rsidRPr="001B3080">
        <w:t>quivalent to MEA283 Repair or overhaul aircraft display, control and distribution system components with amended prerequisite codes.</w:t>
      </w:r>
    </w:p>
    <w:p w:rsidR="00000000" w:rsidRPr="001B3080" w:rsidP="001B3080">
      <w:pPr>
        <w:pStyle w:val="Heading1"/>
      </w:pPr>
      <w:bookmarkStart w:id="2" w:name="O_998265"/>
      <w:bookmarkEnd w:id="2"/>
      <w:r w:rsidRPr="001B3080">
        <w:t>Application</w:t>
      </w:r>
    </w:p>
    <w:p w:rsidR="00000000" w:rsidRPr="001B3080" w:rsidP="0074463D">
      <w:pPr>
        <w:pStyle w:val="BodyText"/>
      </w:pPr>
      <w:r w:rsidRPr="001B3080">
        <w:t>This unit of competency requires application of hand skills, test equipment and knowledge of p</w:t>
      </w:r>
      <w:r w:rsidRPr="001B3080">
        <w:t>ulse, analogue and digital theory to repair or overhaul pulse system components from aircraft control and distribution systems during scheduled or unscheduled maintenance. Work may be performed individually or as part of a team.</w:t>
      </w:r>
    </w:p>
    <w:p w:rsidR="00000000" w:rsidRPr="001B3080" w:rsidP="0074463D">
      <w:pPr>
        <w:pStyle w:val="BodyText"/>
      </w:pPr>
      <w:r w:rsidRPr="001B3080">
        <w:t>Applications include contr</w:t>
      </w:r>
      <w:r w:rsidRPr="001B3080">
        <w:t>ol and distribution system components from fixed and rotary wing aircraft that are repaired or overhauled in aviation maintenance workshops.</w:t>
      </w:r>
    </w:p>
    <w:p w:rsidR="00000000" w:rsidRPr="001B3080" w:rsidP="0074463D">
      <w:pPr>
        <w:pStyle w:val="BodyText"/>
      </w:pPr>
      <w:r w:rsidRPr="001B3080">
        <w:t xml:space="preserve">The unit is part of the Avionic Certificate IV (Component Workshop Maintenance Stream) training pathway. </w:t>
      </w:r>
    </w:p>
    <w:p w:rsidR="00000000" w:rsidRPr="001B3080" w:rsidP="0074463D">
      <w:pPr>
        <w:pStyle w:val="BodyText"/>
      </w:pPr>
      <w:r w:rsidRPr="001B3080">
        <w:t xml:space="preserve">Repair </w:t>
      </w:r>
      <w:r w:rsidRPr="001B3080">
        <w:t xml:space="preserve">of circuit boards is covered by MEA262 Modify/repair aircraft component single layer printed circuit boards and MEA263 Modify/repair aircraft component multi-layer printed circuit boards. </w:t>
      </w:r>
    </w:p>
    <w:p w:rsidR="00000000" w:rsidRPr="001B3080" w:rsidP="0074463D">
      <w:pPr>
        <w:pStyle w:val="BodyText"/>
      </w:pPr>
      <w:r w:rsidRPr="001B3080">
        <w:t>The unit is used in workplaces that operate under the airworthines</w:t>
      </w:r>
      <w:r w:rsidRPr="001B3080">
        <w:t xml:space="preserve">s regulatory systems of the Australian Defence Force (ADF) and the Civil Aviation safety Authority (CASA). </w:t>
      </w:r>
    </w:p>
    <w:p w:rsidR="00000000" w:rsidRPr="001B3080" w:rsidP="001B3080">
      <w:pPr>
        <w:pStyle w:val="Heading1"/>
      </w:pPr>
      <w:bookmarkStart w:id="3" w:name="O_998264"/>
      <w:bookmarkEnd w:id="3"/>
      <w:r w:rsidRPr="001B3080">
        <w:t>Pre-requisite Unit</w:t>
      </w:r>
    </w:p>
    <w:tbl>
      <w:tblPr>
        <w:tblW w:w="0" w:type="auto"/>
        <w:tblLayout w:type="fixed"/>
        <w:tblCellMar>
          <w:left w:w="62" w:type="dxa"/>
          <w:right w:w="62" w:type="dxa"/>
        </w:tblCellMar>
        <w:tblLook w:val="0000"/>
      </w:tblPr>
      <w:tblGrid>
        <w:gridCol w:w="1674"/>
        <w:gridCol w:w="6245"/>
      </w:tblGrid>
      <w:tr w:rsidTr="001B308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MEA261</w:t>
            </w:r>
          </w:p>
        </w:tc>
        <w:tc>
          <w:tcPr>
            <w:tcW w:w="6245"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Use electronic test equipment</w:t>
            </w:r>
          </w:p>
        </w:tc>
      </w:tr>
      <w:tr w:rsidTr="001B3080">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MEA296</w:t>
            </w:r>
          </w:p>
        </w:tc>
        <w:tc>
          <w:tcPr>
            <w:tcW w:w="6245" w:type="dxa"/>
            <w:tcBorders>
              <w:top w:val="nil"/>
              <w:left w:val="nil"/>
              <w:bottom w:val="nil"/>
              <w:right w:val="nil"/>
            </w:tcBorders>
            <w:tcMar>
              <w:top w:w="0" w:type="dxa"/>
              <w:left w:w="62" w:type="dxa"/>
              <w:bottom w:w="0" w:type="dxa"/>
              <w:right w:w="62" w:type="dxa"/>
            </w:tcMar>
          </w:tcPr>
          <w:p w:rsidR="00000000" w:rsidRPr="001B3080" w:rsidP="001B3080">
            <w:pPr>
              <w:pStyle w:val="BodyText"/>
            </w:pPr>
            <w:r w:rsidRPr="001B3080">
              <w:t>Use electrical test equipment in aviation maintenance activities</w:t>
            </w:r>
          </w:p>
        </w:tc>
      </w:tr>
    </w:tbl>
    <w:p w:rsidR="00000000" w:rsidRPr="001B3080" w:rsidP="001B3080">
      <w:pPr>
        <w:pStyle w:val="BodyText"/>
      </w:pPr>
    </w:p>
    <w:p w:rsidR="00000000" w:rsidRPr="001B3080" w:rsidP="001B3080">
      <w:pPr>
        <w:pStyle w:val="AllowPageBreak"/>
      </w:pPr>
    </w:p>
    <w:p w:rsidR="00000000" w:rsidRPr="001B3080" w:rsidP="001B3080">
      <w:pPr>
        <w:pStyle w:val="Heading1"/>
      </w:pPr>
      <w:bookmarkStart w:id="4" w:name="O_998263"/>
      <w:bookmarkEnd w:id="4"/>
      <w:r w:rsidRPr="001B3080">
        <w:t>Competency Field</w:t>
      </w:r>
    </w:p>
    <w:p w:rsidR="00000000" w:rsidRPr="001B3080" w:rsidP="0074463D">
      <w:pPr>
        <w:pStyle w:val="BodyText"/>
      </w:pPr>
      <w:r w:rsidRPr="001B3080">
        <w:t>Aviation maintenance</w:t>
      </w:r>
    </w:p>
    <w:p w:rsidR="00000000" w:rsidRPr="001B3080" w:rsidP="001B3080">
      <w:pPr>
        <w:pStyle w:val="Heading1"/>
      </w:pPr>
      <w:bookmarkStart w:id="5" w:name="O_998262"/>
      <w:bookmarkEnd w:id="5"/>
      <w:r w:rsidRPr="001B3080">
        <w:t>Unit Sector</w:t>
      </w:r>
    </w:p>
    <w:p w:rsidR="00000000" w:rsidRPr="001B3080" w:rsidP="001B3080">
      <w:pPr>
        <w:pStyle w:val="Heading1"/>
      </w:pPr>
      <w:bookmarkStart w:id="6" w:name="O_998261"/>
      <w:bookmarkEnd w:id="6"/>
      <w:r w:rsidRPr="001B3080">
        <w:t>Elements and Performance Criteria</w:t>
      </w:r>
    </w:p>
    <w:tbl>
      <w:tblPr>
        <w:tblW w:w="9274" w:type="dxa"/>
        <w:tblLayout w:type="fixed"/>
        <w:tblCellMar>
          <w:left w:w="62" w:type="dxa"/>
          <w:right w:w="62" w:type="dxa"/>
        </w:tblCellMar>
        <w:tblLook w:val="0000"/>
      </w:tblPr>
      <w:tblGrid>
        <w:gridCol w:w="727"/>
        <w:gridCol w:w="2273"/>
        <w:gridCol w:w="623"/>
        <w:gridCol w:w="5651"/>
      </w:tblGrid>
      <w:tr w:rsidTr="001B3080">
        <w:tblPrEx>
          <w:tblW w:w="9274" w:type="dxa"/>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Performance criteria describe the performance needed to demonstrate achievement</w:t>
            </w:r>
            <w:r w:rsidRPr="001B3080">
              <w:t xml:space="preserve"> of the element. </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1.</w:t>
            </w:r>
          </w:p>
        </w:tc>
        <w:tc>
          <w:tcPr>
            <w:tcW w:w="227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Determine requirements</w:t>
            </w: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1.1</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Display, control and distribution system component defect reports (removal tags) or customer order are correctly interpreted and matched by part and serial numbers</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1.2</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Circuitry is correctly prepared and connected to the applicable test equipment and is functionally tested or cycled through the prescribed test procedures in accordance with the maintenance documentation for evidence of serviceability or malfunction</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1.3</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Modification status is clearly established to assist in determining the overhaul requirements for the components</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1.4</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Extent of overhaul or repair is correctly identified and documented</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2.</w:t>
            </w:r>
          </w:p>
        </w:tc>
        <w:tc>
          <w:tcPr>
            <w:tcW w:w="227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Troubleshoot display, control and distribution system component</w:t>
            </w:r>
            <w:r w:rsidRPr="001B3080">
              <w:t>s</w:t>
            </w: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2.1</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Available information from maintenance records and inspection and test results is used, where necessary, to assist in fault determination</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2.2</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Maintenance manual fault diagnosis guides and logic processes are used to ensure efficient and accurate troubleshooting</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2.3</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Faults are located and the causes of the faults are clearly identified and correctly recorded in maintenance documentation, where</w:t>
            </w:r>
            <w:r w:rsidRPr="001B3080">
              <w:t xml:space="preserve"> required</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2.4</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Fault rectification requirements are determined</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3.</w:t>
            </w:r>
          </w:p>
        </w:tc>
        <w:tc>
          <w:tcPr>
            <w:tcW w:w="2273" w:type="dxa"/>
            <w:vMerge w:val="restart"/>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Dismantle and inspect display, control and distribution system components</w:t>
            </w: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3.1</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Component parts are dismantled in accordance with maintenance manuals while observing all relevant work healt</w:t>
            </w:r>
            <w:r w:rsidRPr="001B3080">
              <w:t>h and safety (WHS) requirements</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3.2</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Component parts are assessed for serviceability in accordance with the relevant maintenance documentation</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3.3</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Parts requiring specialist repair are tagged and repair instructions are accurately specified</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3.4</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Parts lists are compiled and processed in accordance with standard enterprise procedures</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4.</w:t>
            </w:r>
          </w:p>
        </w:tc>
        <w:tc>
          <w:tcPr>
            <w:tcW w:w="2273" w:type="dxa"/>
            <w:vMerge w:val="restart"/>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Repair and/or modify display, control and distribution system components</w:t>
            </w: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4.1</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Component parts are repaired or replaced in accordance with the relevant maintenance d</w:t>
            </w:r>
            <w:r w:rsidRPr="001B3080">
              <w:t>ocumentation</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4.2</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Modification of components or parts is undertaken, where required, by relevant manufacturers’ bulletins or procedures</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5.</w:t>
            </w:r>
          </w:p>
        </w:tc>
        <w:tc>
          <w:tcPr>
            <w:tcW w:w="2273" w:type="dxa"/>
            <w:vMerge w:val="restart"/>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Assemble, test and adjust display, control and distribution system components</w:t>
            </w: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5.1</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Assembly of component parts is carried out in accordance with specified tolerances and the applicable maintenance documents</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5.2</w:t>
            </w:r>
          </w:p>
        </w:tc>
        <w:tc>
          <w:tcPr>
            <w:tcW w:w="5651"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Assembled components are tested and adjusted/aligned in accordance with the applicable maintenance documentation using the ap</w:t>
            </w:r>
            <w:r w:rsidRPr="001B3080">
              <w:t>propriate test equipment</w:t>
            </w:r>
          </w:p>
        </w:tc>
      </w:tr>
      <w:tr w:rsidTr="001B3080">
        <w:tblPrEx>
          <w:tblW w:w="9274"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23"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5.3</w:t>
            </w:r>
          </w:p>
        </w:tc>
        <w:tc>
          <w:tcPr>
            <w:tcW w:w="5651" w:type="dxa"/>
            <w:tcBorders>
              <w:top w:val="nil"/>
              <w:left w:val="nil"/>
              <w:bottom w:val="nil"/>
              <w:right w:val="nil"/>
            </w:tcBorders>
            <w:tcMar>
              <w:top w:w="0" w:type="dxa"/>
              <w:left w:w="62" w:type="dxa"/>
              <w:bottom w:w="0" w:type="dxa"/>
              <w:right w:w="62" w:type="dxa"/>
            </w:tcMar>
          </w:tcPr>
          <w:p w:rsidR="00000000" w:rsidRPr="001B3080" w:rsidP="001B3080">
            <w:pPr>
              <w:pStyle w:val="BodyText"/>
            </w:pPr>
            <w:r w:rsidRPr="001B3080">
              <w:t>Required maintenance documentation and modification records are completed and processed in accordance with standard enterprise procedures</w:t>
            </w:r>
          </w:p>
        </w:tc>
      </w:tr>
    </w:tbl>
    <w:p w:rsidR="00000000" w:rsidRPr="001B3080" w:rsidP="001B3080">
      <w:pPr>
        <w:pStyle w:val="BodyText"/>
      </w:pPr>
    </w:p>
    <w:p w:rsidR="00000000" w:rsidRPr="001B3080" w:rsidP="001B3080">
      <w:pPr>
        <w:pStyle w:val="AllowPageBreak"/>
      </w:pPr>
    </w:p>
    <w:p w:rsidR="00000000" w:rsidRPr="001B3080" w:rsidP="001B3080">
      <w:pPr>
        <w:pStyle w:val="Heading1"/>
      </w:pPr>
      <w:bookmarkStart w:id="7" w:name="O_998260"/>
      <w:bookmarkEnd w:id="7"/>
      <w:r w:rsidRPr="001B3080">
        <w:t>Foundation Skills</w:t>
      </w:r>
    </w:p>
    <w:p w:rsidR="00000000" w:rsidRPr="001B3080" w:rsidP="0074463D">
      <w:pPr>
        <w:pStyle w:val="BodyText"/>
      </w:pPr>
      <w:r w:rsidRPr="001B3080">
        <w:t>Foundation skills essential to performance are explicit in the performance criteria of this unit of competency.</w:t>
      </w:r>
    </w:p>
    <w:p w:rsidR="00000000" w:rsidRPr="001B3080" w:rsidP="001B3080">
      <w:pPr>
        <w:pStyle w:val="Heading1"/>
      </w:pPr>
      <w:bookmarkStart w:id="8" w:name="O_998259"/>
      <w:bookmarkEnd w:id="8"/>
      <w:r w:rsidRPr="001B3080">
        <w:t>Range of Conditions</w:t>
      </w:r>
    </w:p>
    <w:tbl>
      <w:tblPr>
        <w:tblW w:w="0" w:type="auto"/>
        <w:tblLayout w:type="fixed"/>
        <w:tblCellMar>
          <w:left w:w="62" w:type="dxa"/>
          <w:right w:w="62" w:type="dxa"/>
        </w:tblCellMar>
        <w:tblLook w:val="0000"/>
      </w:tblPr>
      <w:tblGrid>
        <w:gridCol w:w="2970"/>
        <w:gridCol w:w="6102"/>
      </w:tblGrid>
      <w:tr w:rsidTr="001B30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t>This field allows for different work environments and conditions that may affect performance. Essential ope</w:t>
            </w:r>
            <w:r w:rsidRPr="001B3080">
              <w:t>rating conditions that may be present (depending on the work situation, needs of the candidate, accessibility of the item, and local industry and regional contexts) are included.</w:t>
            </w:r>
          </w:p>
        </w:tc>
      </w:tr>
      <w:tr w:rsidTr="001B308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rPr>
                <w:rStyle w:val="SpecialBold"/>
              </w:rPr>
              <w:t xml:space="preserve">Display, control and distribution system components </w:t>
            </w:r>
          </w:p>
        </w:tc>
        <w:tc>
          <w:tcPr>
            <w:tcW w:w="6102" w:type="dxa"/>
            <w:tcBorders>
              <w:top w:val="nil"/>
              <w:left w:val="nil"/>
              <w:bottom w:val="nil"/>
              <w:right w:val="nil"/>
            </w:tcBorders>
            <w:tcMar>
              <w:top w:w="0" w:type="dxa"/>
              <w:left w:w="62" w:type="dxa"/>
              <w:bottom w:w="0" w:type="dxa"/>
              <w:right w:w="62" w:type="dxa"/>
            </w:tcMar>
          </w:tcPr>
          <w:p w:rsidR="00000000" w:rsidRPr="001B3080" w:rsidP="001B3080">
            <w:pPr>
              <w:pStyle w:val="ListBullet"/>
            </w:pPr>
            <w:r w:rsidRPr="001B3080">
              <w:t xml:space="preserve">Display, control and </w:t>
            </w:r>
            <w:r w:rsidRPr="001B3080">
              <w:t>distribution system components are from any or all of the following aircraft systems:</w:t>
            </w:r>
          </w:p>
          <w:p w:rsidR="00000000" w:rsidRPr="001B3080" w:rsidP="001B3080">
            <w:pPr>
              <w:pStyle w:val="ListBullet2"/>
            </w:pPr>
            <w:r w:rsidRPr="001B3080">
              <w:t>display systems, including electronic flight instrument systems (EFIS), engine indicating and</w:t>
            </w:r>
            <w:r w:rsidRPr="001B3080">
              <w:t xml:space="preserve"> crew alerting system (EICAS) and electronic central aircraft monitoring (ECAM)</w:t>
            </w:r>
          </w:p>
          <w:p w:rsidR="00000000" w:rsidRPr="001B3080" w:rsidP="001B3080">
            <w:pPr>
              <w:pStyle w:val="ListBullet2"/>
            </w:pPr>
            <w:r w:rsidRPr="001B3080">
              <w:t>automatic flight control system (AFCS)</w:t>
            </w:r>
          </w:p>
          <w:p w:rsidR="00000000" w:rsidRPr="001B3080" w:rsidP="001B3080">
            <w:pPr>
              <w:pStyle w:val="ListBullet2"/>
            </w:pPr>
            <w:r w:rsidRPr="001B3080">
              <w:t>autopilots (digital and analogue)</w:t>
            </w:r>
          </w:p>
          <w:p w:rsidR="00000000" w:rsidRPr="001B3080" w:rsidP="001B3080">
            <w:pPr>
              <w:pStyle w:val="ListBullet2"/>
            </w:pPr>
            <w:r w:rsidRPr="001B3080">
              <w:t>flight director (digital and analogue)</w:t>
            </w:r>
          </w:p>
          <w:p w:rsidR="00000000" w:rsidP="001B3080">
            <w:pPr>
              <w:pStyle w:val="ListBullet2"/>
              <w:rPr>
                <w:lang w:val="en-NZ"/>
              </w:rPr>
            </w:pPr>
            <w:r w:rsidRPr="001B3080">
              <w:t>fight management</w:t>
            </w:r>
          </w:p>
        </w:tc>
      </w:tr>
      <w:tr w:rsidTr="001B308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B3080">
            <w:pPr>
              <w:pStyle w:val="BodyText"/>
              <w:rPr>
                <w:lang w:val="en-NZ"/>
              </w:rPr>
            </w:pPr>
            <w:r w:rsidRPr="001B3080">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1B3080" w:rsidP="001B3080">
            <w:pPr>
              <w:pStyle w:val="ListBullet"/>
            </w:pPr>
            <w:r w:rsidRPr="001B3080">
              <w:t>Industry</w:t>
            </w:r>
            <w:r w:rsidRPr="001B3080">
              <w:t xml:space="preserve"> standard procedures specified by manufacturers, regulatory authorities or the enterprise</w:t>
            </w:r>
          </w:p>
        </w:tc>
      </w:tr>
    </w:tbl>
    <w:p w:rsidR="00000000" w:rsidRPr="001B3080" w:rsidP="001B3080">
      <w:pPr>
        <w:pStyle w:val="BodyText"/>
      </w:pPr>
    </w:p>
    <w:p w:rsidR="00000000" w:rsidRPr="001B3080" w:rsidP="001B3080">
      <w:pPr>
        <w:pStyle w:val="AllowPageBreak"/>
      </w:pPr>
    </w:p>
    <w:p w:rsidR="00000000" w:rsidRPr="001B3080" w:rsidP="001B3080">
      <w:pPr>
        <w:pStyle w:val="Heading1"/>
      </w:pPr>
      <w:bookmarkStart w:id="9" w:name="O_998258"/>
      <w:bookmarkEnd w:id="9"/>
      <w:r w:rsidRPr="001B3080">
        <w:t>Unit Mapping Information</w:t>
      </w:r>
    </w:p>
    <w:p w:rsidR="00000000" w:rsidRPr="001B3080" w:rsidP="0074463D">
      <w:pPr>
        <w:pStyle w:val="BodyText"/>
      </w:pPr>
      <w:r w:rsidRPr="001B3080">
        <w:t>Release 2. Equivalent to MEA283 Repair or overhaul aircraft display, control and distribution system components</w:t>
      </w:r>
    </w:p>
    <w:p w:rsidR="00000000" w:rsidRPr="001B3080" w:rsidP="001B3080">
      <w:pPr>
        <w:pStyle w:val="Heading1"/>
      </w:pPr>
      <w:bookmarkStart w:id="10" w:name="O_998267"/>
      <w:bookmarkEnd w:id="10"/>
      <w:r w:rsidRPr="001B3080">
        <w:t>Links</w:t>
      </w:r>
    </w:p>
    <w:p w:rsidR="00000000" w:rsidRPr="001B3080" w:rsidP="0074463D">
      <w:pPr>
        <w:pStyle w:val="BodyText"/>
      </w:pPr>
      <w:r w:rsidRPr="001B308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F4E87">
        <w:rPr>
          <w:rStyle w:val="Hyperlink"/>
        </w:rPr>
        <w:t>https://vetnet.education.gov.au/Pages/TrainingDocs.aspx?q=ce216c9c-04d5-4b3b-9bcf-4e81d0950371</w:t>
      </w:r>
      <w:r>
        <w:fldChar w:fldCharType="end"/>
      </w:r>
    </w:p>
    <w:p w:rsidR="00000000" w:rsidRPr="001B3080" w:rsidP="001B3080"/>
    <w:sectPr w:rsidSect="001B3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80" w:rsidRPr="0074463D" w:rsidP="00744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D" w:rsidP="001B3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63D" w:rsidP="001B30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63D" w:rsidP="001B3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080" w:rsidRPr="0074463D" w:rsidP="00744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3D" w:rsidRPr="002D2AF8" w:rsidP="001B3080">
    <w:pPr>
      <w:pStyle w:val="Header"/>
      <w:framePr w:wrap="around"/>
    </w:pPr>
    <w:r>
      <w:fldChar w:fldCharType="begin"/>
    </w:r>
    <w:r>
      <w:instrText xml:space="preserve"> TITLE   \* MERGEFORMAT </w:instrText>
    </w:r>
    <w:r>
      <w:fldChar w:fldCharType="separate"/>
    </w:r>
    <w:r>
      <w:t>MEA283 Repair or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4463D" w:rsidP="001B3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E64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3A6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2D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080"/>
    <w:pPr>
      <w:spacing w:before="360" w:after="60"/>
      <w:outlineLvl w:val="0"/>
    </w:pPr>
    <w:rPr>
      <w:sz w:val="32"/>
    </w:rPr>
  </w:style>
  <w:style w:type="paragraph" w:styleId="Heading2">
    <w:name w:val="heading 2"/>
    <w:basedOn w:val="HeadingBase"/>
    <w:next w:val="BodyText"/>
    <w:link w:val="Heading2Char"/>
    <w:qFormat/>
    <w:rsid w:val="001B3080"/>
    <w:pPr>
      <w:keepLines/>
      <w:spacing w:before="240" w:after="120"/>
      <w:outlineLvl w:val="1"/>
    </w:pPr>
    <w:rPr>
      <w:sz w:val="28"/>
      <w:szCs w:val="40"/>
    </w:rPr>
  </w:style>
  <w:style w:type="paragraph" w:styleId="Heading3">
    <w:name w:val="heading 3"/>
    <w:basedOn w:val="HeadingBase"/>
    <w:next w:val="BodyText"/>
    <w:link w:val="Heading3Char"/>
    <w:qFormat/>
    <w:rsid w:val="001B3080"/>
    <w:pPr>
      <w:spacing w:before="180" w:after="120"/>
      <w:outlineLvl w:val="2"/>
    </w:pPr>
    <w:rPr>
      <w:spacing w:val="-10"/>
      <w:kern w:val="32"/>
    </w:rPr>
  </w:style>
  <w:style w:type="paragraph" w:styleId="Heading4">
    <w:name w:val="heading 4"/>
    <w:basedOn w:val="HeadingBase"/>
    <w:next w:val="BodyText"/>
    <w:link w:val="Heading4Char"/>
    <w:qFormat/>
    <w:rsid w:val="001B3080"/>
    <w:pPr>
      <w:spacing w:before="160" w:after="120"/>
      <w:outlineLvl w:val="3"/>
    </w:pPr>
    <w:rPr>
      <w:sz w:val="22"/>
    </w:rPr>
  </w:style>
  <w:style w:type="paragraph" w:styleId="Heading5">
    <w:name w:val="heading 5"/>
    <w:basedOn w:val="HeadingBase"/>
    <w:next w:val="Normal"/>
    <w:link w:val="Heading5Char"/>
    <w:qFormat/>
    <w:rsid w:val="001B3080"/>
    <w:pPr>
      <w:spacing w:before="80"/>
      <w:outlineLvl w:val="4"/>
    </w:pPr>
    <w:rPr>
      <w:color w:val="918585"/>
      <w:sz w:val="20"/>
    </w:rPr>
  </w:style>
  <w:style w:type="paragraph" w:styleId="Heading6">
    <w:name w:val="heading 6"/>
    <w:basedOn w:val="HeadingBase"/>
    <w:next w:val="Normal"/>
    <w:link w:val="Heading6Char"/>
    <w:qFormat/>
    <w:rsid w:val="001B3080"/>
    <w:pPr>
      <w:spacing w:before="60"/>
      <w:outlineLvl w:val="5"/>
    </w:pPr>
    <w:rPr>
      <w:color w:val="918585"/>
      <w:sz w:val="20"/>
    </w:rPr>
  </w:style>
  <w:style w:type="paragraph" w:styleId="Heading7">
    <w:name w:val="heading 7"/>
    <w:basedOn w:val="Normal"/>
    <w:next w:val="Normal"/>
    <w:link w:val="Heading7Char"/>
    <w:qFormat/>
    <w:rsid w:val="001B3080"/>
    <w:pPr>
      <w:ind w:left="720"/>
      <w:outlineLvl w:val="6"/>
    </w:pPr>
    <w:rPr>
      <w:i/>
    </w:rPr>
  </w:style>
  <w:style w:type="paragraph" w:styleId="Heading8">
    <w:name w:val="heading 8"/>
    <w:basedOn w:val="Normal"/>
    <w:next w:val="Normal"/>
    <w:link w:val="Heading8Char"/>
    <w:qFormat/>
    <w:rsid w:val="001B3080"/>
    <w:pPr>
      <w:ind w:left="720"/>
      <w:outlineLvl w:val="7"/>
    </w:pPr>
    <w:rPr>
      <w:i/>
    </w:rPr>
  </w:style>
  <w:style w:type="paragraph" w:styleId="Heading9">
    <w:name w:val="heading 9"/>
    <w:basedOn w:val="Normal"/>
    <w:next w:val="Normal"/>
    <w:link w:val="Heading9Char"/>
    <w:qFormat/>
    <w:rsid w:val="001B3080"/>
    <w:pPr>
      <w:ind w:left="720"/>
      <w:outlineLvl w:val="8"/>
    </w:pPr>
    <w:rPr>
      <w:i/>
    </w:rPr>
  </w:style>
  <w:style w:type="character" w:default="1" w:styleId="DefaultParagraphFont">
    <w:name w:val="Default Paragraph Font"/>
    <w:uiPriority w:val="1"/>
    <w:unhideWhenUsed/>
    <w:rsid w:val="001B3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080"/>
  </w:style>
  <w:style w:type="character" w:customStyle="1" w:styleId="Heading1Char">
    <w:name w:val="Heading 1 Char"/>
    <w:basedOn w:val="DefaultParagraphFont"/>
    <w:link w:val="Heading1"/>
    <w:rsid w:val="001B3080"/>
    <w:rPr>
      <w:rFonts w:ascii="Times New Roman" w:eastAsia="Times New Roman" w:hAnsi="Times New Roman" w:cs="Times New Roman"/>
      <w:b/>
      <w:sz w:val="32"/>
      <w:szCs w:val="20"/>
      <w:lang w:eastAsia="en-US"/>
    </w:rPr>
  </w:style>
  <w:style w:type="paragraph" w:styleId="BodyText">
    <w:name w:val="Body Text"/>
    <w:basedOn w:val="Normal"/>
    <w:link w:val="BodyTextChar"/>
    <w:rsid w:val="001B3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080"/>
    <w:rPr>
      <w:rFonts w:ascii="Times New Roman" w:eastAsia="Times New Roman" w:hAnsi="Times New Roman" w:cs="Times New Roman"/>
      <w:sz w:val="24"/>
      <w:lang w:eastAsia="en-US"/>
    </w:rPr>
  </w:style>
  <w:style w:type="paragraph" w:styleId="ListBullet">
    <w:name w:val="List Bullet"/>
    <w:basedOn w:val="List"/>
    <w:rsid w:val="001B3080"/>
    <w:pPr>
      <w:numPr>
        <w:numId w:val="12"/>
      </w:numPr>
      <w:tabs>
        <w:tab w:val="clear" w:pos="340"/>
      </w:tabs>
      <w:spacing w:before="40" w:after="40"/>
    </w:pPr>
  </w:style>
  <w:style w:type="character" w:customStyle="1" w:styleId="SpecialBold">
    <w:name w:val="Special Bold"/>
    <w:basedOn w:val="DefaultParagraphFont"/>
    <w:rsid w:val="001B3080"/>
    <w:rPr>
      <w:b/>
      <w:spacing w:val="0"/>
    </w:rPr>
  </w:style>
  <w:style w:type="paragraph" w:styleId="ListBullet2">
    <w:name w:val="List Bullet 2"/>
    <w:basedOn w:val="List2"/>
    <w:rsid w:val="001B3080"/>
    <w:pPr>
      <w:numPr>
        <w:numId w:val="13"/>
      </w:numPr>
      <w:tabs>
        <w:tab w:val="clear" w:pos="680"/>
      </w:tabs>
    </w:pPr>
  </w:style>
  <w:style w:type="paragraph" w:customStyle="1" w:styleId="SuperHeading">
    <w:name w:val="SuperHeading"/>
    <w:basedOn w:val="Normal"/>
    <w:rsid w:val="001B3080"/>
    <w:pPr>
      <w:spacing w:before="240" w:after="120"/>
      <w:outlineLvl w:val="0"/>
    </w:pPr>
    <w:rPr>
      <w:rFonts w:ascii="Times New Roman" w:hAnsi="Times New Roman"/>
      <w:b/>
      <w:sz w:val="32"/>
    </w:rPr>
  </w:style>
  <w:style w:type="paragraph" w:customStyle="1" w:styleId="AllowPageBreak">
    <w:name w:val="AllowPageBreak"/>
    <w:rsid w:val="001B3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080"/>
    <w:rPr>
      <w:rFonts w:ascii="Courier New" w:eastAsia="Times New Roman" w:hAnsi="Courier New" w:cs="Times New Roman"/>
      <w:i/>
      <w:szCs w:val="20"/>
      <w:lang w:eastAsia="en-US"/>
    </w:rPr>
  </w:style>
  <w:style w:type="paragraph" w:customStyle="1" w:styleId="HeadingBase">
    <w:name w:val="Heading Base"/>
    <w:rsid w:val="001B3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080"/>
    <w:pPr>
      <w:tabs>
        <w:tab w:val="right" w:leader="dot" w:pos="9072"/>
      </w:tabs>
      <w:ind w:left="567"/>
    </w:pPr>
    <w:rPr>
      <w:szCs w:val="22"/>
    </w:rPr>
  </w:style>
  <w:style w:type="paragraph" w:customStyle="1" w:styleId="TOCBase">
    <w:name w:val="TOC Base"/>
    <w:rsid w:val="001B3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080"/>
    <w:pPr>
      <w:tabs>
        <w:tab w:val="right" w:leader="dot" w:pos="9072"/>
      </w:tabs>
      <w:spacing w:before="40" w:after="40"/>
      <w:ind w:left="284"/>
    </w:pPr>
    <w:rPr>
      <w:rFonts w:ascii="Times New Roman" w:hAnsi="Times New Roman"/>
    </w:rPr>
  </w:style>
  <w:style w:type="paragraph" w:styleId="TOC1">
    <w:name w:val="toc 1"/>
    <w:basedOn w:val="TOCBase"/>
    <w:next w:val="Normal"/>
    <w:rsid w:val="001B3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080"/>
    <w:rPr>
      <w:rFonts w:ascii="Times New Roman" w:eastAsia="Times New Roman" w:hAnsi="Times New Roman" w:cs="Times New Roman"/>
      <w:sz w:val="16"/>
      <w:lang w:eastAsia="en-US"/>
    </w:rPr>
  </w:style>
  <w:style w:type="paragraph" w:styleId="Title">
    <w:name w:val="Title"/>
    <w:basedOn w:val="HeadingBase"/>
    <w:link w:val="TitleChar"/>
    <w:qFormat/>
    <w:rsid w:val="001B3080"/>
    <w:pPr>
      <w:spacing w:before="5040"/>
      <w:jc w:val="center"/>
    </w:pPr>
    <w:rPr>
      <w:sz w:val="48"/>
      <w:szCs w:val="72"/>
      <w:lang w:val="en-US"/>
    </w:rPr>
  </w:style>
  <w:style w:type="character" w:customStyle="1" w:styleId="TitleChar">
    <w:name w:val="Title Char"/>
    <w:basedOn w:val="DefaultParagraphFont"/>
    <w:link w:val="Title"/>
    <w:rsid w:val="001B3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080"/>
    <w:pPr>
      <w:tabs>
        <w:tab w:val="left" w:pos="3600"/>
        <w:tab w:val="left" w:pos="3958"/>
      </w:tabs>
    </w:pPr>
  </w:style>
  <w:style w:type="paragraph" w:styleId="List">
    <w:name w:val="List"/>
    <w:basedOn w:val="BodyText"/>
    <w:next w:val="BodyText"/>
    <w:rsid w:val="001B3080"/>
    <w:pPr>
      <w:tabs>
        <w:tab w:val="left" w:pos="340"/>
      </w:tabs>
      <w:spacing w:before="60" w:after="60"/>
      <w:ind w:left="340" w:hanging="340"/>
    </w:pPr>
  </w:style>
  <w:style w:type="paragraph" w:customStyle="1" w:styleId="Note">
    <w:name w:val="Note"/>
    <w:basedOn w:val="BodyText"/>
    <w:rsid w:val="001B3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080"/>
    <w:pPr>
      <w:framePr w:wrap="auto" w:hAnchor="text" w:y="6049"/>
    </w:pPr>
    <w:rPr>
      <w:color w:val="000000"/>
      <w:sz w:val="40"/>
    </w:rPr>
  </w:style>
  <w:style w:type="paragraph" w:customStyle="1" w:styleId="TOCTitle">
    <w:name w:val="TOCTitle"/>
    <w:basedOn w:val="Heading1"/>
    <w:rsid w:val="001B3080"/>
    <w:pPr>
      <w:spacing w:after="240"/>
      <w:jc w:val="center"/>
      <w:outlineLvl w:val="9"/>
    </w:pPr>
    <w:rPr>
      <w:caps/>
    </w:rPr>
  </w:style>
  <w:style w:type="paragraph" w:customStyle="1" w:styleId="Version">
    <w:name w:val="Version"/>
    <w:rsid w:val="001B3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080"/>
    <w:pPr>
      <w:keepNext w:val="0"/>
      <w:tabs>
        <w:tab w:val="right" w:pos="4176"/>
      </w:tabs>
      <w:ind w:left="198" w:hanging="198"/>
    </w:pPr>
    <w:rPr>
      <w:rFonts w:ascii="Garamond" w:hAnsi="Garamond"/>
    </w:rPr>
  </w:style>
  <w:style w:type="paragraph" w:styleId="IndexHeading">
    <w:name w:val="index heading"/>
    <w:basedOn w:val="Normal"/>
    <w:next w:val="Index1"/>
    <w:semiHidden/>
    <w:rsid w:val="001B3080"/>
    <w:pPr>
      <w:spacing w:before="120" w:after="120"/>
    </w:pPr>
    <w:rPr>
      <w:rFonts w:ascii="Arial" w:hAnsi="Arial"/>
      <w:b/>
      <w:color w:val="918585"/>
      <w:sz w:val="24"/>
    </w:rPr>
  </w:style>
  <w:style w:type="paragraph" w:styleId="Header">
    <w:name w:val="header"/>
    <w:basedOn w:val="Normal"/>
    <w:link w:val="HeaderChar"/>
    <w:rsid w:val="001B3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080"/>
    <w:rPr>
      <w:rFonts w:ascii="Times New Roman" w:eastAsia="Times New Roman" w:hAnsi="Times New Roman" w:cs="Times New Roman"/>
      <w:sz w:val="16"/>
      <w:szCs w:val="20"/>
      <w:lang w:val="en-GB" w:eastAsia="en-US"/>
    </w:rPr>
  </w:style>
  <w:style w:type="paragraph" w:customStyle="1" w:styleId="Chapter">
    <w:name w:val="Chapter"/>
    <w:basedOn w:val="Normal"/>
    <w:rsid w:val="001B3080"/>
    <w:pPr>
      <w:spacing w:before="240"/>
    </w:pPr>
    <w:rPr>
      <w:rFonts w:ascii="Times New Roman" w:hAnsi="Times New Roman"/>
      <w:smallCaps/>
      <w:spacing w:val="80"/>
      <w:sz w:val="28"/>
    </w:rPr>
  </w:style>
  <w:style w:type="paragraph" w:customStyle="1" w:styleId="InChapter">
    <w:name w:val="InChapter"/>
    <w:basedOn w:val="Heading3"/>
    <w:rsid w:val="001B3080"/>
    <w:pPr>
      <w:spacing w:after="240"/>
      <w:outlineLvl w:val="9"/>
    </w:pPr>
    <w:rPr>
      <w:noProof/>
    </w:rPr>
  </w:style>
  <w:style w:type="paragraph" w:styleId="Index2">
    <w:name w:val="index 2"/>
    <w:basedOn w:val="Normal"/>
    <w:next w:val="Normal"/>
    <w:semiHidden/>
    <w:rsid w:val="001B3080"/>
    <w:pPr>
      <w:tabs>
        <w:tab w:val="right" w:pos="4176"/>
      </w:tabs>
      <w:ind w:left="568" w:hanging="284"/>
    </w:pPr>
    <w:rPr>
      <w:rFonts w:ascii="Garamond" w:hAnsi="Garamond"/>
    </w:rPr>
  </w:style>
  <w:style w:type="paragraph" w:customStyle="1" w:styleId="Byline">
    <w:name w:val="Byline"/>
    <w:rsid w:val="001B3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080"/>
    <w:pPr>
      <w:tabs>
        <w:tab w:val="clear" w:pos="3600"/>
        <w:tab w:val="clear" w:pos="3958"/>
      </w:tabs>
      <w:jc w:val="right"/>
    </w:pPr>
  </w:style>
  <w:style w:type="character" w:styleId="Emphasis">
    <w:name w:val="Emphasis"/>
    <w:basedOn w:val="DefaultParagraphFont"/>
    <w:qFormat/>
    <w:rsid w:val="001B3080"/>
    <w:rPr>
      <w:i/>
    </w:rPr>
  </w:style>
  <w:style w:type="paragraph" w:styleId="Caption">
    <w:name w:val="caption"/>
    <w:basedOn w:val="BodyText"/>
    <w:next w:val="Normal"/>
    <w:qFormat/>
    <w:rsid w:val="001B3080"/>
    <w:pPr>
      <w:framePr w:w="2268" w:hSpace="181" w:vSpace="181" w:wrap="around" w:vAnchor="text" w:hAnchor="page" w:x="1135" w:y="285" w:anchorLock="1"/>
    </w:pPr>
    <w:rPr>
      <w:i/>
    </w:rPr>
  </w:style>
  <w:style w:type="paragraph" w:customStyle="1" w:styleId="MiniTOCTitle">
    <w:name w:val="MiniTOCTitle"/>
    <w:basedOn w:val="Heading4"/>
    <w:rsid w:val="001B3080"/>
    <w:pPr>
      <w:spacing w:before="240"/>
      <w:outlineLvl w:val="9"/>
    </w:pPr>
    <w:rPr>
      <w:noProof/>
      <w:sz w:val="24"/>
    </w:rPr>
  </w:style>
  <w:style w:type="paragraph" w:customStyle="1" w:styleId="MiniTOCItem">
    <w:name w:val="MiniTOCItem"/>
    <w:basedOn w:val="ListBullet"/>
    <w:rsid w:val="001B3080"/>
    <w:pPr>
      <w:numPr>
        <w:numId w:val="0"/>
      </w:numPr>
      <w:tabs>
        <w:tab w:val="right" w:leader="dot" w:pos="6521"/>
      </w:tabs>
      <w:spacing w:before="0" w:after="0"/>
    </w:pPr>
  </w:style>
  <w:style w:type="paragraph" w:customStyle="1" w:styleId="TOFTitle">
    <w:name w:val="TOFTitle"/>
    <w:basedOn w:val="TOCTitle"/>
    <w:rsid w:val="001B3080"/>
  </w:style>
  <w:style w:type="paragraph" w:styleId="TableofFigures">
    <w:name w:val="table of figures"/>
    <w:basedOn w:val="Normal"/>
    <w:next w:val="Normal"/>
    <w:semiHidden/>
    <w:rsid w:val="001B3080"/>
    <w:pPr>
      <w:tabs>
        <w:tab w:val="right" w:leader="dot" w:pos="9072"/>
      </w:tabs>
      <w:ind w:left="970" w:hanging="403"/>
    </w:pPr>
    <w:rPr>
      <w:rFonts w:ascii="Times New Roman" w:hAnsi="Times New Roman"/>
      <w:b/>
    </w:rPr>
  </w:style>
  <w:style w:type="paragraph" w:styleId="ListNumber">
    <w:name w:val="List Number"/>
    <w:basedOn w:val="List"/>
    <w:rsid w:val="001B3080"/>
    <w:pPr>
      <w:numPr>
        <w:numId w:val="15"/>
      </w:numPr>
      <w:tabs>
        <w:tab w:val="clear" w:pos="340"/>
      </w:tabs>
    </w:pPr>
  </w:style>
  <w:style w:type="character" w:customStyle="1" w:styleId="WingdingSymbols">
    <w:name w:val="Wingding Symbols"/>
    <w:rsid w:val="001B3080"/>
    <w:rPr>
      <w:rFonts w:ascii="Wingdings" w:hAnsi="Wingdings"/>
    </w:rPr>
  </w:style>
  <w:style w:type="paragraph" w:customStyle="1" w:styleId="TableHeading">
    <w:name w:val="Table Heading"/>
    <w:basedOn w:val="HeadingBase"/>
    <w:rsid w:val="001B3080"/>
    <w:pPr>
      <w:keepLines/>
      <w:pBdr>
        <w:bottom w:val="single" w:sz="6" w:space="1" w:color="918585"/>
      </w:pBdr>
      <w:spacing w:before="240"/>
    </w:pPr>
  </w:style>
  <w:style w:type="character" w:customStyle="1" w:styleId="HotSpot">
    <w:name w:val="HotSpot"/>
    <w:rsid w:val="001B3080"/>
    <w:rPr>
      <w:color w:val="0033CC"/>
      <w:u w:val="none"/>
    </w:rPr>
  </w:style>
  <w:style w:type="paragraph" w:customStyle="1" w:styleId="BodyTextRight">
    <w:name w:val="Body Text Right"/>
    <w:basedOn w:val="BodyText"/>
    <w:rsid w:val="001B3080"/>
    <w:pPr>
      <w:spacing w:before="0" w:after="0"/>
      <w:jc w:val="right"/>
    </w:pPr>
  </w:style>
  <w:style w:type="paragraph" w:styleId="Index3">
    <w:name w:val="index 3"/>
    <w:basedOn w:val="ListNumber2"/>
    <w:next w:val="Normal"/>
    <w:semiHidden/>
    <w:rsid w:val="001B3080"/>
    <w:pPr>
      <w:numPr>
        <w:numId w:val="0"/>
      </w:numPr>
      <w:tabs>
        <w:tab w:val="right" w:leader="dot" w:pos="4176"/>
      </w:tabs>
    </w:pPr>
  </w:style>
  <w:style w:type="paragraph" w:styleId="ListNumber2">
    <w:name w:val="List Number 2"/>
    <w:basedOn w:val="List2"/>
    <w:rsid w:val="001B3080"/>
    <w:pPr>
      <w:numPr>
        <w:numId w:val="10"/>
      </w:numPr>
      <w:tabs>
        <w:tab w:val="clear" w:pos="1060"/>
      </w:tabs>
    </w:pPr>
  </w:style>
  <w:style w:type="paragraph" w:customStyle="1" w:styleId="MarginNote">
    <w:name w:val="Margin Note"/>
    <w:basedOn w:val="BodyText"/>
    <w:rsid w:val="001B3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080"/>
    <w:rPr>
      <w:sz w:val="32"/>
    </w:rPr>
  </w:style>
  <w:style w:type="paragraph" w:customStyle="1" w:styleId="HeadingProcedure">
    <w:name w:val="Heading Procedure"/>
    <w:basedOn w:val="HeadingBase"/>
    <w:next w:val="Normal"/>
    <w:rsid w:val="001B3080"/>
    <w:pPr>
      <w:tabs>
        <w:tab w:val="left" w:pos="0"/>
      </w:tabs>
      <w:spacing w:before="120" w:after="60"/>
    </w:pPr>
    <w:rPr>
      <w:i/>
      <w:color w:val="918585"/>
      <w:sz w:val="22"/>
    </w:rPr>
  </w:style>
  <w:style w:type="paragraph" w:customStyle="1" w:styleId="TableBodyText">
    <w:name w:val="Table Body Text"/>
    <w:basedOn w:val="BodyText"/>
    <w:rsid w:val="001B3080"/>
    <w:pPr>
      <w:spacing w:before="60" w:after="60"/>
    </w:pPr>
  </w:style>
  <w:style w:type="paragraph" w:styleId="ListContinue">
    <w:name w:val="List Continue"/>
    <w:basedOn w:val="List"/>
    <w:rsid w:val="001B3080"/>
    <w:pPr>
      <w:ind w:firstLine="0"/>
    </w:pPr>
  </w:style>
  <w:style w:type="paragraph" w:customStyle="1" w:styleId="ListNote">
    <w:name w:val="List Note"/>
    <w:basedOn w:val="List"/>
    <w:rsid w:val="001B3080"/>
    <w:pPr>
      <w:pBdr>
        <w:top w:val="single" w:sz="6" w:space="2" w:color="918585"/>
        <w:bottom w:val="single" w:sz="6" w:space="2" w:color="918585"/>
      </w:pBdr>
      <w:tabs>
        <w:tab w:val="left" w:pos="1021"/>
      </w:tabs>
      <w:ind w:firstLine="0"/>
    </w:pPr>
  </w:style>
  <w:style w:type="paragraph" w:customStyle="1" w:styleId="Warning">
    <w:name w:val="Warning"/>
    <w:basedOn w:val="BodyText"/>
    <w:rsid w:val="001B3080"/>
    <w:pPr>
      <w:shd w:val="clear" w:color="auto" w:fill="D9D9D9"/>
      <w:tabs>
        <w:tab w:val="left" w:pos="992"/>
      </w:tabs>
      <w:ind w:left="119" w:right="119"/>
    </w:pPr>
    <w:rPr>
      <w:sz w:val="20"/>
    </w:rPr>
  </w:style>
  <w:style w:type="paragraph" w:customStyle="1" w:styleId="MarginIcons">
    <w:name w:val="Margin Icons"/>
    <w:basedOn w:val="BodyText"/>
    <w:rsid w:val="001B3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080"/>
    <w:rPr>
      <w:rFonts w:ascii="Courier New" w:hAnsi="Courier New"/>
    </w:rPr>
  </w:style>
  <w:style w:type="paragraph" w:customStyle="1" w:styleId="NoteBullet">
    <w:name w:val="Note Bullet"/>
    <w:basedOn w:val="Note"/>
    <w:rsid w:val="001B3080"/>
    <w:pPr>
      <w:tabs>
        <w:tab w:val="clear" w:pos="680"/>
      </w:tabs>
      <w:spacing w:before="60" w:after="60"/>
    </w:pPr>
  </w:style>
  <w:style w:type="paragraph" w:customStyle="1" w:styleId="SubHeading2">
    <w:name w:val="SubHeading2"/>
    <w:basedOn w:val="HeadingBase"/>
    <w:rsid w:val="001B3080"/>
    <w:pPr>
      <w:spacing w:before="240" w:after="60"/>
    </w:pPr>
    <w:rPr>
      <w:sz w:val="20"/>
    </w:rPr>
  </w:style>
  <w:style w:type="paragraph" w:customStyle="1" w:styleId="SubHeading1">
    <w:name w:val="SubHeading1"/>
    <w:basedOn w:val="HeadingBase"/>
    <w:rsid w:val="001B3080"/>
    <w:pPr>
      <w:spacing w:before="240" w:after="60"/>
    </w:pPr>
    <w:rPr>
      <w:color w:val="918585"/>
      <w:sz w:val="22"/>
    </w:rPr>
  </w:style>
  <w:style w:type="paragraph" w:customStyle="1" w:styleId="SideHeading">
    <w:name w:val="Side Heading"/>
    <w:basedOn w:val="HeadingBase"/>
    <w:rsid w:val="001B3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080"/>
    <w:pPr>
      <w:tabs>
        <w:tab w:val="num" w:pos="360"/>
      </w:tabs>
    </w:pPr>
  </w:style>
  <w:style w:type="paragraph" w:styleId="PlainText">
    <w:name w:val="Plain Text"/>
    <w:basedOn w:val="Normal"/>
    <w:link w:val="PlainTextChar"/>
    <w:rsid w:val="001B3080"/>
    <w:rPr>
      <w:sz w:val="20"/>
    </w:rPr>
  </w:style>
  <w:style w:type="character" w:customStyle="1" w:styleId="PlainTextChar">
    <w:name w:val="Plain Text Char"/>
    <w:basedOn w:val="DefaultParagraphFont"/>
    <w:link w:val="PlainText"/>
    <w:rsid w:val="001B3080"/>
    <w:rPr>
      <w:rFonts w:ascii="Courier New" w:eastAsia="Times New Roman" w:hAnsi="Courier New" w:cs="Times New Roman"/>
      <w:sz w:val="20"/>
      <w:szCs w:val="20"/>
      <w:lang w:eastAsia="en-US"/>
    </w:rPr>
  </w:style>
  <w:style w:type="character" w:customStyle="1" w:styleId="MenuOption">
    <w:name w:val="Menu Option"/>
    <w:basedOn w:val="DefaultParagraphFont"/>
    <w:rsid w:val="001B3080"/>
    <w:rPr>
      <w:b/>
      <w:smallCaps/>
    </w:rPr>
  </w:style>
  <w:style w:type="paragraph" w:customStyle="1" w:styleId="TableListNumber">
    <w:name w:val="Table List Number"/>
    <w:basedOn w:val="ListNumber"/>
    <w:rsid w:val="001B3080"/>
    <w:pPr>
      <w:numPr>
        <w:numId w:val="0"/>
      </w:numPr>
    </w:pPr>
  </w:style>
  <w:style w:type="paragraph" w:styleId="TOC4">
    <w:name w:val="toc 4"/>
    <w:basedOn w:val="TOCBase"/>
    <w:next w:val="Normal"/>
    <w:semiHidden/>
    <w:rsid w:val="001B3080"/>
    <w:pPr>
      <w:tabs>
        <w:tab w:val="right" w:leader="dot" w:pos="9071"/>
      </w:tabs>
      <w:ind w:left="1701"/>
    </w:pPr>
  </w:style>
  <w:style w:type="paragraph" w:customStyle="1" w:styleId="ListAlpha">
    <w:name w:val="List Alpha"/>
    <w:basedOn w:val="List"/>
    <w:rsid w:val="001B3080"/>
    <w:pPr>
      <w:numPr>
        <w:numId w:val="9"/>
      </w:numPr>
    </w:pPr>
  </w:style>
  <w:style w:type="paragraph" w:customStyle="1" w:styleId="ListAlpha2">
    <w:name w:val="List Alpha 2"/>
    <w:basedOn w:val="List2"/>
    <w:rsid w:val="001B3080"/>
    <w:pPr>
      <w:numPr>
        <w:numId w:val="8"/>
      </w:numPr>
    </w:pPr>
  </w:style>
  <w:style w:type="paragraph" w:styleId="List2">
    <w:name w:val="List 2"/>
    <w:basedOn w:val="BodyText"/>
    <w:rsid w:val="001B3080"/>
    <w:pPr>
      <w:tabs>
        <w:tab w:val="left" w:pos="680"/>
      </w:tabs>
      <w:spacing w:before="60" w:after="60"/>
      <w:ind w:left="680" w:hanging="340"/>
    </w:pPr>
  </w:style>
  <w:style w:type="paragraph" w:styleId="List3">
    <w:name w:val="List 3"/>
    <w:basedOn w:val="BodyText"/>
    <w:rsid w:val="001B3080"/>
    <w:pPr>
      <w:tabs>
        <w:tab w:val="left" w:pos="1021"/>
      </w:tabs>
      <w:spacing w:before="60" w:after="60"/>
      <w:ind w:left="1020" w:hanging="340"/>
    </w:pPr>
  </w:style>
  <w:style w:type="paragraph" w:styleId="List4">
    <w:name w:val="List 4"/>
    <w:basedOn w:val="BodyText"/>
    <w:rsid w:val="001B3080"/>
    <w:pPr>
      <w:tabs>
        <w:tab w:val="left" w:pos="1361"/>
      </w:tabs>
      <w:spacing w:before="60" w:after="60"/>
      <w:ind w:left="1361" w:hanging="340"/>
    </w:pPr>
  </w:style>
  <w:style w:type="paragraph" w:styleId="List5">
    <w:name w:val="List 5"/>
    <w:basedOn w:val="BodyText"/>
    <w:rsid w:val="001B3080"/>
    <w:pPr>
      <w:tabs>
        <w:tab w:val="left" w:pos="1701"/>
      </w:tabs>
      <w:spacing w:before="60" w:after="60"/>
      <w:ind w:left="1701" w:hanging="340"/>
    </w:pPr>
  </w:style>
  <w:style w:type="paragraph" w:styleId="ListBullet3">
    <w:name w:val="List Bullet 3"/>
    <w:basedOn w:val="List3"/>
    <w:rsid w:val="001B3080"/>
    <w:pPr>
      <w:numPr>
        <w:numId w:val="14"/>
      </w:numPr>
      <w:tabs>
        <w:tab w:val="clear" w:pos="1021"/>
      </w:tabs>
      <w:ind w:left="1037" w:hanging="357"/>
    </w:pPr>
  </w:style>
  <w:style w:type="paragraph" w:styleId="ListBullet4">
    <w:name w:val="List Bullet 4"/>
    <w:basedOn w:val="List4"/>
    <w:rsid w:val="001B3080"/>
    <w:pPr>
      <w:numPr>
        <w:numId w:val="3"/>
      </w:numPr>
      <w:tabs>
        <w:tab w:val="clear" w:pos="1361"/>
      </w:tabs>
    </w:pPr>
  </w:style>
  <w:style w:type="paragraph" w:styleId="ListBullet5">
    <w:name w:val="List Bullet 5"/>
    <w:basedOn w:val="List5"/>
    <w:rsid w:val="001B3080"/>
    <w:pPr>
      <w:numPr>
        <w:numId w:val="4"/>
      </w:numPr>
    </w:pPr>
  </w:style>
  <w:style w:type="paragraph" w:styleId="ListContinue2">
    <w:name w:val="List Continue 2"/>
    <w:basedOn w:val="List2"/>
    <w:rsid w:val="001B3080"/>
    <w:pPr>
      <w:ind w:firstLine="0"/>
    </w:pPr>
  </w:style>
  <w:style w:type="paragraph" w:styleId="ListContinue3">
    <w:name w:val="List Continue 3"/>
    <w:basedOn w:val="List3"/>
    <w:rsid w:val="001B3080"/>
    <w:pPr>
      <w:ind w:left="1021" w:firstLine="0"/>
    </w:pPr>
  </w:style>
  <w:style w:type="paragraph" w:styleId="ListContinue4">
    <w:name w:val="List Continue 4"/>
    <w:basedOn w:val="List4"/>
    <w:rsid w:val="001B3080"/>
    <w:pPr>
      <w:ind w:firstLine="0"/>
    </w:pPr>
  </w:style>
  <w:style w:type="paragraph" w:styleId="ListContinue5">
    <w:name w:val="List Continue 5"/>
    <w:basedOn w:val="List5"/>
    <w:rsid w:val="001B3080"/>
    <w:pPr>
      <w:ind w:firstLine="0"/>
    </w:pPr>
  </w:style>
  <w:style w:type="paragraph" w:styleId="ListNumber3">
    <w:name w:val="List Number 3"/>
    <w:basedOn w:val="List3"/>
    <w:rsid w:val="001B3080"/>
    <w:pPr>
      <w:numPr>
        <w:numId w:val="5"/>
      </w:numPr>
    </w:pPr>
  </w:style>
  <w:style w:type="paragraph" w:styleId="ListNumber4">
    <w:name w:val="List Number 4"/>
    <w:basedOn w:val="List4"/>
    <w:rsid w:val="001B3080"/>
    <w:pPr>
      <w:numPr>
        <w:numId w:val="6"/>
      </w:numPr>
    </w:pPr>
  </w:style>
  <w:style w:type="paragraph" w:styleId="ListNumber5">
    <w:name w:val="List Number 5"/>
    <w:basedOn w:val="List5"/>
    <w:rsid w:val="001B3080"/>
    <w:pPr>
      <w:numPr>
        <w:numId w:val="7"/>
      </w:numPr>
    </w:pPr>
  </w:style>
  <w:style w:type="paragraph" w:styleId="BlockText">
    <w:name w:val="Block Text"/>
    <w:basedOn w:val="Normal"/>
    <w:rsid w:val="001B3080"/>
    <w:pPr>
      <w:spacing w:after="120"/>
      <w:ind w:left="1440" w:right="1440"/>
    </w:pPr>
  </w:style>
  <w:style w:type="character" w:customStyle="1" w:styleId="Subscript">
    <w:name w:val="Subscript"/>
    <w:basedOn w:val="DefaultParagraphFont"/>
    <w:rsid w:val="001B3080"/>
    <w:rPr>
      <w:sz w:val="16"/>
      <w:vertAlign w:val="subscript"/>
    </w:rPr>
  </w:style>
  <w:style w:type="character" w:customStyle="1" w:styleId="Superscript">
    <w:name w:val="Superscript"/>
    <w:basedOn w:val="DefaultParagraphFont"/>
    <w:rsid w:val="001B3080"/>
    <w:rPr>
      <w:sz w:val="16"/>
      <w:vertAlign w:val="superscript"/>
    </w:rPr>
  </w:style>
  <w:style w:type="character" w:customStyle="1" w:styleId="Symbols">
    <w:name w:val="Symbols"/>
    <w:basedOn w:val="DefaultParagraphFont"/>
    <w:rsid w:val="001B3080"/>
    <w:rPr>
      <w:rFonts w:ascii="Symbol" w:hAnsi="Symbol"/>
    </w:rPr>
  </w:style>
  <w:style w:type="character" w:customStyle="1" w:styleId="MenuOptions">
    <w:name w:val="Menu Options"/>
    <w:basedOn w:val="DefaultParagraphFont"/>
    <w:rsid w:val="001B3080"/>
    <w:rPr>
      <w:rFonts w:ascii="Arial Narrow" w:hAnsi="Arial Narrow"/>
      <w:smallCaps/>
    </w:rPr>
  </w:style>
  <w:style w:type="character" w:customStyle="1" w:styleId="Buttons">
    <w:name w:val="Buttons"/>
    <w:basedOn w:val="DefaultParagraphFont"/>
    <w:rsid w:val="001B3080"/>
    <w:rPr>
      <w:b/>
    </w:rPr>
  </w:style>
  <w:style w:type="character" w:customStyle="1" w:styleId="Underlined">
    <w:name w:val="Underlined"/>
    <w:basedOn w:val="DefaultParagraphFont"/>
    <w:rsid w:val="001B3080"/>
    <w:rPr>
      <w:u w:val="single"/>
    </w:rPr>
  </w:style>
  <w:style w:type="paragraph" w:customStyle="1" w:styleId="TableBodyTextRight">
    <w:name w:val="Table Body Text Right"/>
    <w:basedOn w:val="TableBodyText"/>
    <w:rsid w:val="001B3080"/>
    <w:pPr>
      <w:widowControl w:val="0"/>
      <w:autoSpaceDE w:val="0"/>
      <w:autoSpaceDN w:val="0"/>
      <w:adjustRightInd w:val="0"/>
      <w:jc w:val="right"/>
    </w:pPr>
    <w:rPr>
      <w:rFonts w:cs="Arial"/>
      <w:szCs w:val="18"/>
    </w:rPr>
  </w:style>
  <w:style w:type="paragraph" w:customStyle="1" w:styleId="CopyrightText">
    <w:name w:val="Copyright Text"/>
    <w:basedOn w:val="BodyText"/>
    <w:rsid w:val="001B3080"/>
    <w:rPr>
      <w:sz w:val="18"/>
    </w:rPr>
  </w:style>
  <w:style w:type="paragraph" w:customStyle="1" w:styleId="BodySmallRight">
    <w:name w:val="Body Small Right"/>
    <w:basedOn w:val="BodyTextRight"/>
    <w:rsid w:val="001B3080"/>
    <w:rPr>
      <w:sz w:val="18"/>
      <w:szCs w:val="18"/>
    </w:rPr>
  </w:style>
  <w:style w:type="paragraph" w:customStyle="1" w:styleId="MarginEdition">
    <w:name w:val="Margin Edition"/>
    <w:basedOn w:val="MarginNote"/>
    <w:rsid w:val="001B3080"/>
    <w:pPr>
      <w:spacing w:before="0" w:after="0"/>
    </w:pPr>
    <w:rPr>
      <w:rFonts w:ascii="Times New Roman" w:hAnsi="Times New Roman"/>
      <w:color w:val="999999"/>
    </w:rPr>
  </w:style>
  <w:style w:type="paragraph" w:customStyle="1" w:styleId="Spacer">
    <w:name w:val="Spacer"/>
    <w:basedOn w:val="Normal"/>
    <w:rsid w:val="001B3080"/>
    <w:rPr>
      <w:sz w:val="2"/>
      <w:szCs w:val="2"/>
    </w:rPr>
  </w:style>
  <w:style w:type="character" w:customStyle="1" w:styleId="Small">
    <w:name w:val="Small"/>
    <w:basedOn w:val="DefaultParagraphFont"/>
    <w:rsid w:val="001B3080"/>
    <w:rPr>
      <w:sz w:val="16"/>
    </w:rPr>
  </w:style>
  <w:style w:type="paragraph" w:customStyle="1" w:styleId="WideTable">
    <w:name w:val="Wide Table"/>
    <w:basedOn w:val="Normal"/>
    <w:rsid w:val="001B3080"/>
    <w:pPr>
      <w:ind w:left="-1418"/>
    </w:pPr>
    <w:rPr>
      <w:sz w:val="2"/>
      <w:szCs w:val="2"/>
    </w:rPr>
  </w:style>
  <w:style w:type="character" w:styleId="PageNumber">
    <w:name w:val="page number"/>
    <w:basedOn w:val="DefaultParagraphFont"/>
    <w:rsid w:val="001B3080"/>
  </w:style>
  <w:style w:type="paragraph" w:styleId="Quote">
    <w:name w:val="Quote"/>
    <w:basedOn w:val="Heading1"/>
    <w:link w:val="QuoteChar"/>
    <w:qFormat/>
    <w:rsid w:val="001B3080"/>
    <w:rPr>
      <w:b w:val="0"/>
      <w:sz w:val="72"/>
      <w:szCs w:val="72"/>
      <w:lang w:val="en-NZ"/>
    </w:rPr>
  </w:style>
  <w:style w:type="character" w:customStyle="1" w:styleId="QuoteChar">
    <w:name w:val="Quote Char"/>
    <w:basedOn w:val="DefaultParagraphFont"/>
    <w:link w:val="Quote"/>
    <w:rsid w:val="001B3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080"/>
    <w:pPr>
      <w:pageBreakBefore/>
    </w:pPr>
  </w:style>
  <w:style w:type="paragraph" w:customStyle="1" w:styleId="Border">
    <w:name w:val="Border"/>
    <w:basedOn w:val="Normal"/>
    <w:qFormat/>
    <w:rsid w:val="001B3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080"/>
    <w:rPr>
      <w:b/>
      <w:bCs/>
      <w:i/>
      <w:iCs/>
      <w:color w:val="auto"/>
    </w:rPr>
  </w:style>
  <w:style w:type="paragraph" w:styleId="IntenseQuote">
    <w:name w:val="Intense Quote"/>
    <w:basedOn w:val="Normal"/>
    <w:next w:val="Normal"/>
    <w:link w:val="IntenseQuoteChar"/>
    <w:uiPriority w:val="30"/>
    <w:qFormat/>
    <w:rsid w:val="001B3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080"/>
    <w:rPr>
      <w:smallCaps/>
      <w:color w:val="auto"/>
      <w:u w:val="single"/>
    </w:rPr>
  </w:style>
  <w:style w:type="character" w:styleId="IntenseReference">
    <w:name w:val="Intense Reference"/>
    <w:basedOn w:val="DefaultParagraphFont"/>
    <w:uiPriority w:val="32"/>
    <w:qFormat/>
    <w:rsid w:val="001B3080"/>
    <w:rPr>
      <w:b/>
      <w:bCs/>
      <w:smallCaps/>
      <w:color w:val="auto"/>
      <w:spacing w:val="5"/>
      <w:u w:val="single"/>
    </w:rPr>
  </w:style>
  <w:style w:type="paragraph" w:customStyle="1" w:styleId="2ColumnHeading">
    <w:name w:val="2Column Heading"/>
    <w:basedOn w:val="BodyText"/>
    <w:qFormat/>
    <w:rsid w:val="001B3080"/>
    <w:pPr>
      <w:spacing w:after="60"/>
      <w:ind w:left="-2268"/>
    </w:pPr>
    <w:rPr>
      <w:b/>
    </w:rPr>
  </w:style>
  <w:style w:type="paragraph" w:customStyle="1" w:styleId="Heading1TOC">
    <w:name w:val="Heading1 TOC"/>
    <w:basedOn w:val="Normal"/>
    <w:qFormat/>
    <w:rsid w:val="001B3080"/>
    <w:pPr>
      <w:spacing w:before="240" w:after="120"/>
    </w:pPr>
    <w:rPr>
      <w:rFonts w:ascii="Times New Roman" w:hAnsi="Times New Roman"/>
      <w:b/>
      <w:sz w:val="32"/>
    </w:rPr>
  </w:style>
  <w:style w:type="paragraph" w:customStyle="1" w:styleId="Heading2TOC">
    <w:name w:val="Heading2 TOC"/>
    <w:basedOn w:val="Normal"/>
    <w:qFormat/>
    <w:rsid w:val="001B3080"/>
    <w:pPr>
      <w:spacing w:before="240" w:after="60"/>
    </w:pPr>
    <w:rPr>
      <w:rFonts w:ascii="Times New Roman" w:hAnsi="Times New Roman"/>
      <w:b/>
      <w:sz w:val="28"/>
    </w:rPr>
  </w:style>
  <w:style w:type="character" w:customStyle="1" w:styleId="Underline">
    <w:name w:val="Underline"/>
    <w:basedOn w:val="DefaultParagraphFont"/>
    <w:qFormat/>
    <w:rsid w:val="001B3080"/>
    <w:rPr>
      <w:u w:val="single"/>
    </w:rPr>
  </w:style>
  <w:style w:type="character" w:customStyle="1" w:styleId="BoldandItalics">
    <w:name w:val="Bold and Italics"/>
    <w:qFormat/>
    <w:rsid w:val="001B3080"/>
    <w:rPr>
      <w:b/>
      <w:i/>
      <w:u w:val="none"/>
    </w:rPr>
  </w:style>
  <w:style w:type="paragraph" w:styleId="BalloonText">
    <w:name w:val="Balloon Text"/>
    <w:basedOn w:val="Normal"/>
    <w:link w:val="BalloonTextChar"/>
    <w:rsid w:val="001B3080"/>
    <w:rPr>
      <w:rFonts w:ascii="Tahoma" w:hAnsi="Tahoma" w:cs="Tahoma"/>
      <w:sz w:val="16"/>
      <w:szCs w:val="16"/>
    </w:rPr>
  </w:style>
  <w:style w:type="character" w:customStyle="1" w:styleId="BalloonTextChar">
    <w:name w:val="Balloon Text Char"/>
    <w:basedOn w:val="DefaultParagraphFont"/>
    <w:link w:val="BalloonText"/>
    <w:rsid w:val="001B3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080"/>
    <w:rPr>
      <w:b/>
      <w:color w:val="660033"/>
      <w:spacing w:val="0"/>
    </w:rPr>
  </w:style>
  <w:style w:type="paragraph" w:customStyle="1" w:styleId="Nameditemlist">
    <w:name w:val="Named item list"/>
    <w:basedOn w:val="BodyText"/>
    <w:qFormat/>
    <w:rsid w:val="001B3080"/>
    <w:pPr>
      <w:tabs>
        <w:tab w:val="left" w:pos="2835"/>
      </w:tabs>
      <w:ind w:left="2835" w:hanging="2835"/>
    </w:pPr>
  </w:style>
  <w:style w:type="paragraph" w:customStyle="1" w:styleId="BodyTextnopadding">
    <w:name w:val="Body Text no padding"/>
    <w:basedOn w:val="BodyText"/>
    <w:qFormat/>
    <w:rsid w:val="001B3080"/>
    <w:pPr>
      <w:spacing w:before="0" w:after="0"/>
    </w:pPr>
  </w:style>
  <w:style w:type="paragraph" w:customStyle="1" w:styleId="BodyTextBold">
    <w:name w:val="Body Text Bold"/>
    <w:basedOn w:val="BodyText"/>
    <w:qFormat/>
    <w:rsid w:val="001B3080"/>
    <w:rPr>
      <w:b/>
    </w:rPr>
  </w:style>
  <w:style w:type="character" w:styleId="Hyperlink">
    <w:name w:val="Hyperlink"/>
    <w:basedOn w:val="DefaultParagraphFont"/>
    <w:uiPriority w:val="99"/>
    <w:unhideWhenUsed/>
    <w:rsid w:val="00744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4984</Characters>
  <Application>Microsoft Office Word</Application>
  <DocSecurity>0</DocSecurity>
  <Lines>207</Lines>
  <Paragraphs>98</Paragraphs>
  <ScaleCrop>false</ScaleCrop>
  <Company>Author-it Software Corporation Ltd.</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MEA283 Repair or overhaul aircraft display, control and distribution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