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043" w:rsidP="00D52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MEA281 Maintain light aircraft AC powered instrument systems and components</w:t>
      </w:r>
      <w:r>
        <w:fldChar w:fldCharType="end"/>
      </w:r>
    </w:p>
    <w:p w:rsidR="00D52043" w:rsidP="00D52043">
      <w:pPr>
        <w:pStyle w:val="Version"/>
        <w:sectPr w:rsidSect="00C84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4958" w:rsidP="00C84958">
      <w:pPr>
        <w:pStyle w:val="SuperHeading"/>
      </w:pPr>
      <w:r w:rsidRPr="00C84958">
        <w:t>Assessment Requirements for MEA281 Maintain light aircraft AC powered instrument systems and components</w:t>
      </w:r>
    </w:p>
    <w:p w:rsidR="00000000" w:rsidRPr="00C84958" w:rsidP="00C84958">
      <w:pPr>
        <w:pStyle w:val="Heading1"/>
      </w:pPr>
      <w:bookmarkStart w:id="1" w:name="O_1006493"/>
      <w:bookmarkEnd w:id="1"/>
      <w:r w:rsidRPr="00C84958">
        <w:t>Modification History</w:t>
      </w:r>
    </w:p>
    <w:p w:rsidR="00000000" w:rsidRPr="00C84958" w:rsidP="00D52043">
      <w:pPr>
        <w:pStyle w:val="BodyText"/>
      </w:pPr>
      <w:r w:rsidRPr="00C84958">
        <w:t>Release 2. Equivalent to MEA281 Maint</w:t>
      </w:r>
      <w:r w:rsidRPr="00C84958">
        <w:t>ain light aircraft AC powered instrument systems and components with amended prerequisite unit name.</w:t>
      </w:r>
    </w:p>
    <w:p w:rsidR="00000000" w:rsidRPr="00C84958" w:rsidP="00C84958">
      <w:pPr>
        <w:pStyle w:val="Heading1"/>
      </w:pPr>
      <w:bookmarkStart w:id="2" w:name="O_1006492"/>
      <w:bookmarkEnd w:id="2"/>
      <w:r w:rsidRPr="00C84958">
        <w:t>Performance Evidence</w:t>
      </w:r>
    </w:p>
    <w:p w:rsidR="00000000" w:rsidRPr="00C84958" w:rsidP="00D52043">
      <w:pPr>
        <w:pStyle w:val="BodyText"/>
      </w:pPr>
      <w:r w:rsidRPr="00C84958">
        <w:t>Evidence required to demonstrate competency in this unit must be relevant to and satisfy all of the requirements of</w:t>
      </w:r>
      <w:r w:rsidRPr="00C84958">
        <w:t xml:space="preserve"> the elements and performance criteria under the specified conditions of assessment, and include:</w:t>
      </w:r>
    </w:p>
    <w:p w:rsidR="00000000" w:rsidRPr="00C84958" w:rsidP="00C84958">
      <w:pPr>
        <w:pStyle w:val="ListBullet"/>
      </w:pPr>
      <w:r w:rsidRPr="00C84958">
        <w:t>using approved maintenance documentation and aircraft publications relating to AC instrument systems and related AC power supplies</w:t>
      </w:r>
    </w:p>
    <w:p w:rsidR="00000000" w:rsidRPr="00C84958" w:rsidP="00C84958">
      <w:pPr>
        <w:pStyle w:val="ListBullet"/>
      </w:pPr>
      <w:r w:rsidRPr="00C84958">
        <w:t>locating and identifying A</w:t>
      </w:r>
      <w:r w:rsidRPr="00C84958">
        <w:t>C powered instrument system components including:</w:t>
      </w:r>
    </w:p>
    <w:p w:rsidR="00000000" w:rsidRPr="00C84958" w:rsidP="00C84958">
      <w:pPr>
        <w:pStyle w:val="ListBullet2"/>
      </w:pPr>
      <w:r w:rsidRPr="00C84958">
        <w:t>AH, DG, AHRS, servo and encoding altimeters</w:t>
      </w:r>
    </w:p>
    <w:p w:rsidR="00000000" w:rsidRPr="00C84958" w:rsidP="00C84958">
      <w:pPr>
        <w:pStyle w:val="ListBullet2"/>
      </w:pPr>
      <w:r w:rsidRPr="00C84958">
        <w:t>engine system temperature, speed, oil pressure, torque and manifold pressure</w:t>
      </w:r>
    </w:p>
    <w:p w:rsidR="00000000" w:rsidRPr="00C84958" w:rsidP="00C84958">
      <w:pPr>
        <w:pStyle w:val="ListBullet2"/>
      </w:pPr>
      <w:r w:rsidRPr="00C84958">
        <w:t>auxiliary systems, including vacuum, fuel storage quantities and fuel flow</w:t>
      </w:r>
    </w:p>
    <w:p w:rsidR="00000000" w:rsidRPr="00C84958" w:rsidP="00C84958">
      <w:pPr>
        <w:pStyle w:val="ListBullet2"/>
      </w:pPr>
      <w:r w:rsidRPr="00C84958">
        <w:t>remote re</w:t>
      </w:r>
      <w:r w:rsidRPr="00C84958">
        <w:t>ading gyro compasses</w:t>
      </w:r>
    </w:p>
    <w:p w:rsidR="00000000" w:rsidRPr="00C84958" w:rsidP="00C84958">
      <w:pPr>
        <w:pStyle w:val="ListBullet"/>
      </w:pPr>
      <w:r w:rsidRPr="00C84958">
        <w:t>locating and identifying AC instrument power supply system components, including:</w:t>
      </w:r>
    </w:p>
    <w:p w:rsidR="00000000" w:rsidRPr="00C84958" w:rsidP="00C84958">
      <w:pPr>
        <w:pStyle w:val="ListBullet2"/>
      </w:pPr>
      <w:r w:rsidRPr="00C84958">
        <w:t>inverters</w:t>
      </w:r>
    </w:p>
    <w:p w:rsidR="00000000" w:rsidRPr="00C84958" w:rsidP="00C84958">
      <w:pPr>
        <w:pStyle w:val="ListBullet2"/>
      </w:pPr>
      <w:r w:rsidRPr="00C84958">
        <w:t>transformer/rectifier units</w:t>
      </w:r>
    </w:p>
    <w:p w:rsidR="00000000" w:rsidRPr="00C84958" w:rsidP="00C84958">
      <w:pPr>
        <w:pStyle w:val="ListBullet2"/>
      </w:pPr>
      <w:r w:rsidRPr="00C84958">
        <w:t>voltage and frequency indication</w:t>
      </w:r>
    </w:p>
    <w:p w:rsidR="00000000" w:rsidRPr="00C84958" w:rsidP="00C84958">
      <w:pPr>
        <w:pStyle w:val="ListBullet"/>
      </w:pPr>
      <w:r w:rsidRPr="00C84958">
        <w:t>correctly handling and observing maintenance precautions for gyroscopes and gimbals</w:t>
      </w:r>
    </w:p>
    <w:p w:rsidR="00000000" w:rsidRPr="00C84958" w:rsidP="00C84958">
      <w:pPr>
        <w:pStyle w:val="ListBullet"/>
      </w:pPr>
      <w:r w:rsidRPr="00C84958">
        <w:t>recognising system and component defects/external damage, correct installation, connection of plugs, terminations, attaching hardware (including cabling/harnesses) and secu</w:t>
      </w:r>
      <w:r w:rsidRPr="00C84958">
        <w:t>rity in AC powered instruments and related power supply, including:</w:t>
      </w:r>
    </w:p>
    <w:p w:rsidR="00000000" w:rsidRPr="00C84958" w:rsidP="00C84958">
      <w:pPr>
        <w:pStyle w:val="ListBullet2"/>
      </w:pPr>
      <w:r w:rsidRPr="00C84958">
        <w:t>flight instruments</w:t>
      </w:r>
    </w:p>
    <w:p w:rsidR="00000000" w:rsidRPr="00C84958" w:rsidP="00C84958">
      <w:pPr>
        <w:pStyle w:val="ListBullet2"/>
      </w:pPr>
      <w:r w:rsidRPr="00C84958">
        <w:t>remote reading gyro compasses</w:t>
      </w:r>
    </w:p>
    <w:p w:rsidR="00000000" w:rsidRPr="00C84958" w:rsidP="00C84958">
      <w:pPr>
        <w:pStyle w:val="ListBullet2"/>
      </w:pPr>
      <w:r w:rsidRPr="00C84958">
        <w:t>piston engine and gas turbine engine indication systems (indicators and transmitters/sensors)</w:t>
      </w:r>
    </w:p>
    <w:p w:rsidR="00000000" w:rsidRPr="00C84958" w:rsidP="00C84958">
      <w:pPr>
        <w:pStyle w:val="ListBullet2"/>
      </w:pPr>
      <w:r w:rsidRPr="00C84958">
        <w:t>fuel quantity and flow indication systems (i</w:t>
      </w:r>
      <w:r w:rsidRPr="00C84958">
        <w:t>ndicators, probes and transmitters)</w:t>
      </w:r>
    </w:p>
    <w:p w:rsidR="00000000" w:rsidRPr="00C84958" w:rsidP="00C84958">
      <w:pPr>
        <w:pStyle w:val="ListBullet2"/>
      </w:pPr>
      <w:r w:rsidRPr="00C84958">
        <w:t>transmitter/indicator measuring instrument systems (pressure, temperature and vacuum)</w:t>
      </w:r>
    </w:p>
    <w:p w:rsidR="00000000" w:rsidRPr="00C84958" w:rsidP="00C84958">
      <w:pPr>
        <w:pStyle w:val="ListBullet2"/>
      </w:pPr>
      <w:r w:rsidRPr="00C84958">
        <w:t>AC power supply, including inverters and transformer/rectifier units</w:t>
      </w:r>
    </w:p>
    <w:p w:rsidR="00000000" w:rsidRPr="00C84958" w:rsidP="00C84958">
      <w:pPr>
        <w:pStyle w:val="ListBullet"/>
      </w:pPr>
      <w:r w:rsidRPr="00C84958">
        <w:t>applying logic processes, taking and interpreting system measure</w:t>
      </w:r>
      <w:r w:rsidRPr="00C84958">
        <w:t>ments, using test equipment and appropriate wiring diagrams and manuals to isolate malfunctions in the above systems</w:t>
      </w:r>
    </w:p>
    <w:p w:rsidR="00000000" w:rsidRPr="00C84958" w:rsidP="00C84958">
      <w:pPr>
        <w:pStyle w:val="ListBullet"/>
      </w:pPr>
      <w:r w:rsidRPr="00C84958">
        <w:t>performing system functional tests and checks to isolate system faults and assess post-maintenance serviceability</w:t>
      </w:r>
    </w:p>
    <w:p w:rsidR="00000000" w:rsidRPr="00C84958" w:rsidP="00C84958">
      <w:pPr>
        <w:pStyle w:val="ListBullet"/>
      </w:pPr>
      <w:r w:rsidRPr="00C84958">
        <w:t>applying WHS requirements</w:t>
      </w:r>
      <w:r w:rsidRPr="00C84958">
        <w:t xml:space="preserve"> relevant to instrument and electrical system maintenance.</w:t>
      </w:r>
    </w:p>
    <w:p w:rsidR="00000000" w:rsidRPr="00C84958" w:rsidP="00D52043">
      <w:pPr>
        <w:pStyle w:val="BodyText"/>
      </w:pPr>
      <w:r w:rsidRPr="00C84958">
        <w:t>It is essential that system testing procedures, cleanliness requirements and safety precautions applicable to the system being maintained are fully observed, understood and complied with. Ability t</w:t>
      </w:r>
      <w:r w:rsidRPr="00C84958">
        <w:t>o interpret inspection procedures and specifications (allowable limits) and apply them in practice across a range of inspection, testing and troubleshooting applications (including the timely involvement of supervisors or other trades) is critical.</w:t>
      </w:r>
    </w:p>
    <w:p w:rsidR="00D52043" w:rsidP="00D52043">
      <w:pPr>
        <w:pStyle w:val="BodyText"/>
      </w:pPr>
      <w:r w:rsidRPr="00C84958">
        <w:t>Evidence of transferability of skills and knowledge related to inspection, testing and troubleshooting is essential. This is to be demonstrated through application across a range of AC powered aircraft instrument systems, AC power supplies and components l</w:t>
      </w:r>
      <w:r w:rsidRPr="00C84958">
        <w:t xml:space="preserve">isted in the Assessment Conditions. </w:t>
      </w:r>
    </w:p>
    <w:p w:rsidR="00000000" w:rsidRPr="00C84958" w:rsidP="00C84958">
      <w:pPr>
        <w:pStyle w:val="Heading1"/>
      </w:pPr>
      <w:bookmarkStart w:id="3" w:name="O_1006491"/>
      <w:bookmarkEnd w:id="3"/>
      <w:r w:rsidRPr="00C84958">
        <w:t>Knowledge Evidence</w:t>
      </w:r>
    </w:p>
    <w:p w:rsidR="00000000" w:rsidRPr="00C84958" w:rsidP="00D52043">
      <w:pPr>
        <w:pStyle w:val="BodyText"/>
      </w:pPr>
      <w:r w:rsidRPr="00C84958">
        <w:t>Evidence required to demonstrate competency in this unit must be relevant to and satisfy all of the requirements of the elements and performance criteria and include knowledge of:</w:t>
      </w:r>
    </w:p>
    <w:p w:rsidR="00000000" w:rsidRPr="00C84958" w:rsidP="00C84958">
      <w:pPr>
        <w:pStyle w:val="ListBullet"/>
      </w:pPr>
      <w:r w:rsidRPr="00C84958">
        <w:t>component attachment methods</w:t>
      </w:r>
    </w:p>
    <w:p w:rsidR="00000000" w:rsidRPr="00C84958" w:rsidP="00C84958">
      <w:pPr>
        <w:pStyle w:val="ListBullet"/>
      </w:pPr>
      <w:r w:rsidRPr="00C84958">
        <w:t>connection of hardware and plugs</w:t>
      </w:r>
    </w:p>
    <w:p w:rsidR="00000000" w:rsidRPr="00C84958" w:rsidP="00C84958">
      <w:pPr>
        <w:pStyle w:val="ListBullet"/>
      </w:pPr>
      <w:r w:rsidRPr="00C84958">
        <w:t>handling precautions for electrostatic sensitive devices</w:t>
      </w:r>
    </w:p>
    <w:p w:rsidR="00000000" w:rsidRPr="00C84958" w:rsidP="00C84958">
      <w:pPr>
        <w:pStyle w:val="ListBullet"/>
      </w:pPr>
      <w:r w:rsidRPr="00C84958">
        <w:t>relevant WHS practices</w:t>
      </w:r>
    </w:p>
    <w:p w:rsidR="00000000" w:rsidRPr="00C84958" w:rsidP="00C84958">
      <w:pPr>
        <w:pStyle w:val="ListBullet"/>
      </w:pPr>
      <w:r w:rsidRPr="00C84958">
        <w:t>AC theory:</w:t>
      </w:r>
    </w:p>
    <w:p w:rsidR="00000000" w:rsidRPr="00C84958" w:rsidP="00C84958">
      <w:pPr>
        <w:pStyle w:val="ListBullet2"/>
      </w:pPr>
      <w:r w:rsidRPr="00C84958">
        <w:t>calculations and measurement in AC circuits</w:t>
      </w:r>
    </w:p>
    <w:p w:rsidR="00000000" w:rsidRPr="00C84958" w:rsidP="00C84958">
      <w:pPr>
        <w:pStyle w:val="ListBullet2"/>
      </w:pPr>
      <w:r w:rsidRPr="00C84958">
        <w:t>inductors and inductive reactance</w:t>
      </w:r>
    </w:p>
    <w:p w:rsidR="00000000" w:rsidRPr="00C84958" w:rsidP="00C84958">
      <w:pPr>
        <w:pStyle w:val="ListBullet2"/>
      </w:pPr>
      <w:r w:rsidRPr="00C84958">
        <w:t>transformer operation</w:t>
      </w:r>
    </w:p>
    <w:p w:rsidR="00000000" w:rsidRPr="00C84958" w:rsidP="00C84958">
      <w:pPr>
        <w:pStyle w:val="ListBullet2"/>
      </w:pPr>
      <w:r w:rsidRPr="00C84958">
        <w:t>c</w:t>
      </w:r>
      <w:r w:rsidRPr="00C84958">
        <w:t>apacitors and capacitive reactance</w:t>
      </w:r>
    </w:p>
    <w:p w:rsidR="00000000" w:rsidRPr="00C84958" w:rsidP="00C84958">
      <w:pPr>
        <w:pStyle w:val="ListBullet2"/>
      </w:pPr>
      <w:r w:rsidRPr="00C84958">
        <w:t>LCR circuits and resonance</w:t>
      </w:r>
    </w:p>
    <w:p w:rsidR="00000000" w:rsidRPr="00C84958" w:rsidP="00C84958">
      <w:pPr>
        <w:pStyle w:val="ListBullet2"/>
      </w:pPr>
      <w:r w:rsidRPr="00C84958">
        <w:t>passive filters</w:t>
      </w:r>
    </w:p>
    <w:p w:rsidR="00000000" w:rsidRPr="00C84958" w:rsidP="00C84958">
      <w:pPr>
        <w:pStyle w:val="ListBullet2"/>
      </w:pPr>
      <w:r w:rsidRPr="00C84958">
        <w:t>power relationship in reactive circuits</w:t>
      </w:r>
    </w:p>
    <w:p w:rsidR="00000000" w:rsidRPr="00C84958" w:rsidP="00C84958">
      <w:pPr>
        <w:pStyle w:val="ListBullet"/>
      </w:pPr>
      <w:r w:rsidRPr="00C84958">
        <w:t>the basic layout (block diagram level), function and operation of AC powered:</w:t>
      </w:r>
    </w:p>
    <w:p w:rsidR="00000000" w:rsidRPr="00C84958" w:rsidP="00C84958">
      <w:pPr>
        <w:pStyle w:val="ListBullet2"/>
      </w:pPr>
      <w:r w:rsidRPr="00C84958">
        <w:t>flight instruments</w:t>
      </w:r>
    </w:p>
    <w:p w:rsidR="00000000" w:rsidRPr="00C84958" w:rsidP="00C84958">
      <w:pPr>
        <w:pStyle w:val="ListBullet2"/>
      </w:pPr>
      <w:r w:rsidRPr="00C84958">
        <w:t>remote reading gyro compasses</w:t>
      </w:r>
    </w:p>
    <w:p w:rsidR="00000000" w:rsidRPr="00C84958" w:rsidP="00C84958">
      <w:pPr>
        <w:pStyle w:val="ListBullet2"/>
      </w:pPr>
      <w:r w:rsidRPr="00C84958">
        <w:t>piston engine and gas turbine engine indication systems (indicators and transmitters/sensors)</w:t>
      </w:r>
    </w:p>
    <w:p w:rsidR="00000000" w:rsidRPr="00C84958" w:rsidP="00C84958">
      <w:pPr>
        <w:pStyle w:val="ListBullet2"/>
      </w:pPr>
      <w:r w:rsidRPr="00C84958">
        <w:t>fuel quantity and flow indication systems (indicators, probes and transmitters)</w:t>
      </w:r>
    </w:p>
    <w:p w:rsidR="00000000" w:rsidRPr="00C84958" w:rsidP="00C84958">
      <w:pPr>
        <w:pStyle w:val="ListBullet2"/>
      </w:pPr>
      <w:r w:rsidRPr="00C84958">
        <w:t>transmitter/indicator measuring instrument systems (pressure, temperature and vacu</w:t>
      </w:r>
      <w:r w:rsidRPr="00C84958">
        <w:t>um)</w:t>
      </w:r>
    </w:p>
    <w:p w:rsidR="00000000" w:rsidRPr="00C84958" w:rsidP="00C84958">
      <w:pPr>
        <w:pStyle w:val="ListBullet2"/>
      </w:pPr>
      <w:r w:rsidRPr="00C84958">
        <w:t>AC power supply including AC generators, inverters and transformer/rectifier units</w:t>
      </w:r>
    </w:p>
    <w:p w:rsidR="00000000" w:rsidRPr="00C84958" w:rsidP="00C84958">
      <w:pPr>
        <w:pStyle w:val="ListBullet"/>
      </w:pPr>
      <w:r w:rsidRPr="00C84958">
        <w:t>the operating principles of the above systems and associated with:</w:t>
      </w:r>
    </w:p>
    <w:p w:rsidR="00000000" w:rsidRPr="00C84958" w:rsidP="00C84958">
      <w:pPr>
        <w:pStyle w:val="ListBullet2"/>
      </w:pPr>
      <w:r w:rsidRPr="00C84958">
        <w:t>atmospheric conditions – properties and effects on aircraft instruments and systems</w:t>
      </w:r>
    </w:p>
    <w:p w:rsidR="00000000" w:rsidRPr="00C84958" w:rsidP="00C84958">
      <w:pPr>
        <w:pStyle w:val="ListBullet2"/>
      </w:pPr>
      <w:r w:rsidRPr="00C84958">
        <w:t>pressure and tem</w:t>
      </w:r>
      <w:r w:rsidRPr="00C84958">
        <w:t>perature sensing elements and their use in aircraft instrument systems</w:t>
      </w:r>
    </w:p>
    <w:p w:rsidR="00000000" w:rsidRPr="00C84958" w:rsidP="00C84958">
      <w:pPr>
        <w:pStyle w:val="ListBullet2"/>
      </w:pPr>
      <w:r w:rsidRPr="00C84958">
        <w:t>gyroscopes and their use in aircraft instrument systems</w:t>
      </w:r>
    </w:p>
    <w:p w:rsidR="00000000" w:rsidRPr="00C84958" w:rsidP="00C84958">
      <w:pPr>
        <w:pStyle w:val="ListBullet2"/>
      </w:pPr>
      <w:r w:rsidRPr="00C84958">
        <w:t>electrical fundamentals</w:t>
      </w:r>
    </w:p>
    <w:p w:rsidR="00000000" w:rsidRPr="00C84958" w:rsidP="00C84958">
      <w:pPr>
        <w:pStyle w:val="ListBullet"/>
      </w:pPr>
      <w:r w:rsidRPr="00C84958">
        <w:t>relevant maintenance documentation and maintenance publications</w:t>
      </w:r>
    </w:p>
    <w:p w:rsidR="00000000" w:rsidRPr="00C84958" w:rsidP="00C84958">
      <w:pPr>
        <w:pStyle w:val="ListBullet"/>
      </w:pPr>
      <w:r w:rsidRPr="00C84958">
        <w:t>maintenanc</w:t>
      </w:r>
      <w:r w:rsidRPr="00C84958">
        <w:t>e requirements and troubleshooting procedures.</w:t>
      </w:r>
    </w:p>
    <w:p w:rsidR="00000000" w:rsidRPr="00C84958" w:rsidP="00C84958">
      <w:pPr>
        <w:pStyle w:val="AllowPageBreak"/>
      </w:pPr>
    </w:p>
    <w:p w:rsidR="00000000" w:rsidRPr="00C84958" w:rsidP="00C84958">
      <w:pPr>
        <w:pStyle w:val="Heading1"/>
      </w:pPr>
      <w:bookmarkStart w:id="4" w:name="O_1006490"/>
      <w:bookmarkEnd w:id="4"/>
      <w:r w:rsidRPr="00C84958">
        <w:t>Assessment Conditions</w:t>
      </w:r>
    </w:p>
    <w:p w:rsidR="00000000" w:rsidRPr="00C84958" w:rsidP="00C84958">
      <w:pPr>
        <w:pStyle w:val="ListBullet"/>
      </w:pPr>
      <w:r w:rsidRPr="00C84958">
        <w:t>Competency should be assessed in the work environment or simulated work environment using tools and equipment specified in maintenance documentation. It is also expect</w:t>
      </w:r>
      <w:r w:rsidRPr="00C84958">
        <w:t>ed that applicable general-purpose tools and test equipment found in most routine situations would be used where appropriate.</w:t>
      </w:r>
    </w:p>
    <w:p w:rsidR="00000000" w:rsidRPr="00C84958" w:rsidP="00C84958">
      <w:pPr>
        <w:pStyle w:val="ListBullet"/>
      </w:pPr>
      <w:r w:rsidRPr="00C84958">
        <w:t>The application of testing procedures should clearly indicate knowledge of system operation, the relationship of individual compon</w:t>
      </w:r>
      <w:r w:rsidRPr="00C84958">
        <w:t>ents and the links with other systems (if applicable) within the limits of the aircraft/system fault-finding guide before undertaking any action. The work plan should take account of applicable safety and quality requirements in accordance with the industr</w:t>
      </w:r>
      <w:r w:rsidRPr="00C84958">
        <w:t>y and regulatory standards.</w:t>
      </w:r>
    </w:p>
    <w:p w:rsidR="00000000" w:rsidRPr="00C84958" w:rsidP="00C84958">
      <w:pPr>
        <w:pStyle w:val="ListBullet"/>
      </w:pPr>
      <w:r w:rsidRPr="00C84958">
        <w:t>The following conditions of assessment represent the requirements of the Regulators (ADF and CASA) and maintenance stakeholders and must be rigorously observed.</w:t>
      </w:r>
    </w:p>
    <w:p w:rsidR="00000000" w:rsidRPr="00C84958" w:rsidP="00C84958">
      <w:pPr>
        <w:pStyle w:val="ListBullet"/>
      </w:pPr>
      <w:r w:rsidRPr="00C84958">
        <w:t>A person cannot be assessed as competent until it can be demonstrat</w:t>
      </w:r>
      <w:r w:rsidRPr="00C84958">
        <w:t xml:space="preserve">ed to the satisfaction of the workplace assessor that the relevant elements and performance criteria of the unit of competency are being achieved under routine supervision on a system and at least one (1) major system component/line replaceable unit (LRU) </w:t>
      </w:r>
      <w:r w:rsidRPr="00C84958">
        <w:t>from each of the following groups:</w:t>
      </w:r>
    </w:p>
    <w:p w:rsidR="00000000" w:rsidRPr="00C84958" w:rsidP="00C84958">
      <w:pPr>
        <w:pStyle w:val="ListBullet2"/>
      </w:pPr>
      <w:r w:rsidRPr="00C84958">
        <w:t>DG, AH, AHRS and components, servo and encoding altimeters, remote reading gyro compasses and components</w:t>
      </w:r>
    </w:p>
    <w:p w:rsidR="00000000" w:rsidRPr="00C84958" w:rsidP="00C84958">
      <w:pPr>
        <w:pStyle w:val="ListBullet2"/>
      </w:pPr>
      <w:r w:rsidRPr="00C84958">
        <w:t xml:space="preserve">piston engine and gas turbine engine indication system components </w:t>
      </w:r>
    </w:p>
    <w:p w:rsidR="00000000" w:rsidRPr="00C84958" w:rsidP="00C84958">
      <w:pPr>
        <w:pStyle w:val="ListBullet2"/>
      </w:pPr>
      <w:r w:rsidRPr="00C84958">
        <w:t>fuel quantity indication and flow indication sys</w:t>
      </w:r>
      <w:r w:rsidRPr="00C84958">
        <w:t>tems and components</w:t>
      </w:r>
    </w:p>
    <w:p w:rsidR="00000000" w:rsidRPr="00C84958" w:rsidP="00C84958">
      <w:pPr>
        <w:pStyle w:val="ListBullet2"/>
      </w:pPr>
      <w:r w:rsidRPr="00C84958">
        <w:t>transmitter/indicator measuring instrument systems (pressure, temperature, vacuum) and components</w:t>
      </w:r>
    </w:p>
    <w:p w:rsidR="00000000" w:rsidRPr="00C84958" w:rsidP="00C84958">
      <w:pPr>
        <w:pStyle w:val="ListBullet2"/>
      </w:pPr>
      <w:r w:rsidRPr="00C84958">
        <w:t>inverters and transformer/rectifier units.</w:t>
      </w:r>
    </w:p>
    <w:p w:rsidR="00000000" w:rsidRPr="00C84958" w:rsidP="00C84958">
      <w:pPr>
        <w:pStyle w:val="ListBullet"/>
      </w:pPr>
      <w:r w:rsidRPr="00C84958">
        <w:t xml:space="preserve">This shall be established via the records in the Log of Industrial Experience and Achievement </w:t>
      </w:r>
      <w:r w:rsidRPr="00C84958">
        <w:t>or, where appropriate, an equivalent Industry Evidence Guide (for details refer to the Companion Volume Assessment Guidelines).</w:t>
      </w:r>
    </w:p>
    <w:p w:rsidR="00000000" w:rsidRPr="00C84958" w:rsidP="00C84958">
      <w:pPr>
        <w:pStyle w:val="ListBullet"/>
      </w:pPr>
      <w:r w:rsidRPr="00C84958">
        <w:t>Assessors must satisfy the requirements of the National Vocational Education and Training Regulator (Australian Skills Quality Authority, or its successors).</w:t>
      </w:r>
    </w:p>
    <w:p w:rsidR="00D52043" w:rsidP="00C84958">
      <w:pPr>
        <w:pStyle w:val="ListBullet"/>
      </w:pPr>
      <w:r w:rsidRPr="00C84958">
        <w:t xml:space="preserve">Where the unit is to be used for CASA licensing purposes the Assessor must also meet the criteria </w:t>
      </w:r>
      <w:r w:rsidRPr="00C84958">
        <w:t>specified in the CASR Part 147 Manual of Standards.</w:t>
      </w:r>
    </w:p>
    <w:p w:rsidR="00D52043" w:rsidP="00C84958">
      <w:pPr>
        <w:pStyle w:val="ListBullet"/>
      </w:pPr>
    </w:p>
    <w:p w:rsidR="00000000" w:rsidRPr="00C84958" w:rsidP="00C84958">
      <w:pPr>
        <w:pStyle w:val="Heading1"/>
      </w:pPr>
      <w:bookmarkStart w:id="5" w:name="O_1006505"/>
      <w:bookmarkEnd w:id="5"/>
      <w:r w:rsidRPr="00C84958">
        <w:t>Links</w:t>
      </w:r>
    </w:p>
    <w:p w:rsidR="00000000" w:rsidRPr="00C84958" w:rsidP="00D52043">
      <w:pPr>
        <w:pStyle w:val="BodyText"/>
      </w:pPr>
      <w:r w:rsidRPr="00C849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EF644A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84958" w:rsidP="00C84958"/>
    <w:sectPr w:rsidSect="00C849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8" w:rsidRPr="00D52043" w:rsidP="00D52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3" w:rsidP="00C84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043" w:rsidP="00C84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2043" w:rsidP="00C84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958" w:rsidRPr="00D52043" w:rsidP="00D52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3" w:rsidRPr="002D2AF8" w:rsidP="00C84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MEA281 Maintain light aircraft AC powered instrument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D52043" w:rsidP="00C84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2C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864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CB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958"/>
  </w:style>
  <w:style w:type="character" w:customStyle="1" w:styleId="Heading1Char">
    <w:name w:val="Heading 1 Char"/>
    <w:basedOn w:val="DefaultParagraphFont"/>
    <w:link w:val="Heading1"/>
    <w:rsid w:val="00C84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9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49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4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958"/>
    <w:rPr>
      <w:b/>
      <w:spacing w:val="0"/>
    </w:rPr>
  </w:style>
  <w:style w:type="paragraph" w:customStyle="1" w:styleId="SuperTitle">
    <w:name w:val="SuperTitle"/>
    <w:basedOn w:val="Title"/>
    <w:rsid w:val="00C84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4958"/>
    <w:rPr>
      <w:i/>
    </w:rPr>
  </w:style>
  <w:style w:type="paragraph" w:styleId="Caption">
    <w:name w:val="caption"/>
    <w:basedOn w:val="BodyText"/>
    <w:next w:val="Normal"/>
    <w:qFormat/>
    <w:rsid w:val="00C84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958"/>
  </w:style>
  <w:style w:type="paragraph" w:styleId="TableofFigures">
    <w:name w:val="table of figures"/>
    <w:basedOn w:val="Normal"/>
    <w:next w:val="Normal"/>
    <w:semiHidden/>
    <w:rsid w:val="00C84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958"/>
    <w:rPr>
      <w:rFonts w:ascii="Wingdings" w:hAnsi="Wingdings"/>
    </w:rPr>
  </w:style>
  <w:style w:type="paragraph" w:customStyle="1" w:styleId="TableHeading">
    <w:name w:val="Table Heading"/>
    <w:basedOn w:val="HeadingBase"/>
    <w:rsid w:val="00C84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958"/>
    <w:rPr>
      <w:color w:val="0033CC"/>
      <w:u w:val="none"/>
    </w:rPr>
  </w:style>
  <w:style w:type="paragraph" w:customStyle="1" w:styleId="BodyTextRight">
    <w:name w:val="Body Text Right"/>
    <w:basedOn w:val="BodyText"/>
    <w:rsid w:val="00C84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958"/>
    <w:rPr>
      <w:sz w:val="32"/>
    </w:rPr>
  </w:style>
  <w:style w:type="paragraph" w:customStyle="1" w:styleId="HeadingProcedure">
    <w:name w:val="Heading Procedure"/>
    <w:basedOn w:val="HeadingBase"/>
    <w:next w:val="Normal"/>
    <w:rsid w:val="00C84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958"/>
    <w:pPr>
      <w:spacing w:before="60" w:after="60"/>
    </w:pPr>
  </w:style>
  <w:style w:type="paragraph" w:styleId="ListContinue">
    <w:name w:val="List Continue"/>
    <w:basedOn w:val="List"/>
    <w:rsid w:val="00C84958"/>
    <w:pPr>
      <w:ind w:firstLine="0"/>
    </w:pPr>
  </w:style>
  <w:style w:type="paragraph" w:customStyle="1" w:styleId="ListNote">
    <w:name w:val="List Note"/>
    <w:basedOn w:val="List"/>
    <w:rsid w:val="00C84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958"/>
    <w:rPr>
      <w:rFonts w:ascii="Courier New" w:hAnsi="Courier New"/>
    </w:rPr>
  </w:style>
  <w:style w:type="paragraph" w:customStyle="1" w:styleId="NoteBullet">
    <w:name w:val="Note Bullet"/>
    <w:basedOn w:val="Note"/>
    <w:rsid w:val="00C84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958"/>
    <w:rPr>
      <w:b/>
      <w:smallCaps/>
    </w:rPr>
  </w:style>
  <w:style w:type="paragraph" w:customStyle="1" w:styleId="TableListNumber">
    <w:name w:val="Table List Number"/>
    <w:basedOn w:val="ListNumber"/>
    <w:rsid w:val="00C84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958"/>
    <w:pPr>
      <w:numPr>
        <w:numId w:val="9"/>
      </w:numPr>
    </w:pPr>
  </w:style>
  <w:style w:type="paragraph" w:customStyle="1" w:styleId="ListAlpha2">
    <w:name w:val="List Alpha 2"/>
    <w:basedOn w:val="List2"/>
    <w:rsid w:val="00C84958"/>
    <w:pPr>
      <w:numPr>
        <w:numId w:val="8"/>
      </w:numPr>
    </w:pPr>
  </w:style>
  <w:style w:type="paragraph" w:styleId="List2">
    <w:name w:val="List 2"/>
    <w:basedOn w:val="BodyText"/>
    <w:rsid w:val="00C84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958"/>
    <w:pPr>
      <w:numPr>
        <w:numId w:val="4"/>
      </w:numPr>
    </w:pPr>
  </w:style>
  <w:style w:type="paragraph" w:styleId="ListContinue2">
    <w:name w:val="List Continue 2"/>
    <w:basedOn w:val="List2"/>
    <w:rsid w:val="00C84958"/>
    <w:pPr>
      <w:ind w:firstLine="0"/>
    </w:pPr>
  </w:style>
  <w:style w:type="paragraph" w:styleId="ListContinue3">
    <w:name w:val="List Continue 3"/>
    <w:basedOn w:val="List3"/>
    <w:rsid w:val="00C84958"/>
    <w:pPr>
      <w:ind w:left="1021" w:firstLine="0"/>
    </w:pPr>
  </w:style>
  <w:style w:type="paragraph" w:styleId="ListContinue4">
    <w:name w:val="List Continue 4"/>
    <w:basedOn w:val="List4"/>
    <w:rsid w:val="00C84958"/>
    <w:pPr>
      <w:ind w:firstLine="0"/>
    </w:pPr>
  </w:style>
  <w:style w:type="paragraph" w:styleId="ListContinue5">
    <w:name w:val="List Continue 5"/>
    <w:basedOn w:val="List5"/>
    <w:rsid w:val="00C84958"/>
    <w:pPr>
      <w:ind w:firstLine="0"/>
    </w:pPr>
  </w:style>
  <w:style w:type="paragraph" w:styleId="ListNumber3">
    <w:name w:val="List Number 3"/>
    <w:basedOn w:val="List3"/>
    <w:rsid w:val="00C84958"/>
    <w:pPr>
      <w:numPr>
        <w:numId w:val="5"/>
      </w:numPr>
    </w:pPr>
  </w:style>
  <w:style w:type="paragraph" w:styleId="ListNumber4">
    <w:name w:val="List Number 4"/>
    <w:basedOn w:val="List4"/>
    <w:rsid w:val="00C84958"/>
    <w:pPr>
      <w:numPr>
        <w:numId w:val="6"/>
      </w:numPr>
    </w:pPr>
  </w:style>
  <w:style w:type="paragraph" w:styleId="ListNumber5">
    <w:name w:val="List Number 5"/>
    <w:basedOn w:val="List5"/>
    <w:rsid w:val="00C84958"/>
    <w:pPr>
      <w:numPr>
        <w:numId w:val="7"/>
      </w:numPr>
    </w:pPr>
  </w:style>
  <w:style w:type="paragraph" w:styleId="BlockText">
    <w:name w:val="Block Text"/>
    <w:basedOn w:val="Normal"/>
    <w:rsid w:val="00C84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958"/>
    <w:rPr>
      <w:sz w:val="16"/>
      <w:vertAlign w:val="superscript"/>
    </w:rPr>
  </w:style>
  <w:style w:type="character" w:customStyle="1" w:styleId="Symbols">
    <w:name w:val="Symbols"/>
    <w:basedOn w:val="DefaultParagraphFont"/>
    <w:rsid w:val="00C84958"/>
    <w:rPr>
      <w:rFonts w:ascii="Symbol" w:hAnsi="Symbol"/>
    </w:rPr>
  </w:style>
  <w:style w:type="character" w:customStyle="1" w:styleId="MenuOptions">
    <w:name w:val="Menu Options"/>
    <w:basedOn w:val="DefaultParagraphFont"/>
    <w:rsid w:val="00C84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958"/>
    <w:rPr>
      <w:b/>
    </w:rPr>
  </w:style>
  <w:style w:type="character" w:customStyle="1" w:styleId="Underlined">
    <w:name w:val="Underlined"/>
    <w:basedOn w:val="DefaultParagraphFont"/>
    <w:rsid w:val="00C84958"/>
    <w:rPr>
      <w:u w:val="single"/>
    </w:rPr>
  </w:style>
  <w:style w:type="paragraph" w:customStyle="1" w:styleId="TableBodyTextRight">
    <w:name w:val="Table Body Text Right"/>
    <w:basedOn w:val="TableBodyText"/>
    <w:rsid w:val="00C84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958"/>
    <w:rPr>
      <w:sz w:val="18"/>
    </w:rPr>
  </w:style>
  <w:style w:type="paragraph" w:customStyle="1" w:styleId="BodySmallRight">
    <w:name w:val="Body Small Right"/>
    <w:basedOn w:val="BodyTextRight"/>
    <w:rsid w:val="00C84958"/>
    <w:rPr>
      <w:sz w:val="18"/>
      <w:szCs w:val="18"/>
    </w:rPr>
  </w:style>
  <w:style w:type="paragraph" w:customStyle="1" w:styleId="MarginEdition">
    <w:name w:val="Margin Edition"/>
    <w:basedOn w:val="MarginNote"/>
    <w:rsid w:val="00C84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958"/>
    <w:rPr>
      <w:sz w:val="2"/>
      <w:szCs w:val="2"/>
    </w:rPr>
  </w:style>
  <w:style w:type="character" w:customStyle="1" w:styleId="Small">
    <w:name w:val="Small"/>
    <w:basedOn w:val="DefaultParagraphFont"/>
    <w:rsid w:val="00C84958"/>
    <w:rPr>
      <w:sz w:val="16"/>
    </w:rPr>
  </w:style>
  <w:style w:type="paragraph" w:customStyle="1" w:styleId="WideTable">
    <w:name w:val="Wide Table"/>
    <w:basedOn w:val="Normal"/>
    <w:rsid w:val="00C84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958"/>
  </w:style>
  <w:style w:type="paragraph" w:styleId="Quote">
    <w:name w:val="Quote"/>
    <w:basedOn w:val="Heading1"/>
    <w:link w:val="QuoteChar"/>
    <w:qFormat/>
    <w:rsid w:val="00C84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958"/>
    <w:pPr>
      <w:pageBreakBefore/>
    </w:pPr>
  </w:style>
  <w:style w:type="paragraph" w:customStyle="1" w:styleId="Border">
    <w:name w:val="Border"/>
    <w:basedOn w:val="Normal"/>
    <w:qFormat/>
    <w:rsid w:val="00C84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958"/>
    <w:rPr>
      <w:u w:val="single"/>
    </w:rPr>
  </w:style>
  <w:style w:type="character" w:customStyle="1" w:styleId="BoldandItalics">
    <w:name w:val="Bold and Italics"/>
    <w:qFormat/>
    <w:rsid w:val="00C84958"/>
    <w:rPr>
      <w:b/>
      <w:i/>
      <w:u w:val="none"/>
    </w:rPr>
  </w:style>
  <w:style w:type="paragraph" w:styleId="BalloonText">
    <w:name w:val="Balloon Text"/>
    <w:basedOn w:val="Normal"/>
    <w:link w:val="BalloonTextChar"/>
    <w:rsid w:val="00C84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958"/>
    <w:pPr>
      <w:spacing w:before="0" w:after="0"/>
    </w:pPr>
  </w:style>
  <w:style w:type="paragraph" w:customStyle="1" w:styleId="BodyTextBold">
    <w:name w:val="Body Text Bold"/>
    <w:basedOn w:val="BodyText"/>
    <w:qFormat/>
    <w:rsid w:val="00C84958"/>
    <w:rPr>
      <w:b/>
    </w:rPr>
  </w:style>
  <w:style w:type="character" w:styleId="Hyperlink">
    <w:name w:val="Hyperlink"/>
    <w:basedOn w:val="DefaultParagraphFont"/>
    <w:uiPriority w:val="99"/>
    <w:unhideWhenUsed/>
    <w:rsid w:val="00D52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6100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MEA281 Maintain light aircraft AC powered instrument systems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2019-09-30T08:56:00Z</dcterms:created>
  <dcterms:modified xsi:type="dcterms:W3CDTF">2019-09-30T08:56:00Z</dcterms:modified>
</cp:coreProperties>
</file>