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3B8E" w:rsidP="00403B8E">
      <w:pPr>
        <w:pStyle w:val="Title"/>
      </w:pPr>
      <w:r>
        <w:fldChar w:fldCharType="begin"/>
      </w:r>
      <w:r>
        <w:instrText xml:space="preserve"> TITLE   \* MERGEFORMAT </w:instrText>
      </w:r>
      <w:r>
        <w:fldChar w:fldCharType="separate"/>
      </w:r>
      <w:r>
        <w:t>MEA263 Modify/repair aircraft component multi-layer printed circuit boards</w:t>
      </w:r>
      <w:r>
        <w:fldChar w:fldCharType="end"/>
      </w:r>
    </w:p>
    <w:p w:rsidR="00403B8E" w:rsidP="00403B8E">
      <w:pPr>
        <w:pStyle w:val="Version"/>
        <w:sectPr w:rsidSect="004549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49AB" w:rsidP="004549AB">
      <w:pPr>
        <w:pStyle w:val="SuperHeading"/>
      </w:pPr>
      <w:r w:rsidRPr="004549AB">
        <w:t>MEA263 Modify</w:t>
      </w:r>
      <w:r w:rsidRPr="004549AB">
        <w:t>/repair aircraft component multi-layer printed circuit boards</w:t>
      </w:r>
    </w:p>
    <w:p w:rsidR="00000000" w:rsidRPr="004549AB" w:rsidP="004549AB">
      <w:pPr>
        <w:pStyle w:val="Heading1"/>
      </w:pPr>
      <w:bookmarkStart w:id="1" w:name="O_997607"/>
      <w:bookmarkEnd w:id="1"/>
      <w:r w:rsidRPr="004549AB">
        <w:t>Modification History</w:t>
      </w:r>
    </w:p>
    <w:p w:rsidR="00000000" w:rsidRPr="004549AB" w:rsidP="00403B8E">
      <w:pPr>
        <w:pStyle w:val="BodyText"/>
      </w:pPr>
      <w:r w:rsidRPr="004549AB">
        <w:t>Release 2. Equivalent to MEA263 Modify/repair aircraft component multi-layer printed circuit boards with amended prerequisite codes.</w:t>
      </w:r>
    </w:p>
    <w:p w:rsidR="00000000" w:rsidRPr="004549AB" w:rsidP="004549AB">
      <w:pPr>
        <w:pStyle w:val="Heading1"/>
      </w:pPr>
      <w:bookmarkStart w:id="2" w:name="O_997606"/>
      <w:bookmarkEnd w:id="2"/>
      <w:r w:rsidRPr="004549AB">
        <w:t>Application</w:t>
      </w:r>
    </w:p>
    <w:p w:rsidR="00000000" w:rsidRPr="004549AB" w:rsidP="00403B8E">
      <w:pPr>
        <w:pStyle w:val="BodyText"/>
      </w:pPr>
      <w:r w:rsidRPr="004549AB">
        <w:t>This unit of competency requires application of hand skills (including those required to gain access to inner layers and repair outer layers after track repair), including high reliability hand soldering, and knowledge of standard practices and</w:t>
      </w:r>
      <w:r w:rsidRPr="004549AB">
        <w:t xml:space="preserve"> techniques in the repair of multi-layer printed circuit boards  from aircraft avionic components that are repaired in aviation workshops during scheduled or unscheduled maintenance. Work may be performed individually or as part of a team.</w:t>
      </w:r>
    </w:p>
    <w:p w:rsidR="00000000" w:rsidRPr="004549AB" w:rsidP="00403B8E">
      <w:pPr>
        <w:pStyle w:val="BodyText"/>
      </w:pPr>
      <w:r w:rsidRPr="004549AB">
        <w:t>This unit is pa</w:t>
      </w:r>
      <w:r w:rsidRPr="004549AB">
        <w:t xml:space="preserve">rt of the Avionic Certificate IV training pathways. </w:t>
      </w:r>
    </w:p>
    <w:p w:rsidR="00000000" w:rsidRPr="004549AB" w:rsidP="00403B8E">
      <w:pPr>
        <w:pStyle w:val="BodyText"/>
      </w:pPr>
      <w:r w:rsidRPr="004549AB">
        <w:t>The unit is used in workplaces that operate under the airworthiness regulatory systems of the Australian Defence Force (ADF) and the Civil Aviation Safety Authority (CASA).</w:t>
      </w:r>
    </w:p>
    <w:p w:rsidR="00000000" w:rsidRPr="004549AB" w:rsidP="004549AB">
      <w:pPr>
        <w:pStyle w:val="Heading1"/>
      </w:pPr>
      <w:bookmarkStart w:id="3" w:name="O_997605"/>
      <w:bookmarkEnd w:id="3"/>
      <w:r w:rsidRPr="004549AB">
        <w:t>Pre-requisit</w:t>
      </w:r>
      <w:r w:rsidRPr="004549AB">
        <w:t>e Unit</w:t>
      </w:r>
    </w:p>
    <w:tbl>
      <w:tblPr>
        <w:tblW w:w="0" w:type="auto"/>
        <w:tblLayout w:type="fixed"/>
        <w:tblCellMar>
          <w:left w:w="62" w:type="dxa"/>
          <w:right w:w="62" w:type="dxa"/>
        </w:tblCellMar>
        <w:tblLook w:val="0000"/>
      </w:tblPr>
      <w:tblGrid>
        <w:gridCol w:w="1588"/>
        <w:gridCol w:w="6252"/>
      </w:tblGrid>
      <w:tr w:rsidTr="004549AB">
        <w:tblPrEx>
          <w:tblW w:w="0" w:type="auto"/>
          <w:tblLayout w:type="fixed"/>
          <w:tblCellMar>
            <w:left w:w="62" w:type="dxa"/>
            <w:right w:w="62" w:type="dxa"/>
          </w:tblCellMar>
          <w:tblLook w:val="0000"/>
        </w:tblPrEx>
        <w:tc>
          <w:tcPr>
            <w:tcW w:w="1588"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MEA261</w:t>
            </w:r>
          </w:p>
        </w:tc>
        <w:tc>
          <w:tcPr>
            <w:tcW w:w="6252"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Use electronic test equipment</w:t>
            </w:r>
          </w:p>
        </w:tc>
      </w:tr>
      <w:tr w:rsidTr="004549AB">
        <w:tblPrEx>
          <w:tblW w:w="0" w:type="auto"/>
          <w:tblLayout w:type="fixed"/>
          <w:tblCellMar>
            <w:left w:w="62" w:type="dxa"/>
            <w:right w:w="62" w:type="dxa"/>
          </w:tblCellMar>
          <w:tblLook w:val="0000"/>
        </w:tblPrEx>
        <w:tc>
          <w:tcPr>
            <w:tcW w:w="1588"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MEA296</w:t>
            </w:r>
          </w:p>
        </w:tc>
        <w:tc>
          <w:tcPr>
            <w:tcW w:w="6252" w:type="dxa"/>
            <w:tcBorders>
              <w:top w:val="nil"/>
              <w:left w:val="nil"/>
              <w:bottom w:val="nil"/>
              <w:right w:val="nil"/>
            </w:tcBorders>
            <w:tcMar>
              <w:top w:w="0" w:type="dxa"/>
              <w:left w:w="62" w:type="dxa"/>
              <w:bottom w:w="0" w:type="dxa"/>
              <w:right w:w="62" w:type="dxa"/>
            </w:tcMar>
          </w:tcPr>
          <w:p w:rsidR="00000000" w:rsidRPr="004549AB" w:rsidP="004549AB">
            <w:pPr>
              <w:pStyle w:val="BodyText"/>
            </w:pPr>
            <w:r w:rsidRPr="004549AB">
              <w:t>Use electrical test equipment in aviation maintenance activities</w:t>
            </w:r>
          </w:p>
        </w:tc>
      </w:tr>
    </w:tbl>
    <w:p w:rsidR="00000000" w:rsidRPr="004549AB" w:rsidP="004549AB">
      <w:pPr>
        <w:pStyle w:val="BodyText"/>
      </w:pPr>
    </w:p>
    <w:p w:rsidR="00000000" w:rsidRPr="004549AB" w:rsidP="004549AB">
      <w:pPr>
        <w:pStyle w:val="AllowPageBreak"/>
      </w:pPr>
    </w:p>
    <w:p w:rsidR="00000000" w:rsidRPr="004549AB" w:rsidP="004549AB">
      <w:pPr>
        <w:pStyle w:val="Heading1"/>
      </w:pPr>
      <w:bookmarkStart w:id="4" w:name="O_997604"/>
      <w:bookmarkEnd w:id="4"/>
      <w:r w:rsidRPr="004549AB">
        <w:t>Competency Field</w:t>
      </w:r>
    </w:p>
    <w:p w:rsidR="00000000" w:rsidRPr="004549AB" w:rsidP="00403B8E">
      <w:pPr>
        <w:pStyle w:val="BodyText"/>
      </w:pPr>
      <w:r w:rsidRPr="004549AB">
        <w:t>Aviation maintenance</w:t>
      </w:r>
    </w:p>
    <w:p w:rsidR="00000000" w:rsidRPr="004549AB" w:rsidP="004549AB">
      <w:pPr>
        <w:pStyle w:val="Heading1"/>
      </w:pPr>
      <w:bookmarkStart w:id="5" w:name="O_997603"/>
      <w:bookmarkEnd w:id="5"/>
      <w:r w:rsidRPr="004549AB">
        <w:t>Unit Sector</w:t>
      </w:r>
    </w:p>
    <w:p w:rsidR="00000000" w:rsidRPr="004549AB" w:rsidP="004549AB">
      <w:pPr>
        <w:pStyle w:val="Heading1"/>
      </w:pPr>
      <w:bookmarkStart w:id="6" w:name="O_997602"/>
      <w:bookmarkEnd w:id="6"/>
      <w:r w:rsidRPr="004549AB">
        <w:t>Elements and Performance Criteria</w:t>
      </w:r>
    </w:p>
    <w:tbl>
      <w:tblPr>
        <w:tblW w:w="9270" w:type="dxa"/>
        <w:tblLayout w:type="fixed"/>
        <w:tblCellMar>
          <w:left w:w="62" w:type="dxa"/>
          <w:right w:w="62" w:type="dxa"/>
        </w:tblCellMar>
        <w:tblLook w:val="0000"/>
      </w:tblPr>
      <w:tblGrid>
        <w:gridCol w:w="630"/>
        <w:gridCol w:w="2250"/>
        <w:gridCol w:w="720"/>
        <w:gridCol w:w="5670"/>
      </w:tblGrid>
      <w:tr w:rsidTr="004549AB">
        <w:tblPrEx>
          <w:tblW w:w="9270"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Elements describe the essential outcomes.</w:t>
            </w:r>
          </w:p>
        </w:tc>
        <w:tc>
          <w:tcPr>
            <w:tcW w:w="6390" w:type="dxa"/>
            <w:gridSpan w:val="2"/>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 xml:space="preserve">Performance criteria describe the performance needed to demonstrate achievement of the element. </w:t>
            </w:r>
          </w:p>
        </w:tc>
      </w:tr>
      <w:tr w:rsidTr="004549AB">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1.</w:t>
            </w:r>
          </w:p>
        </w:tc>
        <w:tc>
          <w:tcPr>
            <w:tcW w:w="225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Inspect multi-layer printed circuit cards and associated components</w:t>
            </w:r>
          </w:p>
        </w:tc>
        <w:tc>
          <w:tcPr>
            <w:tcW w:w="72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1.1</w:t>
            </w:r>
          </w:p>
        </w:tc>
        <w:tc>
          <w:tcPr>
            <w:tcW w:w="567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Relevant maintenance documentation, inc</w:t>
            </w:r>
            <w:r w:rsidRPr="004549AB">
              <w:t>luding component defect reports where applicable, is interpreted and matched by part and serial number</w:t>
            </w:r>
          </w:p>
        </w:tc>
      </w:tr>
      <w:tr w:rsidTr="004549AB">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1.2</w:t>
            </w:r>
          </w:p>
        </w:tc>
        <w:tc>
          <w:tcPr>
            <w:tcW w:w="567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 xml:space="preserve">Preparation of work area and circuit card assemblies is appropriate to allow for effective detailed inspection of all substrate, circuit tracks, </w:t>
            </w:r>
            <w:r w:rsidRPr="004549AB">
              <w:t>edge connectors and attached components, taking into account any static discharge procedures</w:t>
            </w:r>
          </w:p>
        </w:tc>
      </w:tr>
      <w:tr w:rsidTr="004549AB">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1.3</w:t>
            </w:r>
          </w:p>
        </w:tc>
        <w:tc>
          <w:tcPr>
            <w:tcW w:w="567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Circuit card assemblies are visually or physically inspected for physical integrity of substrate, circuit tracks, edge connectors and attached components</w:t>
            </w:r>
          </w:p>
        </w:tc>
      </w:tr>
      <w:tr w:rsidTr="004549AB">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1.4</w:t>
            </w:r>
          </w:p>
        </w:tc>
        <w:tc>
          <w:tcPr>
            <w:tcW w:w="567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Modification status is established to assist in determining repair requirements</w:t>
            </w:r>
          </w:p>
        </w:tc>
      </w:tr>
      <w:tr w:rsidTr="004549AB">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1.5</w:t>
            </w:r>
          </w:p>
        </w:tc>
        <w:tc>
          <w:tcPr>
            <w:tcW w:w="567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Defects are correctly identified and reported</w:t>
            </w:r>
          </w:p>
        </w:tc>
      </w:tr>
      <w:tr w:rsidTr="004549AB">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2.</w:t>
            </w:r>
          </w:p>
        </w:tc>
        <w:tc>
          <w:tcPr>
            <w:tcW w:w="225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Test multi-layer printed circuit cards and associated components</w:t>
            </w:r>
          </w:p>
        </w:tc>
        <w:tc>
          <w:tcPr>
            <w:tcW w:w="72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2.1</w:t>
            </w:r>
          </w:p>
        </w:tc>
        <w:tc>
          <w:tcPr>
            <w:tcW w:w="567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Circuit card assembli</w:t>
            </w:r>
            <w:r w:rsidRPr="004549AB">
              <w:t>es are correctly prepared and connected to the appropriate test facility in accordance with approved procedures, or circuit card assemblies are correctly prepared and connected in situ to allow required test procedures to be performed</w:t>
            </w:r>
          </w:p>
        </w:tc>
      </w:tr>
      <w:tr w:rsidTr="004549AB">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2.2</w:t>
            </w:r>
          </w:p>
        </w:tc>
        <w:tc>
          <w:tcPr>
            <w:tcW w:w="567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Circuit card a</w:t>
            </w:r>
            <w:r w:rsidRPr="004549AB">
              <w:t>ssemblies are functionally tested in accordance with normal trade practice and approved maintenance documentation for evidence of serviceability or malfunction</w:t>
            </w:r>
          </w:p>
        </w:tc>
      </w:tr>
      <w:tr w:rsidTr="004549AB">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2.3</w:t>
            </w:r>
          </w:p>
        </w:tc>
        <w:tc>
          <w:tcPr>
            <w:tcW w:w="567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Circuit card assemblies, attached hardware and electronic components are electronically a</w:t>
            </w:r>
            <w:r w:rsidRPr="004549AB">
              <w:t>nd/or physically adjusted/aligned in accordance with maintenance manuals or other prescribed procedures</w:t>
            </w:r>
          </w:p>
        </w:tc>
      </w:tr>
      <w:tr w:rsidTr="004549AB">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3.</w:t>
            </w:r>
          </w:p>
        </w:tc>
        <w:tc>
          <w:tcPr>
            <w:tcW w:w="225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Troubleshoot multi-layer printed circuit cards and associated components</w:t>
            </w:r>
          </w:p>
        </w:tc>
        <w:tc>
          <w:tcPr>
            <w:tcW w:w="72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3.1</w:t>
            </w:r>
          </w:p>
        </w:tc>
        <w:tc>
          <w:tcPr>
            <w:tcW w:w="567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Maintenance documentation, physical inspection and test results are use</w:t>
            </w:r>
            <w:r w:rsidRPr="004549AB">
              <w:t>d, where applicable, to assist in fault determination</w:t>
            </w:r>
          </w:p>
        </w:tc>
      </w:tr>
      <w:tr w:rsidTr="004549AB">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3.2</w:t>
            </w:r>
          </w:p>
        </w:tc>
        <w:tc>
          <w:tcPr>
            <w:tcW w:w="567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Maintenance manual fault diagnosis guides, logical processes and test equipment are used appropriately to ensure efficient and accurate troubleshooting</w:t>
            </w:r>
          </w:p>
        </w:tc>
      </w:tr>
      <w:tr w:rsidTr="004549AB">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3.3</w:t>
            </w:r>
          </w:p>
        </w:tc>
        <w:tc>
          <w:tcPr>
            <w:tcW w:w="567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Component faults are located and the causes of the faults are clearly identified and recorded in maintenance documentation, where required</w:t>
            </w:r>
          </w:p>
        </w:tc>
      </w:tr>
      <w:tr w:rsidTr="004549AB">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3.4</w:t>
            </w:r>
          </w:p>
        </w:tc>
        <w:tc>
          <w:tcPr>
            <w:tcW w:w="567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Rectification requirements are determined</w:t>
            </w:r>
          </w:p>
        </w:tc>
      </w:tr>
      <w:tr w:rsidTr="004549AB">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4.</w:t>
            </w:r>
          </w:p>
        </w:tc>
        <w:tc>
          <w:tcPr>
            <w:tcW w:w="225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Dismantle multi-layer printed circuit cards and associated compo</w:t>
            </w:r>
            <w:r w:rsidRPr="004549AB">
              <w:t>nents</w:t>
            </w:r>
          </w:p>
        </w:tc>
        <w:tc>
          <w:tcPr>
            <w:tcW w:w="72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4.1</w:t>
            </w:r>
          </w:p>
        </w:tc>
        <w:tc>
          <w:tcPr>
            <w:tcW w:w="567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Conformal/protective coatings are removed from the circuit card assembly to the extent required to effect necessary repairs and in accordance with maintenance manuals, industry or enterprise standards as applicable</w:t>
            </w:r>
          </w:p>
        </w:tc>
      </w:tr>
      <w:tr w:rsidTr="004549AB">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4.2</w:t>
            </w:r>
          </w:p>
        </w:tc>
        <w:tc>
          <w:tcPr>
            <w:tcW w:w="567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 xml:space="preserve">Appropriate work health </w:t>
            </w:r>
            <w:r w:rsidRPr="004549AB">
              <w:t>and safety (WHS) requirements are observed at all times during maintenance procedures and applicable material safety data sheets (MSDS) and personal protective equipment (PPE) are used</w:t>
            </w:r>
          </w:p>
        </w:tc>
      </w:tr>
      <w:tr w:rsidTr="004549AB">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4.3</w:t>
            </w:r>
          </w:p>
        </w:tc>
        <w:tc>
          <w:tcPr>
            <w:tcW w:w="567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Circuit card assembly is dismantled to the extent necessary to allow repair of all identified faults</w:t>
            </w:r>
          </w:p>
        </w:tc>
      </w:tr>
      <w:tr w:rsidTr="004549AB">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4.4</w:t>
            </w:r>
          </w:p>
        </w:tc>
        <w:tc>
          <w:tcPr>
            <w:tcW w:w="567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Parts for processing are correctly tagged and despatched</w:t>
            </w:r>
          </w:p>
        </w:tc>
      </w:tr>
      <w:tr w:rsidTr="004549AB">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4.5</w:t>
            </w:r>
          </w:p>
        </w:tc>
        <w:tc>
          <w:tcPr>
            <w:tcW w:w="567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Parts for retention and re-fitment are correctly packaged and stored in accordance w</w:t>
            </w:r>
            <w:r w:rsidRPr="004549AB">
              <w:t>ith approved procedures to avoid physical and electrostatic damage</w:t>
            </w:r>
          </w:p>
        </w:tc>
      </w:tr>
      <w:tr w:rsidTr="004549AB">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4.6</w:t>
            </w:r>
          </w:p>
        </w:tc>
        <w:tc>
          <w:tcPr>
            <w:tcW w:w="567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Parts for disposal are correctly packaged and processed to accord with statutory requirements pertaining to dangerous goods</w:t>
            </w:r>
          </w:p>
        </w:tc>
      </w:tr>
      <w:tr w:rsidTr="004549AB">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5.</w:t>
            </w:r>
          </w:p>
        </w:tc>
        <w:tc>
          <w:tcPr>
            <w:tcW w:w="225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Assemble multi-layer printed circuit cards and associa</w:t>
            </w:r>
            <w:r w:rsidRPr="004549AB">
              <w:t>ted components</w:t>
            </w:r>
          </w:p>
        </w:tc>
        <w:tc>
          <w:tcPr>
            <w:tcW w:w="72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5.1</w:t>
            </w:r>
          </w:p>
        </w:tc>
        <w:tc>
          <w:tcPr>
            <w:tcW w:w="567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Parts removed for access, and replacement parts, are collected ensuring appropriate modification status, component tolerances and assembly configuration is maintained</w:t>
            </w:r>
          </w:p>
        </w:tc>
      </w:tr>
      <w:tr w:rsidTr="004549AB">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5.2</w:t>
            </w:r>
          </w:p>
        </w:tc>
        <w:tc>
          <w:tcPr>
            <w:tcW w:w="567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Any conformal/protective coatings removed are replaced to the approved standard of the equipment manufacturer, or industry standard, as appropriate</w:t>
            </w:r>
          </w:p>
        </w:tc>
      </w:tr>
      <w:tr w:rsidTr="004549AB">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5.3</w:t>
            </w:r>
          </w:p>
        </w:tc>
        <w:tc>
          <w:tcPr>
            <w:tcW w:w="567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Rework techniques are in accordance with industry approval procedures and relevant WHS precautions ar</w:t>
            </w:r>
            <w:r w:rsidRPr="004549AB">
              <w:t>e observed and applicable MSDS and items of PPE are used</w:t>
            </w:r>
          </w:p>
        </w:tc>
      </w:tr>
      <w:tr w:rsidTr="004549AB">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5.4</w:t>
            </w:r>
          </w:p>
        </w:tc>
        <w:tc>
          <w:tcPr>
            <w:tcW w:w="567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Printed circuit card and associated components are assembled in accordance with maintenance manuals, and all electrical joints meet the approved standard of the equipment manufacturer, or indu</w:t>
            </w:r>
            <w:r w:rsidRPr="004549AB">
              <w:t>stry standard, as appropriate</w:t>
            </w:r>
          </w:p>
        </w:tc>
      </w:tr>
      <w:tr w:rsidTr="004549AB">
        <w:tblPrEx>
          <w:tblW w:w="9270"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5.5</w:t>
            </w:r>
          </w:p>
        </w:tc>
        <w:tc>
          <w:tcPr>
            <w:tcW w:w="5670" w:type="dxa"/>
            <w:tcBorders>
              <w:top w:val="nil"/>
              <w:left w:val="nil"/>
              <w:bottom w:val="nil"/>
              <w:right w:val="nil"/>
            </w:tcBorders>
            <w:tcMar>
              <w:top w:w="0" w:type="dxa"/>
              <w:left w:w="62" w:type="dxa"/>
              <w:bottom w:w="0" w:type="dxa"/>
              <w:right w:w="62" w:type="dxa"/>
            </w:tcMar>
          </w:tcPr>
          <w:p w:rsidR="00000000" w:rsidRPr="004549AB" w:rsidP="004549AB">
            <w:pPr>
              <w:pStyle w:val="BodyText"/>
            </w:pPr>
            <w:r w:rsidRPr="004549AB">
              <w:t>Circuit substrate material, circuit tracks, edge connectors and through-hole eyelets are reworked, as necessary, to restore printed circuit card to a serviceable condition</w:t>
            </w:r>
          </w:p>
        </w:tc>
      </w:tr>
    </w:tbl>
    <w:p w:rsidR="00000000" w:rsidRPr="004549AB" w:rsidP="004549AB">
      <w:pPr>
        <w:pStyle w:val="BodyText"/>
      </w:pPr>
    </w:p>
    <w:p w:rsidR="00000000" w:rsidRPr="004549AB" w:rsidP="004549AB">
      <w:pPr>
        <w:pStyle w:val="AllowPageBreak"/>
      </w:pPr>
    </w:p>
    <w:p w:rsidR="00000000" w:rsidRPr="004549AB" w:rsidP="004549AB">
      <w:pPr>
        <w:pStyle w:val="Heading1"/>
      </w:pPr>
      <w:bookmarkStart w:id="7" w:name="O_997601"/>
      <w:bookmarkEnd w:id="7"/>
      <w:r w:rsidRPr="004549AB">
        <w:t>Foundation Skills</w:t>
      </w:r>
    </w:p>
    <w:p w:rsidR="00000000" w:rsidRPr="004549AB" w:rsidP="00403B8E">
      <w:pPr>
        <w:pStyle w:val="BodyText"/>
      </w:pPr>
      <w:r w:rsidRPr="004549AB">
        <w:t>Foundation skills essential to performance are explicit in the performance criteria of this unit of competency.</w:t>
      </w:r>
    </w:p>
    <w:p w:rsidR="00000000" w:rsidRPr="004549AB" w:rsidP="004549AB">
      <w:pPr>
        <w:pStyle w:val="Heading1"/>
      </w:pPr>
      <w:bookmarkStart w:id="8" w:name="O_997600"/>
      <w:bookmarkEnd w:id="8"/>
      <w:r w:rsidRPr="004549AB">
        <w:t>Range of Conditions</w:t>
      </w:r>
    </w:p>
    <w:tbl>
      <w:tblPr>
        <w:tblW w:w="0" w:type="auto"/>
        <w:tblLayout w:type="fixed"/>
        <w:tblCellMar>
          <w:left w:w="62" w:type="dxa"/>
          <w:right w:w="62" w:type="dxa"/>
        </w:tblCellMar>
        <w:tblLook w:val="0000"/>
      </w:tblPr>
      <w:tblGrid>
        <w:gridCol w:w="3060"/>
        <w:gridCol w:w="6012"/>
      </w:tblGrid>
      <w:tr w:rsidTr="004549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t>This field allows for different work environments and conditions that may affect performance. Essential ope</w:t>
            </w:r>
            <w:r w:rsidRPr="004549AB">
              <w:t>rating conditions that may be present (depending on the work situation, needs of the candidate, accessibility of the item, and local industry and regional contexts) are included.</w:t>
            </w:r>
          </w:p>
        </w:tc>
      </w:tr>
      <w:tr w:rsidTr="004549A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rPr>
                <w:rStyle w:val="SpecialBold"/>
              </w:rPr>
              <w:t>Circuit card attached components include:</w:t>
            </w:r>
          </w:p>
        </w:tc>
        <w:tc>
          <w:tcPr>
            <w:tcW w:w="6012" w:type="dxa"/>
            <w:tcBorders>
              <w:top w:val="nil"/>
              <w:left w:val="nil"/>
              <w:bottom w:val="nil"/>
              <w:right w:val="nil"/>
            </w:tcBorders>
            <w:tcMar>
              <w:top w:w="0" w:type="dxa"/>
              <w:left w:w="62" w:type="dxa"/>
              <w:bottom w:w="0" w:type="dxa"/>
              <w:right w:w="62" w:type="dxa"/>
            </w:tcMar>
          </w:tcPr>
          <w:p w:rsidR="00000000" w:rsidP="004549AB">
            <w:pPr>
              <w:pStyle w:val="ListBullet"/>
              <w:rPr>
                <w:lang w:val="en-NZ"/>
              </w:rPr>
            </w:pPr>
            <w:r w:rsidRPr="004549AB">
              <w:t>Capacitors, resistors, wires, se</w:t>
            </w:r>
            <w:r w:rsidRPr="004549AB">
              <w:t>miconductors, inductors, transformers, switches, connectors, multi-pin ICs, terminal posts and heat-sink materials, and will include electrostatic sensitive devices</w:t>
            </w:r>
          </w:p>
        </w:tc>
      </w:tr>
      <w:tr w:rsidTr="004549A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549AB">
            <w:pPr>
              <w:pStyle w:val="BodyText"/>
              <w:rPr>
                <w:lang w:val="en-NZ"/>
              </w:rPr>
            </w:pPr>
            <w:r w:rsidRPr="004549AB">
              <w:rPr>
                <w:rStyle w:val="SpecialBold"/>
              </w:rPr>
              <w:t>Procedures and standards include:</w:t>
            </w:r>
          </w:p>
        </w:tc>
        <w:tc>
          <w:tcPr>
            <w:tcW w:w="6012" w:type="dxa"/>
            <w:tcBorders>
              <w:top w:val="nil"/>
              <w:left w:val="nil"/>
              <w:bottom w:val="nil"/>
              <w:right w:val="nil"/>
            </w:tcBorders>
            <w:tcMar>
              <w:top w:w="0" w:type="dxa"/>
              <w:left w:w="62" w:type="dxa"/>
              <w:bottom w:w="0" w:type="dxa"/>
              <w:right w:w="62" w:type="dxa"/>
            </w:tcMar>
          </w:tcPr>
          <w:p w:rsidR="00000000" w:rsidRPr="004549AB" w:rsidP="004549AB">
            <w:pPr>
              <w:pStyle w:val="ListBullet"/>
            </w:pPr>
            <w:r w:rsidRPr="004549AB">
              <w:t>Procedures and standards for repair of printed circuit card assemblies, including a range of general engineering hand skills in addition to specific high reliability soldering skills.</w:t>
            </w:r>
          </w:p>
          <w:p w:rsidR="00000000" w:rsidRPr="004549AB" w:rsidP="004549AB">
            <w:pPr>
              <w:pStyle w:val="ListBullet"/>
            </w:pPr>
            <w:r w:rsidRPr="004549AB">
              <w:t>Standards applicable in a given situation will be defined by equipment m</w:t>
            </w:r>
            <w:r w:rsidRPr="004549AB">
              <w:t>anufacturers and/or regulatory authorities and the enterprise</w:t>
            </w:r>
          </w:p>
        </w:tc>
      </w:tr>
    </w:tbl>
    <w:p w:rsidR="00000000" w:rsidRPr="004549AB" w:rsidP="004549AB">
      <w:pPr>
        <w:pStyle w:val="BodyText"/>
      </w:pPr>
    </w:p>
    <w:p w:rsidR="00000000" w:rsidRPr="004549AB" w:rsidP="004549AB">
      <w:pPr>
        <w:pStyle w:val="AllowPageBreak"/>
      </w:pPr>
    </w:p>
    <w:p w:rsidR="00000000" w:rsidRPr="004549AB" w:rsidP="004549AB">
      <w:pPr>
        <w:pStyle w:val="Heading1"/>
      </w:pPr>
      <w:bookmarkStart w:id="9" w:name="O_997599"/>
      <w:bookmarkEnd w:id="9"/>
      <w:r w:rsidRPr="004549AB">
        <w:t>Unit Mapping Information</w:t>
      </w:r>
    </w:p>
    <w:p w:rsidR="00000000" w:rsidRPr="004549AB" w:rsidP="00403B8E">
      <w:pPr>
        <w:pStyle w:val="BodyText"/>
      </w:pPr>
      <w:r w:rsidRPr="004549AB">
        <w:t>Release 2. Equivalent to MEA263 Modify/repair aircraft component multi-layer printed circuit boards</w:t>
      </w:r>
    </w:p>
    <w:p w:rsidR="00000000" w:rsidRPr="004549AB" w:rsidP="004549AB">
      <w:pPr>
        <w:pStyle w:val="Heading1"/>
      </w:pPr>
      <w:bookmarkStart w:id="10" w:name="O_997608"/>
      <w:bookmarkEnd w:id="10"/>
      <w:r w:rsidRPr="004549AB">
        <w:t>Links</w:t>
      </w:r>
    </w:p>
    <w:p w:rsidR="00000000" w:rsidRPr="004549AB" w:rsidP="00403B8E">
      <w:pPr>
        <w:pStyle w:val="BodyText"/>
      </w:pPr>
      <w:r w:rsidRPr="004549AB">
        <w:t>Companion Volume implementa</w:t>
      </w:r>
      <w:r w:rsidRPr="004549AB">
        <w:t xml:space="preserve">tion guides are found in VETNet - </w:t>
      </w:r>
      <w:r>
        <w:fldChar w:fldCharType="begin"/>
      </w:r>
      <w:r>
        <w:instrText xml:space="preserve"> HYPERLINK "https://vetnet.education.gov.au/Pages/TrainingDocs.aspx?q=ce216c9c-04d5-4b3b-9bcf-4e81d0950371" </w:instrText>
      </w:r>
      <w:r>
        <w:fldChar w:fldCharType="separate"/>
      </w:r>
      <w:r w:rsidRPr="008D4D60">
        <w:rPr>
          <w:rStyle w:val="Hyperlink"/>
        </w:rPr>
        <w:t>https://vetnet.education.gov.au/Pages/TrainingDocs.aspx?q=ce216c9c-04d5-4b3b-9bcf-4e81d0950371</w:t>
      </w:r>
      <w:r>
        <w:fldChar w:fldCharType="end"/>
      </w:r>
    </w:p>
    <w:p w:rsidR="00000000" w:rsidRPr="004549AB" w:rsidP="004549AB"/>
    <w:sectPr w:rsidSect="004549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9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9AB" w:rsidRPr="00403B8E" w:rsidP="00403B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9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B8E" w:rsidP="004549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3B8E" w:rsidP="004549A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03B8E" w:rsidP="004549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9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B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49AB" w:rsidRPr="00403B8E" w:rsidP="00403B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9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B8E" w:rsidRPr="002D2AF8" w:rsidP="004549AB">
    <w:pPr>
      <w:pStyle w:val="Header"/>
      <w:framePr w:wrap="around"/>
    </w:pPr>
    <w:r>
      <w:fldChar w:fldCharType="begin"/>
    </w:r>
    <w:r>
      <w:instrText xml:space="preserve"> TITLE   \* MERGEFORMAT </w:instrText>
    </w:r>
    <w:r>
      <w:fldChar w:fldCharType="separate"/>
    </w:r>
    <w:r>
      <w:t>MEA263 Modify/repair aircraft component multi-layer printed circuit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403B8E" w:rsidP="004549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7AF3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52E0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9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9AB"/>
    <w:pPr>
      <w:spacing w:before="360" w:after="60"/>
      <w:outlineLvl w:val="0"/>
    </w:pPr>
    <w:rPr>
      <w:sz w:val="32"/>
    </w:rPr>
  </w:style>
  <w:style w:type="paragraph" w:styleId="Heading2">
    <w:name w:val="heading 2"/>
    <w:basedOn w:val="HeadingBase"/>
    <w:next w:val="BodyText"/>
    <w:link w:val="Heading2Char"/>
    <w:qFormat/>
    <w:rsid w:val="004549AB"/>
    <w:pPr>
      <w:keepLines/>
      <w:spacing w:before="240" w:after="120"/>
      <w:outlineLvl w:val="1"/>
    </w:pPr>
    <w:rPr>
      <w:sz w:val="28"/>
      <w:szCs w:val="40"/>
    </w:rPr>
  </w:style>
  <w:style w:type="paragraph" w:styleId="Heading3">
    <w:name w:val="heading 3"/>
    <w:basedOn w:val="HeadingBase"/>
    <w:next w:val="BodyText"/>
    <w:link w:val="Heading3Char"/>
    <w:qFormat/>
    <w:rsid w:val="004549AB"/>
    <w:pPr>
      <w:spacing w:before="180" w:after="120"/>
      <w:outlineLvl w:val="2"/>
    </w:pPr>
    <w:rPr>
      <w:spacing w:val="-10"/>
      <w:kern w:val="32"/>
    </w:rPr>
  </w:style>
  <w:style w:type="paragraph" w:styleId="Heading4">
    <w:name w:val="heading 4"/>
    <w:basedOn w:val="HeadingBase"/>
    <w:next w:val="BodyText"/>
    <w:link w:val="Heading4Char"/>
    <w:qFormat/>
    <w:rsid w:val="004549AB"/>
    <w:pPr>
      <w:spacing w:before="160" w:after="120"/>
      <w:outlineLvl w:val="3"/>
    </w:pPr>
    <w:rPr>
      <w:sz w:val="22"/>
    </w:rPr>
  </w:style>
  <w:style w:type="paragraph" w:styleId="Heading5">
    <w:name w:val="heading 5"/>
    <w:basedOn w:val="HeadingBase"/>
    <w:next w:val="Normal"/>
    <w:link w:val="Heading5Char"/>
    <w:qFormat/>
    <w:rsid w:val="004549AB"/>
    <w:pPr>
      <w:spacing w:before="80"/>
      <w:outlineLvl w:val="4"/>
    </w:pPr>
    <w:rPr>
      <w:color w:val="918585"/>
      <w:sz w:val="20"/>
    </w:rPr>
  </w:style>
  <w:style w:type="paragraph" w:styleId="Heading6">
    <w:name w:val="heading 6"/>
    <w:basedOn w:val="HeadingBase"/>
    <w:next w:val="Normal"/>
    <w:link w:val="Heading6Char"/>
    <w:qFormat/>
    <w:rsid w:val="004549AB"/>
    <w:pPr>
      <w:spacing w:before="60"/>
      <w:outlineLvl w:val="5"/>
    </w:pPr>
    <w:rPr>
      <w:color w:val="918585"/>
      <w:sz w:val="20"/>
    </w:rPr>
  </w:style>
  <w:style w:type="paragraph" w:styleId="Heading7">
    <w:name w:val="heading 7"/>
    <w:basedOn w:val="Normal"/>
    <w:next w:val="Normal"/>
    <w:link w:val="Heading7Char"/>
    <w:qFormat/>
    <w:rsid w:val="004549AB"/>
    <w:pPr>
      <w:ind w:left="720"/>
      <w:outlineLvl w:val="6"/>
    </w:pPr>
    <w:rPr>
      <w:i/>
    </w:rPr>
  </w:style>
  <w:style w:type="paragraph" w:styleId="Heading8">
    <w:name w:val="heading 8"/>
    <w:basedOn w:val="Normal"/>
    <w:next w:val="Normal"/>
    <w:link w:val="Heading8Char"/>
    <w:qFormat/>
    <w:rsid w:val="004549AB"/>
    <w:pPr>
      <w:ind w:left="720"/>
      <w:outlineLvl w:val="7"/>
    </w:pPr>
    <w:rPr>
      <w:i/>
    </w:rPr>
  </w:style>
  <w:style w:type="paragraph" w:styleId="Heading9">
    <w:name w:val="heading 9"/>
    <w:basedOn w:val="Normal"/>
    <w:next w:val="Normal"/>
    <w:link w:val="Heading9Char"/>
    <w:qFormat/>
    <w:rsid w:val="004549AB"/>
    <w:pPr>
      <w:ind w:left="720"/>
      <w:outlineLvl w:val="8"/>
    </w:pPr>
    <w:rPr>
      <w:i/>
    </w:rPr>
  </w:style>
  <w:style w:type="character" w:default="1" w:styleId="DefaultParagraphFont">
    <w:name w:val="Default Paragraph Font"/>
    <w:uiPriority w:val="1"/>
    <w:unhideWhenUsed/>
    <w:rsid w:val="004549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9AB"/>
  </w:style>
  <w:style w:type="character" w:customStyle="1" w:styleId="Heading1Char">
    <w:name w:val="Heading 1 Char"/>
    <w:basedOn w:val="DefaultParagraphFont"/>
    <w:link w:val="Heading1"/>
    <w:rsid w:val="004549AB"/>
    <w:rPr>
      <w:rFonts w:ascii="Times New Roman" w:eastAsia="Times New Roman" w:hAnsi="Times New Roman" w:cs="Times New Roman"/>
      <w:b/>
      <w:sz w:val="32"/>
      <w:szCs w:val="20"/>
      <w:lang w:eastAsia="en-US"/>
    </w:rPr>
  </w:style>
  <w:style w:type="paragraph" w:styleId="BodyText">
    <w:name w:val="Body Text"/>
    <w:basedOn w:val="Normal"/>
    <w:link w:val="BodyTextChar"/>
    <w:rsid w:val="004549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49AB"/>
    <w:rPr>
      <w:rFonts w:ascii="Times New Roman" w:eastAsia="Times New Roman" w:hAnsi="Times New Roman" w:cs="Times New Roman"/>
      <w:sz w:val="24"/>
      <w:lang w:eastAsia="en-US"/>
    </w:rPr>
  </w:style>
  <w:style w:type="paragraph" w:styleId="ListBullet">
    <w:name w:val="List Bullet"/>
    <w:basedOn w:val="List"/>
    <w:rsid w:val="004549AB"/>
    <w:pPr>
      <w:numPr>
        <w:numId w:val="11"/>
      </w:numPr>
      <w:tabs>
        <w:tab w:val="clear" w:pos="340"/>
      </w:tabs>
      <w:spacing w:before="40" w:after="40"/>
    </w:pPr>
  </w:style>
  <w:style w:type="character" w:customStyle="1" w:styleId="SpecialBold">
    <w:name w:val="Special Bold"/>
    <w:basedOn w:val="DefaultParagraphFont"/>
    <w:rsid w:val="004549AB"/>
    <w:rPr>
      <w:b/>
      <w:spacing w:val="0"/>
    </w:rPr>
  </w:style>
  <w:style w:type="paragraph" w:customStyle="1" w:styleId="SuperHeading">
    <w:name w:val="SuperHeading"/>
    <w:basedOn w:val="Normal"/>
    <w:rsid w:val="004549AB"/>
    <w:pPr>
      <w:spacing w:before="240" w:after="120"/>
      <w:outlineLvl w:val="0"/>
    </w:pPr>
    <w:rPr>
      <w:rFonts w:ascii="Times New Roman" w:hAnsi="Times New Roman"/>
      <w:b/>
      <w:sz w:val="32"/>
    </w:rPr>
  </w:style>
  <w:style w:type="paragraph" w:customStyle="1" w:styleId="AllowPageBreak">
    <w:name w:val="AllowPageBreak"/>
    <w:rsid w:val="004549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49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9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9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9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9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9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9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9AB"/>
    <w:rPr>
      <w:rFonts w:ascii="Courier New" w:eastAsia="Times New Roman" w:hAnsi="Courier New" w:cs="Times New Roman"/>
      <w:i/>
      <w:szCs w:val="20"/>
      <w:lang w:eastAsia="en-US"/>
    </w:rPr>
  </w:style>
  <w:style w:type="paragraph" w:customStyle="1" w:styleId="HeadingBase">
    <w:name w:val="Heading Base"/>
    <w:rsid w:val="004549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9AB"/>
    <w:pPr>
      <w:tabs>
        <w:tab w:val="right" w:leader="dot" w:pos="9072"/>
      </w:tabs>
      <w:ind w:left="567"/>
    </w:pPr>
    <w:rPr>
      <w:szCs w:val="22"/>
    </w:rPr>
  </w:style>
  <w:style w:type="paragraph" w:customStyle="1" w:styleId="TOCBase">
    <w:name w:val="TOC Base"/>
    <w:rsid w:val="004549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9AB"/>
    <w:pPr>
      <w:tabs>
        <w:tab w:val="right" w:leader="dot" w:pos="9072"/>
      </w:tabs>
      <w:spacing w:before="40" w:after="40"/>
      <w:ind w:left="284"/>
    </w:pPr>
    <w:rPr>
      <w:rFonts w:ascii="Times New Roman" w:hAnsi="Times New Roman"/>
    </w:rPr>
  </w:style>
  <w:style w:type="paragraph" w:styleId="TOC1">
    <w:name w:val="toc 1"/>
    <w:basedOn w:val="TOCBase"/>
    <w:next w:val="Normal"/>
    <w:rsid w:val="004549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9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9AB"/>
    <w:rPr>
      <w:rFonts w:ascii="Times New Roman" w:eastAsia="Times New Roman" w:hAnsi="Times New Roman" w:cs="Times New Roman"/>
      <w:sz w:val="16"/>
      <w:lang w:eastAsia="en-US"/>
    </w:rPr>
  </w:style>
  <w:style w:type="paragraph" w:styleId="Title">
    <w:name w:val="Title"/>
    <w:basedOn w:val="HeadingBase"/>
    <w:link w:val="TitleChar"/>
    <w:qFormat/>
    <w:rsid w:val="004549AB"/>
    <w:pPr>
      <w:spacing w:before="5040"/>
      <w:jc w:val="center"/>
    </w:pPr>
    <w:rPr>
      <w:sz w:val="48"/>
      <w:szCs w:val="72"/>
      <w:lang w:val="en-US"/>
    </w:rPr>
  </w:style>
  <w:style w:type="character" w:customStyle="1" w:styleId="TitleChar">
    <w:name w:val="Title Char"/>
    <w:basedOn w:val="DefaultParagraphFont"/>
    <w:link w:val="Title"/>
    <w:rsid w:val="004549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9AB"/>
    <w:pPr>
      <w:tabs>
        <w:tab w:val="left" w:pos="3600"/>
        <w:tab w:val="left" w:pos="3958"/>
      </w:tabs>
    </w:pPr>
  </w:style>
  <w:style w:type="paragraph" w:styleId="List">
    <w:name w:val="List"/>
    <w:basedOn w:val="BodyText"/>
    <w:next w:val="BodyText"/>
    <w:rsid w:val="004549AB"/>
    <w:pPr>
      <w:tabs>
        <w:tab w:val="left" w:pos="340"/>
      </w:tabs>
      <w:spacing w:before="60" w:after="60"/>
      <w:ind w:left="340" w:hanging="340"/>
    </w:pPr>
  </w:style>
  <w:style w:type="paragraph" w:customStyle="1" w:styleId="Note">
    <w:name w:val="Note"/>
    <w:basedOn w:val="BodyText"/>
    <w:rsid w:val="004549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9AB"/>
    <w:pPr>
      <w:framePr w:wrap="auto" w:hAnchor="text" w:y="6049"/>
    </w:pPr>
    <w:rPr>
      <w:color w:val="000000"/>
      <w:sz w:val="40"/>
    </w:rPr>
  </w:style>
  <w:style w:type="paragraph" w:customStyle="1" w:styleId="TOCTitle">
    <w:name w:val="TOCTitle"/>
    <w:basedOn w:val="Heading1"/>
    <w:rsid w:val="004549AB"/>
    <w:pPr>
      <w:spacing w:after="240"/>
      <w:jc w:val="center"/>
      <w:outlineLvl w:val="9"/>
    </w:pPr>
    <w:rPr>
      <w:caps/>
    </w:rPr>
  </w:style>
  <w:style w:type="paragraph" w:customStyle="1" w:styleId="Version">
    <w:name w:val="Version"/>
    <w:rsid w:val="004549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49AB"/>
    <w:pPr>
      <w:numPr>
        <w:numId w:val="12"/>
      </w:numPr>
      <w:tabs>
        <w:tab w:val="clear" w:pos="680"/>
      </w:tabs>
    </w:pPr>
  </w:style>
  <w:style w:type="paragraph" w:styleId="Index1">
    <w:name w:val="index 1"/>
    <w:basedOn w:val="Normal"/>
    <w:next w:val="Normal"/>
    <w:semiHidden/>
    <w:rsid w:val="004549AB"/>
    <w:pPr>
      <w:keepNext w:val="0"/>
      <w:tabs>
        <w:tab w:val="right" w:pos="4176"/>
      </w:tabs>
      <w:ind w:left="198" w:hanging="198"/>
    </w:pPr>
    <w:rPr>
      <w:rFonts w:ascii="Garamond" w:hAnsi="Garamond"/>
    </w:rPr>
  </w:style>
  <w:style w:type="paragraph" w:styleId="IndexHeading">
    <w:name w:val="index heading"/>
    <w:basedOn w:val="Normal"/>
    <w:next w:val="Index1"/>
    <w:semiHidden/>
    <w:rsid w:val="004549AB"/>
    <w:pPr>
      <w:spacing w:before="120" w:after="120"/>
    </w:pPr>
    <w:rPr>
      <w:rFonts w:ascii="Arial" w:hAnsi="Arial"/>
      <w:b/>
      <w:color w:val="918585"/>
      <w:sz w:val="24"/>
    </w:rPr>
  </w:style>
  <w:style w:type="paragraph" w:styleId="Header">
    <w:name w:val="header"/>
    <w:basedOn w:val="Normal"/>
    <w:link w:val="HeaderChar"/>
    <w:rsid w:val="004549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9AB"/>
    <w:rPr>
      <w:rFonts w:ascii="Times New Roman" w:eastAsia="Times New Roman" w:hAnsi="Times New Roman" w:cs="Times New Roman"/>
      <w:sz w:val="16"/>
      <w:szCs w:val="20"/>
      <w:lang w:val="en-GB" w:eastAsia="en-US"/>
    </w:rPr>
  </w:style>
  <w:style w:type="paragraph" w:customStyle="1" w:styleId="Chapter">
    <w:name w:val="Chapter"/>
    <w:basedOn w:val="Normal"/>
    <w:rsid w:val="004549AB"/>
    <w:pPr>
      <w:spacing w:before="240"/>
    </w:pPr>
    <w:rPr>
      <w:rFonts w:ascii="Times New Roman" w:hAnsi="Times New Roman"/>
      <w:smallCaps/>
      <w:spacing w:val="80"/>
      <w:sz w:val="28"/>
    </w:rPr>
  </w:style>
  <w:style w:type="paragraph" w:customStyle="1" w:styleId="InChapter">
    <w:name w:val="InChapter"/>
    <w:basedOn w:val="Heading3"/>
    <w:rsid w:val="004549AB"/>
    <w:pPr>
      <w:spacing w:after="240"/>
      <w:outlineLvl w:val="9"/>
    </w:pPr>
    <w:rPr>
      <w:noProof/>
    </w:rPr>
  </w:style>
  <w:style w:type="paragraph" w:styleId="Index2">
    <w:name w:val="index 2"/>
    <w:basedOn w:val="Normal"/>
    <w:next w:val="Normal"/>
    <w:semiHidden/>
    <w:rsid w:val="004549AB"/>
    <w:pPr>
      <w:tabs>
        <w:tab w:val="right" w:pos="4176"/>
      </w:tabs>
      <w:ind w:left="568" w:hanging="284"/>
    </w:pPr>
    <w:rPr>
      <w:rFonts w:ascii="Garamond" w:hAnsi="Garamond"/>
    </w:rPr>
  </w:style>
  <w:style w:type="paragraph" w:customStyle="1" w:styleId="Byline">
    <w:name w:val="Byline"/>
    <w:rsid w:val="004549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9AB"/>
    <w:pPr>
      <w:tabs>
        <w:tab w:val="clear" w:pos="3600"/>
        <w:tab w:val="clear" w:pos="3958"/>
      </w:tabs>
      <w:jc w:val="right"/>
    </w:pPr>
  </w:style>
  <w:style w:type="character" w:styleId="Emphasis">
    <w:name w:val="Emphasis"/>
    <w:basedOn w:val="DefaultParagraphFont"/>
    <w:qFormat/>
    <w:rsid w:val="004549AB"/>
    <w:rPr>
      <w:i/>
    </w:rPr>
  </w:style>
  <w:style w:type="paragraph" w:styleId="Caption">
    <w:name w:val="caption"/>
    <w:basedOn w:val="BodyText"/>
    <w:next w:val="Normal"/>
    <w:qFormat/>
    <w:rsid w:val="004549AB"/>
    <w:pPr>
      <w:framePr w:w="2268" w:hSpace="181" w:vSpace="181" w:wrap="around" w:vAnchor="text" w:hAnchor="page" w:x="1135" w:y="285" w:anchorLock="1"/>
    </w:pPr>
    <w:rPr>
      <w:i/>
    </w:rPr>
  </w:style>
  <w:style w:type="paragraph" w:customStyle="1" w:styleId="MiniTOCTitle">
    <w:name w:val="MiniTOCTitle"/>
    <w:basedOn w:val="Heading4"/>
    <w:rsid w:val="004549AB"/>
    <w:pPr>
      <w:spacing w:before="240"/>
      <w:outlineLvl w:val="9"/>
    </w:pPr>
    <w:rPr>
      <w:noProof/>
      <w:sz w:val="24"/>
    </w:rPr>
  </w:style>
  <w:style w:type="paragraph" w:customStyle="1" w:styleId="MiniTOCItem">
    <w:name w:val="MiniTOCItem"/>
    <w:basedOn w:val="ListBullet"/>
    <w:rsid w:val="004549AB"/>
    <w:pPr>
      <w:numPr>
        <w:numId w:val="0"/>
      </w:numPr>
      <w:tabs>
        <w:tab w:val="right" w:leader="dot" w:pos="6521"/>
      </w:tabs>
      <w:spacing w:before="0" w:after="0"/>
    </w:pPr>
  </w:style>
  <w:style w:type="paragraph" w:customStyle="1" w:styleId="TOFTitle">
    <w:name w:val="TOFTitle"/>
    <w:basedOn w:val="TOCTitle"/>
    <w:rsid w:val="004549AB"/>
  </w:style>
  <w:style w:type="paragraph" w:styleId="TableofFigures">
    <w:name w:val="table of figures"/>
    <w:basedOn w:val="Normal"/>
    <w:next w:val="Normal"/>
    <w:semiHidden/>
    <w:rsid w:val="004549AB"/>
    <w:pPr>
      <w:tabs>
        <w:tab w:val="right" w:leader="dot" w:pos="9072"/>
      </w:tabs>
      <w:ind w:left="970" w:hanging="403"/>
    </w:pPr>
    <w:rPr>
      <w:rFonts w:ascii="Times New Roman" w:hAnsi="Times New Roman"/>
      <w:b/>
    </w:rPr>
  </w:style>
  <w:style w:type="paragraph" w:styleId="ListNumber">
    <w:name w:val="List Number"/>
    <w:basedOn w:val="List"/>
    <w:rsid w:val="004549AB"/>
    <w:pPr>
      <w:numPr>
        <w:numId w:val="14"/>
      </w:numPr>
      <w:tabs>
        <w:tab w:val="clear" w:pos="340"/>
      </w:tabs>
    </w:pPr>
  </w:style>
  <w:style w:type="character" w:customStyle="1" w:styleId="WingdingSymbols">
    <w:name w:val="Wingding Symbols"/>
    <w:rsid w:val="004549AB"/>
    <w:rPr>
      <w:rFonts w:ascii="Wingdings" w:hAnsi="Wingdings"/>
    </w:rPr>
  </w:style>
  <w:style w:type="paragraph" w:customStyle="1" w:styleId="TableHeading">
    <w:name w:val="Table Heading"/>
    <w:basedOn w:val="HeadingBase"/>
    <w:rsid w:val="004549AB"/>
    <w:pPr>
      <w:keepLines/>
      <w:pBdr>
        <w:bottom w:val="single" w:sz="6" w:space="1" w:color="918585"/>
      </w:pBdr>
      <w:spacing w:before="240"/>
    </w:pPr>
  </w:style>
  <w:style w:type="character" w:customStyle="1" w:styleId="HotSpot">
    <w:name w:val="HotSpot"/>
    <w:rsid w:val="004549AB"/>
    <w:rPr>
      <w:color w:val="0033CC"/>
      <w:u w:val="none"/>
    </w:rPr>
  </w:style>
  <w:style w:type="paragraph" w:customStyle="1" w:styleId="BodyTextRight">
    <w:name w:val="Body Text Right"/>
    <w:basedOn w:val="BodyText"/>
    <w:rsid w:val="004549AB"/>
    <w:pPr>
      <w:spacing w:before="0" w:after="0"/>
      <w:jc w:val="right"/>
    </w:pPr>
  </w:style>
  <w:style w:type="paragraph" w:styleId="Index3">
    <w:name w:val="index 3"/>
    <w:basedOn w:val="ListNumber2"/>
    <w:next w:val="Normal"/>
    <w:semiHidden/>
    <w:rsid w:val="004549AB"/>
    <w:pPr>
      <w:numPr>
        <w:numId w:val="0"/>
      </w:numPr>
      <w:tabs>
        <w:tab w:val="right" w:leader="dot" w:pos="4176"/>
      </w:tabs>
    </w:pPr>
  </w:style>
  <w:style w:type="paragraph" w:styleId="ListNumber2">
    <w:name w:val="List Number 2"/>
    <w:basedOn w:val="List2"/>
    <w:rsid w:val="004549AB"/>
    <w:pPr>
      <w:numPr>
        <w:numId w:val="9"/>
      </w:numPr>
      <w:tabs>
        <w:tab w:val="clear" w:pos="1060"/>
      </w:tabs>
    </w:pPr>
  </w:style>
  <w:style w:type="paragraph" w:customStyle="1" w:styleId="MarginNote">
    <w:name w:val="Margin Note"/>
    <w:basedOn w:val="BodyText"/>
    <w:rsid w:val="004549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9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9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9AB"/>
    <w:rPr>
      <w:sz w:val="32"/>
    </w:rPr>
  </w:style>
  <w:style w:type="paragraph" w:customStyle="1" w:styleId="HeadingProcedure">
    <w:name w:val="Heading Procedure"/>
    <w:basedOn w:val="HeadingBase"/>
    <w:next w:val="Normal"/>
    <w:rsid w:val="004549AB"/>
    <w:pPr>
      <w:tabs>
        <w:tab w:val="left" w:pos="0"/>
      </w:tabs>
      <w:spacing w:before="120" w:after="60"/>
    </w:pPr>
    <w:rPr>
      <w:i/>
      <w:color w:val="918585"/>
      <w:sz w:val="22"/>
    </w:rPr>
  </w:style>
  <w:style w:type="paragraph" w:customStyle="1" w:styleId="TableBodyText">
    <w:name w:val="Table Body Text"/>
    <w:basedOn w:val="BodyText"/>
    <w:rsid w:val="004549AB"/>
    <w:pPr>
      <w:spacing w:before="60" w:after="60"/>
    </w:pPr>
  </w:style>
  <w:style w:type="paragraph" w:styleId="ListContinue">
    <w:name w:val="List Continue"/>
    <w:basedOn w:val="List"/>
    <w:rsid w:val="004549AB"/>
    <w:pPr>
      <w:ind w:firstLine="0"/>
    </w:pPr>
  </w:style>
  <w:style w:type="paragraph" w:customStyle="1" w:styleId="ListNote">
    <w:name w:val="List Note"/>
    <w:basedOn w:val="List"/>
    <w:rsid w:val="004549AB"/>
    <w:pPr>
      <w:pBdr>
        <w:top w:val="single" w:sz="6" w:space="2" w:color="918585"/>
        <w:bottom w:val="single" w:sz="6" w:space="2" w:color="918585"/>
      </w:pBdr>
      <w:tabs>
        <w:tab w:val="left" w:pos="1021"/>
      </w:tabs>
      <w:ind w:firstLine="0"/>
    </w:pPr>
  </w:style>
  <w:style w:type="paragraph" w:customStyle="1" w:styleId="Warning">
    <w:name w:val="Warning"/>
    <w:basedOn w:val="BodyText"/>
    <w:rsid w:val="004549AB"/>
    <w:pPr>
      <w:shd w:val="clear" w:color="auto" w:fill="D9D9D9"/>
      <w:tabs>
        <w:tab w:val="left" w:pos="992"/>
      </w:tabs>
      <w:ind w:left="119" w:right="119"/>
    </w:pPr>
    <w:rPr>
      <w:sz w:val="20"/>
    </w:rPr>
  </w:style>
  <w:style w:type="paragraph" w:customStyle="1" w:styleId="MarginIcons">
    <w:name w:val="Margin Icons"/>
    <w:basedOn w:val="BodyText"/>
    <w:rsid w:val="004549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9AB"/>
    <w:rPr>
      <w:rFonts w:ascii="Courier New" w:hAnsi="Courier New"/>
    </w:rPr>
  </w:style>
  <w:style w:type="paragraph" w:customStyle="1" w:styleId="NoteBullet">
    <w:name w:val="Note Bullet"/>
    <w:basedOn w:val="Note"/>
    <w:rsid w:val="004549AB"/>
    <w:pPr>
      <w:tabs>
        <w:tab w:val="clear" w:pos="680"/>
      </w:tabs>
      <w:spacing w:before="60" w:after="60"/>
    </w:pPr>
  </w:style>
  <w:style w:type="paragraph" w:customStyle="1" w:styleId="SubHeading2">
    <w:name w:val="SubHeading2"/>
    <w:basedOn w:val="HeadingBase"/>
    <w:rsid w:val="004549AB"/>
    <w:pPr>
      <w:spacing w:before="240" w:after="60"/>
    </w:pPr>
    <w:rPr>
      <w:sz w:val="20"/>
    </w:rPr>
  </w:style>
  <w:style w:type="paragraph" w:customStyle="1" w:styleId="SubHeading1">
    <w:name w:val="SubHeading1"/>
    <w:basedOn w:val="HeadingBase"/>
    <w:rsid w:val="004549AB"/>
    <w:pPr>
      <w:spacing w:before="240" w:after="60"/>
    </w:pPr>
    <w:rPr>
      <w:color w:val="918585"/>
      <w:sz w:val="22"/>
    </w:rPr>
  </w:style>
  <w:style w:type="paragraph" w:customStyle="1" w:styleId="SideHeading">
    <w:name w:val="Side Heading"/>
    <w:basedOn w:val="HeadingBase"/>
    <w:rsid w:val="004549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9AB"/>
    <w:pPr>
      <w:numPr>
        <w:numId w:val="10"/>
      </w:numPr>
    </w:pPr>
  </w:style>
  <w:style w:type="paragraph" w:styleId="PlainText">
    <w:name w:val="Plain Text"/>
    <w:basedOn w:val="Normal"/>
    <w:link w:val="PlainTextChar"/>
    <w:rsid w:val="004549AB"/>
    <w:rPr>
      <w:sz w:val="20"/>
    </w:rPr>
  </w:style>
  <w:style w:type="character" w:customStyle="1" w:styleId="PlainTextChar">
    <w:name w:val="Plain Text Char"/>
    <w:basedOn w:val="DefaultParagraphFont"/>
    <w:link w:val="PlainText"/>
    <w:rsid w:val="004549AB"/>
    <w:rPr>
      <w:rFonts w:ascii="Courier New" w:eastAsia="Times New Roman" w:hAnsi="Courier New" w:cs="Times New Roman"/>
      <w:sz w:val="20"/>
      <w:szCs w:val="20"/>
      <w:lang w:eastAsia="en-US"/>
    </w:rPr>
  </w:style>
  <w:style w:type="character" w:customStyle="1" w:styleId="MenuOption">
    <w:name w:val="Menu Option"/>
    <w:basedOn w:val="DefaultParagraphFont"/>
    <w:rsid w:val="004549AB"/>
    <w:rPr>
      <w:b/>
      <w:smallCaps/>
    </w:rPr>
  </w:style>
  <w:style w:type="paragraph" w:customStyle="1" w:styleId="TableListNumber">
    <w:name w:val="Table List Number"/>
    <w:basedOn w:val="ListNumber"/>
    <w:rsid w:val="004549AB"/>
    <w:pPr>
      <w:numPr>
        <w:numId w:val="0"/>
      </w:numPr>
    </w:pPr>
  </w:style>
  <w:style w:type="paragraph" w:styleId="TOC4">
    <w:name w:val="toc 4"/>
    <w:basedOn w:val="TOCBase"/>
    <w:next w:val="Normal"/>
    <w:semiHidden/>
    <w:rsid w:val="004549AB"/>
    <w:pPr>
      <w:tabs>
        <w:tab w:val="right" w:leader="dot" w:pos="9071"/>
      </w:tabs>
      <w:ind w:left="1701"/>
    </w:pPr>
  </w:style>
  <w:style w:type="paragraph" w:customStyle="1" w:styleId="ListAlpha">
    <w:name w:val="List Alpha"/>
    <w:basedOn w:val="List"/>
    <w:rsid w:val="004549AB"/>
    <w:pPr>
      <w:numPr>
        <w:numId w:val="8"/>
      </w:numPr>
    </w:pPr>
  </w:style>
  <w:style w:type="paragraph" w:customStyle="1" w:styleId="ListAlpha2">
    <w:name w:val="List Alpha 2"/>
    <w:basedOn w:val="List2"/>
    <w:rsid w:val="004549AB"/>
    <w:pPr>
      <w:numPr>
        <w:numId w:val="7"/>
      </w:numPr>
    </w:pPr>
  </w:style>
  <w:style w:type="paragraph" w:styleId="List2">
    <w:name w:val="List 2"/>
    <w:basedOn w:val="BodyText"/>
    <w:rsid w:val="004549AB"/>
    <w:pPr>
      <w:tabs>
        <w:tab w:val="left" w:pos="680"/>
      </w:tabs>
      <w:spacing w:before="60" w:after="60"/>
      <w:ind w:left="680" w:hanging="340"/>
    </w:pPr>
  </w:style>
  <w:style w:type="paragraph" w:styleId="List3">
    <w:name w:val="List 3"/>
    <w:basedOn w:val="BodyText"/>
    <w:rsid w:val="004549AB"/>
    <w:pPr>
      <w:tabs>
        <w:tab w:val="left" w:pos="1021"/>
      </w:tabs>
      <w:spacing w:before="60" w:after="60"/>
      <w:ind w:left="1020" w:hanging="340"/>
    </w:pPr>
  </w:style>
  <w:style w:type="paragraph" w:styleId="List4">
    <w:name w:val="List 4"/>
    <w:basedOn w:val="BodyText"/>
    <w:rsid w:val="004549AB"/>
    <w:pPr>
      <w:tabs>
        <w:tab w:val="left" w:pos="1361"/>
      </w:tabs>
      <w:spacing w:before="60" w:after="60"/>
      <w:ind w:left="1361" w:hanging="340"/>
    </w:pPr>
  </w:style>
  <w:style w:type="paragraph" w:styleId="List5">
    <w:name w:val="List 5"/>
    <w:basedOn w:val="BodyText"/>
    <w:rsid w:val="004549AB"/>
    <w:pPr>
      <w:tabs>
        <w:tab w:val="left" w:pos="1701"/>
      </w:tabs>
      <w:spacing w:before="60" w:after="60"/>
      <w:ind w:left="1701" w:hanging="340"/>
    </w:pPr>
  </w:style>
  <w:style w:type="paragraph" w:styleId="ListBullet3">
    <w:name w:val="List Bullet 3"/>
    <w:basedOn w:val="List3"/>
    <w:rsid w:val="004549AB"/>
    <w:pPr>
      <w:numPr>
        <w:numId w:val="13"/>
      </w:numPr>
      <w:tabs>
        <w:tab w:val="clear" w:pos="1021"/>
      </w:tabs>
      <w:ind w:left="1037" w:hanging="357"/>
    </w:pPr>
  </w:style>
  <w:style w:type="paragraph" w:styleId="ListBullet4">
    <w:name w:val="List Bullet 4"/>
    <w:basedOn w:val="List4"/>
    <w:rsid w:val="004549AB"/>
    <w:pPr>
      <w:numPr>
        <w:numId w:val="2"/>
      </w:numPr>
      <w:tabs>
        <w:tab w:val="clear" w:pos="1361"/>
      </w:tabs>
    </w:pPr>
  </w:style>
  <w:style w:type="paragraph" w:styleId="ListBullet5">
    <w:name w:val="List Bullet 5"/>
    <w:basedOn w:val="List5"/>
    <w:rsid w:val="004549AB"/>
    <w:pPr>
      <w:numPr>
        <w:numId w:val="3"/>
      </w:numPr>
    </w:pPr>
  </w:style>
  <w:style w:type="paragraph" w:styleId="ListContinue2">
    <w:name w:val="List Continue 2"/>
    <w:basedOn w:val="List2"/>
    <w:rsid w:val="004549AB"/>
    <w:pPr>
      <w:ind w:firstLine="0"/>
    </w:pPr>
  </w:style>
  <w:style w:type="paragraph" w:styleId="ListContinue3">
    <w:name w:val="List Continue 3"/>
    <w:basedOn w:val="List3"/>
    <w:rsid w:val="004549AB"/>
    <w:pPr>
      <w:ind w:left="1021" w:firstLine="0"/>
    </w:pPr>
  </w:style>
  <w:style w:type="paragraph" w:styleId="ListContinue4">
    <w:name w:val="List Continue 4"/>
    <w:basedOn w:val="List4"/>
    <w:rsid w:val="004549AB"/>
    <w:pPr>
      <w:ind w:firstLine="0"/>
    </w:pPr>
  </w:style>
  <w:style w:type="paragraph" w:styleId="ListContinue5">
    <w:name w:val="List Continue 5"/>
    <w:basedOn w:val="List5"/>
    <w:rsid w:val="004549AB"/>
    <w:pPr>
      <w:ind w:firstLine="0"/>
    </w:pPr>
  </w:style>
  <w:style w:type="paragraph" w:styleId="ListNumber3">
    <w:name w:val="List Number 3"/>
    <w:basedOn w:val="List3"/>
    <w:rsid w:val="004549AB"/>
    <w:pPr>
      <w:numPr>
        <w:numId w:val="4"/>
      </w:numPr>
    </w:pPr>
  </w:style>
  <w:style w:type="paragraph" w:styleId="ListNumber4">
    <w:name w:val="List Number 4"/>
    <w:basedOn w:val="List4"/>
    <w:rsid w:val="004549AB"/>
    <w:pPr>
      <w:numPr>
        <w:numId w:val="5"/>
      </w:numPr>
    </w:pPr>
  </w:style>
  <w:style w:type="paragraph" w:styleId="ListNumber5">
    <w:name w:val="List Number 5"/>
    <w:basedOn w:val="List5"/>
    <w:rsid w:val="004549AB"/>
    <w:pPr>
      <w:numPr>
        <w:numId w:val="6"/>
      </w:numPr>
    </w:pPr>
  </w:style>
  <w:style w:type="paragraph" w:styleId="BlockText">
    <w:name w:val="Block Text"/>
    <w:basedOn w:val="Normal"/>
    <w:rsid w:val="004549AB"/>
    <w:pPr>
      <w:spacing w:after="120"/>
      <w:ind w:left="1440" w:right="1440"/>
    </w:pPr>
  </w:style>
  <w:style w:type="character" w:customStyle="1" w:styleId="Subscript">
    <w:name w:val="Subscript"/>
    <w:basedOn w:val="DefaultParagraphFont"/>
    <w:rsid w:val="004549AB"/>
    <w:rPr>
      <w:sz w:val="16"/>
      <w:vertAlign w:val="subscript"/>
    </w:rPr>
  </w:style>
  <w:style w:type="character" w:customStyle="1" w:styleId="Superscript">
    <w:name w:val="Superscript"/>
    <w:basedOn w:val="DefaultParagraphFont"/>
    <w:rsid w:val="004549AB"/>
    <w:rPr>
      <w:sz w:val="16"/>
      <w:vertAlign w:val="superscript"/>
    </w:rPr>
  </w:style>
  <w:style w:type="character" w:customStyle="1" w:styleId="Symbols">
    <w:name w:val="Symbols"/>
    <w:basedOn w:val="DefaultParagraphFont"/>
    <w:rsid w:val="004549AB"/>
    <w:rPr>
      <w:rFonts w:ascii="Symbol" w:hAnsi="Symbol"/>
    </w:rPr>
  </w:style>
  <w:style w:type="character" w:customStyle="1" w:styleId="MenuOptions">
    <w:name w:val="Menu Options"/>
    <w:basedOn w:val="DefaultParagraphFont"/>
    <w:rsid w:val="004549AB"/>
    <w:rPr>
      <w:rFonts w:ascii="Arial Narrow" w:hAnsi="Arial Narrow"/>
      <w:smallCaps/>
    </w:rPr>
  </w:style>
  <w:style w:type="character" w:customStyle="1" w:styleId="Buttons">
    <w:name w:val="Buttons"/>
    <w:basedOn w:val="DefaultParagraphFont"/>
    <w:rsid w:val="004549AB"/>
    <w:rPr>
      <w:b/>
    </w:rPr>
  </w:style>
  <w:style w:type="character" w:customStyle="1" w:styleId="Underlined">
    <w:name w:val="Underlined"/>
    <w:basedOn w:val="DefaultParagraphFont"/>
    <w:rsid w:val="004549AB"/>
    <w:rPr>
      <w:u w:val="single"/>
    </w:rPr>
  </w:style>
  <w:style w:type="paragraph" w:customStyle="1" w:styleId="TableBodyTextRight">
    <w:name w:val="Table Body Text Right"/>
    <w:basedOn w:val="TableBodyText"/>
    <w:rsid w:val="004549AB"/>
    <w:pPr>
      <w:widowControl w:val="0"/>
      <w:autoSpaceDE w:val="0"/>
      <w:autoSpaceDN w:val="0"/>
      <w:adjustRightInd w:val="0"/>
      <w:jc w:val="right"/>
    </w:pPr>
    <w:rPr>
      <w:rFonts w:cs="Arial"/>
      <w:szCs w:val="18"/>
    </w:rPr>
  </w:style>
  <w:style w:type="paragraph" w:customStyle="1" w:styleId="CopyrightText">
    <w:name w:val="Copyright Text"/>
    <w:basedOn w:val="BodyText"/>
    <w:rsid w:val="004549AB"/>
    <w:rPr>
      <w:sz w:val="18"/>
    </w:rPr>
  </w:style>
  <w:style w:type="paragraph" w:customStyle="1" w:styleId="BodySmallRight">
    <w:name w:val="Body Small Right"/>
    <w:basedOn w:val="BodyTextRight"/>
    <w:rsid w:val="004549AB"/>
    <w:rPr>
      <w:sz w:val="18"/>
      <w:szCs w:val="18"/>
    </w:rPr>
  </w:style>
  <w:style w:type="paragraph" w:customStyle="1" w:styleId="MarginEdition">
    <w:name w:val="Margin Edition"/>
    <w:basedOn w:val="MarginNote"/>
    <w:rsid w:val="004549AB"/>
    <w:pPr>
      <w:spacing w:before="0" w:after="0"/>
    </w:pPr>
    <w:rPr>
      <w:rFonts w:ascii="Times New Roman" w:hAnsi="Times New Roman"/>
      <w:color w:val="999999"/>
    </w:rPr>
  </w:style>
  <w:style w:type="paragraph" w:customStyle="1" w:styleId="Spacer">
    <w:name w:val="Spacer"/>
    <w:basedOn w:val="Normal"/>
    <w:rsid w:val="004549AB"/>
    <w:rPr>
      <w:sz w:val="2"/>
      <w:szCs w:val="2"/>
    </w:rPr>
  </w:style>
  <w:style w:type="character" w:customStyle="1" w:styleId="Small">
    <w:name w:val="Small"/>
    <w:basedOn w:val="DefaultParagraphFont"/>
    <w:rsid w:val="004549AB"/>
    <w:rPr>
      <w:sz w:val="16"/>
    </w:rPr>
  </w:style>
  <w:style w:type="paragraph" w:customStyle="1" w:styleId="WideTable">
    <w:name w:val="Wide Table"/>
    <w:basedOn w:val="Normal"/>
    <w:rsid w:val="004549AB"/>
    <w:pPr>
      <w:ind w:left="-1418"/>
    </w:pPr>
    <w:rPr>
      <w:sz w:val="2"/>
      <w:szCs w:val="2"/>
    </w:rPr>
  </w:style>
  <w:style w:type="character" w:styleId="PageNumber">
    <w:name w:val="page number"/>
    <w:basedOn w:val="DefaultParagraphFont"/>
    <w:rsid w:val="004549AB"/>
  </w:style>
  <w:style w:type="paragraph" w:styleId="Quote">
    <w:name w:val="Quote"/>
    <w:basedOn w:val="Heading1"/>
    <w:link w:val="QuoteChar"/>
    <w:qFormat/>
    <w:rsid w:val="004549AB"/>
    <w:rPr>
      <w:b w:val="0"/>
      <w:sz w:val="72"/>
      <w:szCs w:val="72"/>
      <w:lang w:val="en-NZ"/>
    </w:rPr>
  </w:style>
  <w:style w:type="character" w:customStyle="1" w:styleId="QuoteChar">
    <w:name w:val="Quote Char"/>
    <w:basedOn w:val="DefaultParagraphFont"/>
    <w:link w:val="Quote"/>
    <w:rsid w:val="004549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9AB"/>
    <w:pPr>
      <w:pageBreakBefore/>
    </w:pPr>
  </w:style>
  <w:style w:type="paragraph" w:customStyle="1" w:styleId="Border">
    <w:name w:val="Border"/>
    <w:basedOn w:val="Normal"/>
    <w:qFormat/>
    <w:rsid w:val="004549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9AB"/>
    <w:rPr>
      <w:b/>
      <w:bCs/>
      <w:i/>
      <w:iCs/>
      <w:color w:val="auto"/>
    </w:rPr>
  </w:style>
  <w:style w:type="paragraph" w:styleId="IntenseQuote">
    <w:name w:val="Intense Quote"/>
    <w:basedOn w:val="Normal"/>
    <w:next w:val="Normal"/>
    <w:link w:val="IntenseQuoteChar"/>
    <w:uiPriority w:val="30"/>
    <w:qFormat/>
    <w:rsid w:val="004549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9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9AB"/>
    <w:rPr>
      <w:smallCaps/>
      <w:color w:val="auto"/>
      <w:u w:val="single"/>
    </w:rPr>
  </w:style>
  <w:style w:type="character" w:styleId="IntenseReference">
    <w:name w:val="Intense Reference"/>
    <w:basedOn w:val="DefaultParagraphFont"/>
    <w:uiPriority w:val="32"/>
    <w:qFormat/>
    <w:rsid w:val="004549AB"/>
    <w:rPr>
      <w:b/>
      <w:bCs/>
      <w:smallCaps/>
      <w:color w:val="auto"/>
      <w:spacing w:val="5"/>
      <w:u w:val="single"/>
    </w:rPr>
  </w:style>
  <w:style w:type="paragraph" w:customStyle="1" w:styleId="2ColumnHeading">
    <w:name w:val="2Column Heading"/>
    <w:basedOn w:val="BodyText"/>
    <w:qFormat/>
    <w:rsid w:val="004549AB"/>
    <w:pPr>
      <w:spacing w:after="60"/>
      <w:ind w:left="-2268"/>
    </w:pPr>
    <w:rPr>
      <w:b/>
    </w:rPr>
  </w:style>
  <w:style w:type="paragraph" w:customStyle="1" w:styleId="Heading1TOC">
    <w:name w:val="Heading1 TOC"/>
    <w:basedOn w:val="Normal"/>
    <w:qFormat/>
    <w:rsid w:val="004549AB"/>
    <w:pPr>
      <w:spacing w:before="240" w:after="120"/>
    </w:pPr>
    <w:rPr>
      <w:rFonts w:ascii="Times New Roman" w:hAnsi="Times New Roman"/>
      <w:b/>
      <w:sz w:val="32"/>
    </w:rPr>
  </w:style>
  <w:style w:type="paragraph" w:customStyle="1" w:styleId="Heading2TOC">
    <w:name w:val="Heading2 TOC"/>
    <w:basedOn w:val="Normal"/>
    <w:qFormat/>
    <w:rsid w:val="004549AB"/>
    <w:pPr>
      <w:spacing w:before="240" w:after="60"/>
    </w:pPr>
    <w:rPr>
      <w:rFonts w:ascii="Times New Roman" w:hAnsi="Times New Roman"/>
      <w:b/>
      <w:sz w:val="28"/>
    </w:rPr>
  </w:style>
  <w:style w:type="character" w:customStyle="1" w:styleId="Underline">
    <w:name w:val="Underline"/>
    <w:basedOn w:val="DefaultParagraphFont"/>
    <w:qFormat/>
    <w:rsid w:val="004549AB"/>
    <w:rPr>
      <w:u w:val="single"/>
    </w:rPr>
  </w:style>
  <w:style w:type="character" w:customStyle="1" w:styleId="BoldandItalics">
    <w:name w:val="Bold and Italics"/>
    <w:qFormat/>
    <w:rsid w:val="004549AB"/>
    <w:rPr>
      <w:b/>
      <w:i/>
      <w:u w:val="none"/>
    </w:rPr>
  </w:style>
  <w:style w:type="paragraph" w:styleId="BalloonText">
    <w:name w:val="Balloon Text"/>
    <w:basedOn w:val="Normal"/>
    <w:link w:val="BalloonTextChar"/>
    <w:rsid w:val="004549AB"/>
    <w:rPr>
      <w:rFonts w:ascii="Tahoma" w:hAnsi="Tahoma" w:cs="Tahoma"/>
      <w:sz w:val="16"/>
      <w:szCs w:val="16"/>
    </w:rPr>
  </w:style>
  <w:style w:type="character" w:customStyle="1" w:styleId="BalloonTextChar">
    <w:name w:val="Balloon Text Char"/>
    <w:basedOn w:val="DefaultParagraphFont"/>
    <w:link w:val="BalloonText"/>
    <w:rsid w:val="004549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9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49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9AB"/>
    <w:rPr>
      <w:b/>
      <w:color w:val="660033"/>
      <w:spacing w:val="0"/>
    </w:rPr>
  </w:style>
  <w:style w:type="paragraph" w:customStyle="1" w:styleId="Nameditemlist">
    <w:name w:val="Named item list"/>
    <w:basedOn w:val="BodyText"/>
    <w:qFormat/>
    <w:rsid w:val="004549AB"/>
    <w:pPr>
      <w:tabs>
        <w:tab w:val="left" w:pos="2835"/>
      </w:tabs>
      <w:ind w:left="2835" w:hanging="2835"/>
    </w:pPr>
  </w:style>
  <w:style w:type="paragraph" w:customStyle="1" w:styleId="BodyTextnopadding">
    <w:name w:val="Body Text no padding"/>
    <w:basedOn w:val="BodyText"/>
    <w:qFormat/>
    <w:rsid w:val="004549AB"/>
    <w:pPr>
      <w:spacing w:before="0" w:after="0"/>
    </w:pPr>
  </w:style>
  <w:style w:type="paragraph" w:customStyle="1" w:styleId="BodyTextBold">
    <w:name w:val="Body Text Bold"/>
    <w:basedOn w:val="BodyText"/>
    <w:qFormat/>
    <w:rsid w:val="004549AB"/>
    <w:rPr>
      <w:b/>
    </w:rPr>
  </w:style>
  <w:style w:type="character" w:styleId="Hyperlink">
    <w:name w:val="Hyperlink"/>
    <w:basedOn w:val="DefaultParagraphFont"/>
    <w:uiPriority w:val="99"/>
    <w:unhideWhenUsed/>
    <w:rsid w:val="00403B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914</Words>
  <Characters>5972</Characters>
  <Application>Microsoft Office Word</Application>
  <DocSecurity>0</DocSecurity>
  <Lines>248</Lines>
  <Paragraphs>105</Paragraphs>
  <ScaleCrop>false</ScaleCrop>
  <Company>Author-it Software Corporation Ltd.</Company>
  <LinksUpToDate>false</LinksUpToDate>
  <CharactersWithSpaces>6781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MEA263 Modify/repair aircraft component multi-layer printed circuit boards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2019-09-30T08:29:00Z</dcterms:created>
  <dcterms:modified xsi:type="dcterms:W3CDTF">2019-09-30T08:29:00Z</dcterms:modified>
</cp:coreProperties>
</file>