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870" w:rsidP="00461870">
      <w:pPr>
        <w:pStyle w:val="Title"/>
      </w:pPr>
      <w:r>
        <w:fldChar w:fldCharType="begin"/>
      </w:r>
      <w:r>
        <w:instrText xml:space="preserve"> TITLE   \* MERGEFORMAT </w:instrText>
      </w:r>
      <w:r>
        <w:fldChar w:fldCharType="separate"/>
      </w:r>
      <w:r>
        <w:t>MEA240 Use electrical test equipment to perform basic electrical tests</w:t>
      </w:r>
      <w:r>
        <w:fldChar w:fldCharType="end"/>
      </w:r>
    </w:p>
    <w:p w:rsidR="00461870" w:rsidP="00461870">
      <w:pPr>
        <w:pStyle w:val="Version"/>
        <w:sectPr w:rsidSect="00C31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A14" w:rsidP="00C31A14">
      <w:pPr>
        <w:pStyle w:val="SuperHeading"/>
      </w:pPr>
      <w:r w:rsidRPr="00C31A14">
        <w:t>MEA240 Use electrical test equipment to perform basic electrical tests</w:t>
      </w:r>
    </w:p>
    <w:p w:rsidR="00000000" w:rsidRPr="00C31A14" w:rsidP="00C31A14">
      <w:pPr>
        <w:pStyle w:val="Heading1"/>
      </w:pPr>
      <w:bookmarkStart w:id="1" w:name="O_720817"/>
      <w:bookmarkEnd w:id="1"/>
      <w:r w:rsidRPr="00C31A14">
        <w:t>Modification History</w:t>
      </w:r>
    </w:p>
    <w:p w:rsidR="00000000" w:rsidRPr="00C31A14" w:rsidP="00461870">
      <w:pPr>
        <w:pStyle w:val="BodyText"/>
      </w:pPr>
      <w:r w:rsidRPr="00C31A14">
        <w:t>Release 1 - New unit of competency</w:t>
      </w:r>
    </w:p>
    <w:p w:rsidR="00000000" w:rsidRPr="00C31A14" w:rsidP="00C31A14">
      <w:pPr>
        <w:pStyle w:val="Heading1"/>
      </w:pPr>
      <w:bookmarkStart w:id="2" w:name="O_720825"/>
      <w:bookmarkEnd w:id="2"/>
      <w:r w:rsidRPr="00C31A14">
        <w:t>Application</w:t>
      </w:r>
    </w:p>
    <w:p w:rsidR="00000000" w:rsidRPr="00C31A14" w:rsidP="00461870">
      <w:pPr>
        <w:pStyle w:val="BodyText"/>
      </w:pPr>
      <w:r w:rsidRPr="00C31A14">
        <w:t xml:space="preserve">This unit of competency requires application of skills in the use of electrical test equipment under qualified person guidance to measure voltage and current, and to test continuity, insulation and bonding on aircraft and components both in the hangar and </w:t>
      </w:r>
      <w:r w:rsidRPr="00C31A14">
        <w:t>workshop during scheduled or unscheduled maintenance. Work may be performed individually or as part of a team.</w:t>
      </w:r>
    </w:p>
    <w:p w:rsidR="00000000" w:rsidRPr="00C31A14" w:rsidP="00461870">
      <w:pPr>
        <w:pStyle w:val="BodyText"/>
      </w:pPr>
      <w:r w:rsidRPr="00C31A14">
        <w:t>The unit is part of the Avionic Certificate II training pathway.</w:t>
      </w:r>
    </w:p>
    <w:p w:rsidR="00000000" w:rsidRPr="00C31A14" w:rsidP="00461870">
      <w:pPr>
        <w:pStyle w:val="BodyText"/>
      </w:pPr>
      <w:r w:rsidRPr="00C31A14">
        <w:t>The unit is used in workplaces that operate under the airworthiness regulatory</w:t>
      </w:r>
      <w:r w:rsidRPr="00C31A14">
        <w:t xml:space="preserve"> systems of the Australian Defence Force (ADF) and the Civil Aviation Safety Authority (CASA).</w:t>
      </w:r>
    </w:p>
    <w:p w:rsidR="00000000" w:rsidRPr="00C31A14" w:rsidP="00C31A14">
      <w:pPr>
        <w:pStyle w:val="Heading1"/>
      </w:pPr>
      <w:bookmarkStart w:id="3" w:name="O_720824"/>
      <w:bookmarkEnd w:id="3"/>
      <w:r w:rsidRPr="00C31A14">
        <w:t>Pre-requisite Unit</w:t>
      </w:r>
    </w:p>
    <w:tbl>
      <w:tblPr>
        <w:tblW w:w="0" w:type="auto"/>
        <w:tblLayout w:type="fixed"/>
        <w:tblCellMar>
          <w:left w:w="62" w:type="dxa"/>
          <w:right w:w="62" w:type="dxa"/>
        </w:tblCellMar>
        <w:tblLook w:val="0000"/>
      </w:tblPr>
      <w:tblGrid>
        <w:gridCol w:w="1635"/>
        <w:gridCol w:w="6219"/>
      </w:tblGrid>
      <w:tr w:rsidTr="00C31A14">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MEA101</w:t>
            </w:r>
          </w:p>
        </w:tc>
        <w:tc>
          <w:tcPr>
            <w:tcW w:w="6219"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Interpret work health and safety practices in aviation maintenance</w:t>
            </w:r>
          </w:p>
        </w:tc>
      </w:tr>
      <w:tr w:rsidTr="00C31A14">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MEA103</w:t>
            </w:r>
          </w:p>
        </w:tc>
        <w:tc>
          <w:tcPr>
            <w:tcW w:w="6219"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Plan and organise aviation maintenance work</w:t>
            </w:r>
            <w:r w:rsidRPr="00C31A14">
              <w:t xml:space="preserve"> activity</w:t>
            </w:r>
          </w:p>
        </w:tc>
      </w:tr>
      <w:tr w:rsidTr="00C31A14">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MEA105</w:t>
            </w:r>
          </w:p>
        </w:tc>
        <w:tc>
          <w:tcPr>
            <w:tcW w:w="6219"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Apply quality standards applicable to aviation maintenance processes</w:t>
            </w:r>
          </w:p>
        </w:tc>
      </w:tr>
      <w:tr w:rsidTr="00C31A14">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MEA107</w:t>
            </w:r>
          </w:p>
        </w:tc>
        <w:tc>
          <w:tcPr>
            <w:tcW w:w="6219"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Interpret and use aviation maintenance industry manuals and specifications</w:t>
            </w:r>
          </w:p>
        </w:tc>
      </w:tr>
      <w:tr w:rsidTr="00C31A14">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MEA108</w:t>
            </w:r>
          </w:p>
        </w:tc>
        <w:tc>
          <w:tcPr>
            <w:tcW w:w="6219"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Complete aviation maintenance industry documentation</w:t>
            </w:r>
          </w:p>
        </w:tc>
      </w:tr>
      <w:tr w:rsidTr="00C31A14">
        <w:tblPrEx>
          <w:tblW w:w="0" w:type="auto"/>
          <w:tblLayout w:type="fixed"/>
          <w:tblCellMar>
            <w:left w:w="62" w:type="dxa"/>
            <w:right w:w="62" w:type="dxa"/>
          </w:tblCellMar>
          <w:tblLook w:val="0000"/>
        </w:tblPrEx>
        <w:tc>
          <w:tcPr>
            <w:tcW w:w="1635"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MEA109</w:t>
            </w:r>
          </w:p>
        </w:tc>
        <w:tc>
          <w:tcPr>
            <w:tcW w:w="6219" w:type="dxa"/>
            <w:tcBorders>
              <w:top w:val="nil"/>
              <w:left w:val="nil"/>
              <w:bottom w:val="nil"/>
              <w:right w:val="nil"/>
            </w:tcBorders>
            <w:tcMar>
              <w:top w:w="0" w:type="dxa"/>
              <w:left w:w="62" w:type="dxa"/>
              <w:bottom w:w="0" w:type="dxa"/>
              <w:right w:w="62" w:type="dxa"/>
            </w:tcMar>
          </w:tcPr>
          <w:p w:rsidR="00000000" w:rsidRPr="00C31A14" w:rsidP="00C31A14">
            <w:pPr>
              <w:pStyle w:val="BodyText"/>
            </w:pPr>
            <w:r w:rsidRPr="00C31A14">
              <w:t>Perform basic hand skills, standard trade practices and fundamentals in aviation maintenance</w:t>
            </w:r>
          </w:p>
        </w:tc>
      </w:tr>
    </w:tbl>
    <w:p w:rsidR="00000000" w:rsidRPr="00C31A14" w:rsidP="00C31A14">
      <w:pPr>
        <w:pStyle w:val="BodyText"/>
      </w:pPr>
    </w:p>
    <w:p w:rsidR="00000000" w:rsidRPr="00C31A14" w:rsidP="00C31A14">
      <w:pPr>
        <w:pStyle w:val="AllowPageBreak"/>
      </w:pPr>
    </w:p>
    <w:p w:rsidR="00000000" w:rsidRPr="00C31A14" w:rsidP="00C31A14">
      <w:pPr>
        <w:pStyle w:val="Heading1"/>
      </w:pPr>
      <w:bookmarkStart w:id="4" w:name="O_720823"/>
      <w:bookmarkEnd w:id="4"/>
      <w:r w:rsidRPr="00C31A14">
        <w:t>Competency Field</w:t>
      </w:r>
    </w:p>
    <w:p w:rsidR="00000000" w:rsidRPr="00C31A14" w:rsidP="00461870">
      <w:pPr>
        <w:pStyle w:val="BodyText"/>
      </w:pPr>
      <w:r w:rsidRPr="00C31A14">
        <w:t>Aviation maintenance</w:t>
      </w:r>
    </w:p>
    <w:p w:rsidR="00000000" w:rsidRPr="00C31A14" w:rsidP="00C31A14">
      <w:pPr>
        <w:pStyle w:val="Heading1"/>
      </w:pPr>
      <w:bookmarkStart w:id="5" w:name="O_720822"/>
      <w:bookmarkEnd w:id="5"/>
      <w:r w:rsidRPr="00C31A14">
        <w:t>Unit Sector</w:t>
      </w:r>
    </w:p>
    <w:p w:rsidR="00000000" w:rsidRPr="00C31A14" w:rsidP="00C31A14">
      <w:pPr>
        <w:pStyle w:val="Heading1"/>
      </w:pPr>
      <w:bookmarkStart w:id="6" w:name="O_720821"/>
      <w:bookmarkEnd w:id="6"/>
      <w:r w:rsidRPr="00C31A14">
        <w:t>Elements and Performance Criteria</w:t>
      </w:r>
    </w:p>
    <w:tbl>
      <w:tblPr>
        <w:tblW w:w="9450" w:type="dxa"/>
        <w:tblLayout w:type="fixed"/>
        <w:tblCellMar>
          <w:left w:w="62" w:type="dxa"/>
          <w:right w:w="62" w:type="dxa"/>
        </w:tblCellMar>
        <w:tblLook w:val="0000"/>
      </w:tblPr>
      <w:tblGrid>
        <w:gridCol w:w="561"/>
        <w:gridCol w:w="2319"/>
        <w:gridCol w:w="720"/>
        <w:gridCol w:w="5850"/>
      </w:tblGrid>
      <w:tr w:rsidTr="00C31A14">
        <w:tblPrEx>
          <w:tblW w:w="945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Elements describe the essen</w:t>
            </w:r>
            <w:r w:rsidRPr="00C31A14">
              <w:t>tial outcomes.</w:t>
            </w:r>
          </w:p>
        </w:tc>
        <w:tc>
          <w:tcPr>
            <w:tcW w:w="6570" w:type="dxa"/>
            <w:gridSpan w:val="2"/>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 xml:space="preserve">Performance criteria describe the performance needed to demonstrate achievement of the element. </w:t>
            </w:r>
          </w:p>
        </w:tc>
      </w:tr>
      <w:tr w:rsidTr="00C31A14">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1.</w:t>
            </w:r>
          </w:p>
        </w:tc>
        <w:tc>
          <w:tcPr>
            <w:tcW w:w="2319" w:type="dxa"/>
            <w:vMerge w:val="restart"/>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Prepare test equipment to perform basic electrical tests</w:t>
            </w:r>
          </w:p>
        </w:tc>
        <w:tc>
          <w:tcPr>
            <w:tcW w:w="72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1.1</w:t>
            </w:r>
          </w:p>
        </w:tc>
        <w:tc>
          <w:tcPr>
            <w:tcW w:w="585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Appropriate electrical test equipment is selected and confirmed with a qualified person</w:t>
            </w:r>
          </w:p>
        </w:tc>
      </w:tr>
      <w:tr w:rsidTr="00C31A14">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1.2</w:t>
            </w:r>
          </w:p>
        </w:tc>
        <w:tc>
          <w:tcPr>
            <w:tcW w:w="585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Test equipment is checked for serviceability and applicable leads are fitted, where required</w:t>
            </w:r>
          </w:p>
        </w:tc>
      </w:tr>
      <w:tr w:rsidTr="00C31A14">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1.3</w:t>
            </w:r>
          </w:p>
        </w:tc>
        <w:tc>
          <w:tcPr>
            <w:tcW w:w="585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Applicable function and range of measurement is set and confirmed with a qualified person</w:t>
            </w:r>
          </w:p>
        </w:tc>
      </w:tr>
      <w:tr w:rsidTr="00C31A14">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2.</w:t>
            </w:r>
          </w:p>
        </w:tc>
        <w:tc>
          <w:tcPr>
            <w:tcW w:w="2319" w:type="dxa"/>
            <w:vMerge w:val="restart"/>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Test component in accordance with enterprise procedures using electrical test equipment</w:t>
            </w:r>
          </w:p>
        </w:tc>
        <w:tc>
          <w:tcPr>
            <w:tcW w:w="72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2.1</w:t>
            </w:r>
          </w:p>
        </w:tc>
        <w:tc>
          <w:tcPr>
            <w:tcW w:w="585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Test points and polarity are determined</w:t>
            </w:r>
          </w:p>
        </w:tc>
      </w:tr>
      <w:tr w:rsidTr="00C31A14">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2.2</w:t>
            </w:r>
          </w:p>
        </w:tc>
        <w:tc>
          <w:tcPr>
            <w:tcW w:w="585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Required parameters are measured with the test equipment while observing all relevant work health and safety (WHS) requirements</w:t>
            </w:r>
          </w:p>
        </w:tc>
      </w:tr>
      <w:tr w:rsidTr="00C31A14">
        <w:tblPrEx>
          <w:tblW w:w="9450" w:type="dxa"/>
          <w:tblLayout w:type="fixed"/>
          <w:tblCellMar>
            <w:left w:w="62" w:type="dxa"/>
            <w:right w:w="62" w:type="dxa"/>
          </w:tblCellMar>
          <w:tblLook w:val="0000"/>
        </w:tblPrEx>
        <w:tc>
          <w:tcPr>
            <w:tcW w:w="5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2.3</w:t>
            </w:r>
          </w:p>
        </w:tc>
        <w:tc>
          <w:tcPr>
            <w:tcW w:w="5850" w:type="dxa"/>
            <w:tcBorders>
              <w:top w:val="nil"/>
              <w:left w:val="nil"/>
              <w:bottom w:val="nil"/>
              <w:right w:val="nil"/>
            </w:tcBorders>
            <w:tcMar>
              <w:top w:w="0" w:type="dxa"/>
              <w:left w:w="62" w:type="dxa"/>
              <w:bottom w:w="0" w:type="dxa"/>
              <w:right w:w="62" w:type="dxa"/>
            </w:tcMar>
          </w:tcPr>
          <w:p w:rsidR="00000000" w:rsidRPr="00C31A14" w:rsidP="00C31A14">
            <w:pPr>
              <w:pStyle w:val="BodyText"/>
            </w:pPr>
            <w:r w:rsidRPr="00C31A14">
              <w:t>Results are recorded in accordance with enterprise procedures, under qualified person guidance</w:t>
            </w:r>
          </w:p>
        </w:tc>
      </w:tr>
    </w:tbl>
    <w:p w:rsidR="00000000" w:rsidRPr="00C31A14" w:rsidP="00C31A14">
      <w:pPr>
        <w:pStyle w:val="BodyText"/>
      </w:pPr>
    </w:p>
    <w:p w:rsidR="00000000" w:rsidRPr="00C31A14" w:rsidP="00C31A14">
      <w:pPr>
        <w:pStyle w:val="AllowPageBreak"/>
      </w:pPr>
    </w:p>
    <w:p w:rsidR="00000000" w:rsidRPr="00C31A14" w:rsidP="00C31A14">
      <w:pPr>
        <w:pStyle w:val="Heading1"/>
      </w:pPr>
      <w:bookmarkStart w:id="7" w:name="O_720820"/>
      <w:bookmarkEnd w:id="7"/>
      <w:r w:rsidRPr="00C31A14">
        <w:t>Foundat</w:t>
      </w:r>
      <w:r w:rsidRPr="00C31A14">
        <w:t>ion Skills</w:t>
      </w:r>
    </w:p>
    <w:p w:rsidR="00000000" w:rsidRPr="00C31A14" w:rsidP="00461870">
      <w:pPr>
        <w:pStyle w:val="BodyText"/>
      </w:pPr>
      <w:r w:rsidRPr="00C31A14">
        <w:t>Foundation skills essential to performance are explicit in the performance criteria of this unit of competency.</w:t>
      </w:r>
    </w:p>
    <w:p w:rsidR="00000000" w:rsidRPr="00C31A14" w:rsidP="00C31A14">
      <w:pPr>
        <w:pStyle w:val="Heading1"/>
      </w:pPr>
      <w:bookmarkStart w:id="8" w:name="O_720819"/>
      <w:bookmarkEnd w:id="8"/>
      <w:r w:rsidRPr="00C31A14">
        <w:t>Range of Conditions</w:t>
      </w:r>
    </w:p>
    <w:tbl>
      <w:tblPr>
        <w:tblW w:w="0" w:type="auto"/>
        <w:tblLayout w:type="fixed"/>
        <w:tblCellMar>
          <w:left w:w="62" w:type="dxa"/>
          <w:right w:w="62" w:type="dxa"/>
        </w:tblCellMar>
        <w:tblLook w:val="0000"/>
      </w:tblPr>
      <w:tblGrid>
        <w:gridCol w:w="2970"/>
        <w:gridCol w:w="6102"/>
      </w:tblGrid>
      <w:tr w:rsidTr="00C31A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t>This field allows for different work environments and conditions that may affect performance. Essential operating conditions that may be present (depending on the work situation, needs of the candidate, accessibility of the item, and local industry and reg</w:t>
            </w:r>
            <w:r w:rsidRPr="00C31A14">
              <w:t>ional contexts) are included.</w:t>
            </w:r>
          </w:p>
        </w:tc>
      </w:tr>
      <w:tr w:rsidTr="00C31A1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C31A14">
            <w:pPr>
              <w:pStyle w:val="BodyText"/>
              <w:rPr>
                <w:lang w:val="en-NZ"/>
              </w:rPr>
            </w:pPr>
            <w:r w:rsidRPr="00C31A14">
              <w:rPr>
                <w:rStyle w:val="SpecialBold"/>
              </w:rPr>
              <w:t>Required parameters include measurement/testing of:</w:t>
            </w:r>
          </w:p>
        </w:tc>
        <w:tc>
          <w:tcPr>
            <w:tcW w:w="6102" w:type="dxa"/>
            <w:tcBorders>
              <w:top w:val="nil"/>
              <w:left w:val="nil"/>
              <w:bottom w:val="nil"/>
              <w:right w:val="nil"/>
            </w:tcBorders>
            <w:tcMar>
              <w:top w:w="0" w:type="dxa"/>
              <w:left w:w="62" w:type="dxa"/>
              <w:bottom w:w="0" w:type="dxa"/>
              <w:right w:w="62" w:type="dxa"/>
            </w:tcMar>
          </w:tcPr>
          <w:p w:rsidR="00000000" w:rsidRPr="00C31A14" w:rsidP="00C31A14">
            <w:pPr>
              <w:pStyle w:val="ListBullet"/>
            </w:pPr>
            <w:r w:rsidRPr="00C31A14">
              <w:t>Volts and amps</w:t>
            </w:r>
          </w:p>
          <w:p w:rsidR="00000000" w:rsidRPr="00C31A14" w:rsidP="00C31A14">
            <w:pPr>
              <w:pStyle w:val="ListBullet"/>
            </w:pPr>
            <w:r w:rsidRPr="00C31A14">
              <w:t>Continuity, resistance and insulation</w:t>
            </w:r>
          </w:p>
          <w:p w:rsidR="00000000" w:rsidRPr="00C31A14" w:rsidP="00C31A14">
            <w:pPr>
              <w:pStyle w:val="ListBullet"/>
            </w:pPr>
            <w:r w:rsidRPr="00C31A14">
              <w:t>Bonding</w:t>
            </w:r>
          </w:p>
        </w:tc>
      </w:tr>
    </w:tbl>
    <w:p w:rsidR="00000000" w:rsidRPr="00C31A14" w:rsidP="00C31A14">
      <w:pPr>
        <w:pStyle w:val="BodyText"/>
      </w:pPr>
    </w:p>
    <w:p w:rsidR="00000000" w:rsidRPr="00C31A14" w:rsidP="00C31A14">
      <w:pPr>
        <w:pStyle w:val="AllowPageBreak"/>
      </w:pPr>
    </w:p>
    <w:p w:rsidR="00000000" w:rsidRPr="00C31A14" w:rsidP="00C31A14">
      <w:pPr>
        <w:pStyle w:val="Heading1"/>
      </w:pPr>
      <w:bookmarkStart w:id="9" w:name="O_720818"/>
      <w:bookmarkEnd w:id="9"/>
      <w:r w:rsidRPr="00C31A14">
        <w:t>Unit Mapping Information</w:t>
      </w:r>
    </w:p>
    <w:p w:rsidR="00000000" w:rsidRPr="00C31A14" w:rsidP="00461870">
      <w:pPr>
        <w:pStyle w:val="BodyText"/>
      </w:pPr>
      <w:r w:rsidRPr="00C31A14">
        <w:t>Release 1 –</w:t>
      </w:r>
      <w:r w:rsidRPr="00C31A14">
        <w:t xml:space="preserve"> equivalent to MEA240B Use electrical test equipment to perform basic electrical tests</w:t>
      </w:r>
    </w:p>
    <w:p w:rsidR="00000000" w:rsidRPr="00C31A14" w:rsidP="00C31A14">
      <w:pPr>
        <w:pStyle w:val="Heading1"/>
      </w:pPr>
      <w:bookmarkStart w:id="10" w:name="O_720811"/>
      <w:bookmarkEnd w:id="10"/>
      <w:r w:rsidRPr="00C31A14">
        <w:t>Links</w:t>
      </w:r>
    </w:p>
    <w:p w:rsidR="00000000" w:rsidRPr="00C31A14" w:rsidP="00461870">
      <w:pPr>
        <w:pStyle w:val="BodyText"/>
      </w:pPr>
      <w:r w:rsidRPr="00C31A1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7F78">
        <w:rPr>
          <w:rStyle w:val="Hyperlink"/>
        </w:rPr>
        <w:t>https://vetnet.gov.au/Pages/TrainingDocs.aspx?q=ce216c9c-04d5-4b3b-9bcf-4e81d0950371</w:t>
      </w:r>
      <w:r>
        <w:fldChar w:fldCharType="end"/>
      </w:r>
    </w:p>
    <w:p w:rsidR="00000000" w:rsidRPr="00C31A14" w:rsidP="00461870">
      <w:pPr>
        <w:pStyle w:val="BodyText"/>
        <w:sectPr w:rsidSect="00C31A14">
          <w:headerReference w:type="default" r:id="rId10"/>
          <w:footerReference w:type="default" r:id="rId11"/>
          <w:pgSz w:w="11908" w:h="16833"/>
          <w:pgMar w:top="1702" w:right="1418" w:bottom="1702" w:left="1418" w:header="992" w:footer="992" w:gutter="0"/>
          <w:cols w:space="720"/>
          <w:noEndnote/>
          <w:docGrid w:linePitch="299"/>
        </w:sectPr>
      </w:pPr>
    </w:p>
    <w:p w:rsidR="00000000" w:rsidRPr="00C31A14" w:rsidP="00C31A14">
      <w:pPr>
        <w:pStyle w:val="SuperHeading"/>
      </w:pPr>
      <w:r w:rsidRPr="00C31A14">
        <w:t>Assessment Requirements for MEA240 Use electrical test equipment to perform basic electrical tests</w:t>
      </w:r>
    </w:p>
    <w:p w:rsidR="00000000" w:rsidRPr="00C31A14" w:rsidP="00C31A14">
      <w:pPr>
        <w:pStyle w:val="Heading1"/>
      </w:pPr>
      <w:bookmarkStart w:id="11" w:name="O_720813"/>
      <w:bookmarkEnd w:id="11"/>
      <w:r w:rsidRPr="00C31A14">
        <w:t>Modification History</w:t>
      </w:r>
    </w:p>
    <w:p w:rsidR="00000000" w:rsidRPr="00C31A14" w:rsidP="00461870">
      <w:pPr>
        <w:pStyle w:val="BodyText"/>
      </w:pPr>
      <w:r w:rsidRPr="00C31A14">
        <w:t>Release 1 - New unit of competency</w:t>
      </w:r>
    </w:p>
    <w:p w:rsidR="00000000" w:rsidRPr="00C31A14" w:rsidP="00C31A14">
      <w:pPr>
        <w:pStyle w:val="Heading1"/>
      </w:pPr>
      <w:bookmarkStart w:id="12" w:name="O_720816"/>
      <w:bookmarkEnd w:id="12"/>
      <w:r w:rsidRPr="00C31A14">
        <w:t>Performance Evidence</w:t>
      </w:r>
    </w:p>
    <w:p w:rsidR="00000000" w:rsidRPr="00C31A14" w:rsidP="00461870">
      <w:pPr>
        <w:pStyle w:val="BodyText"/>
      </w:pPr>
      <w:r w:rsidRPr="00C31A14">
        <w:t>Evidence required to demonstrate competency in this unit must be relevant to and satisfy all of the requirements of the elements and performance criteria under the specified conditions of assessment, and must include:</w:t>
      </w:r>
    </w:p>
    <w:p w:rsidR="00000000" w:rsidRPr="00C31A14" w:rsidP="00C31A14">
      <w:pPr>
        <w:pStyle w:val="ListBullet"/>
      </w:pPr>
      <w:r w:rsidRPr="00C31A14">
        <w:t>applying relevant WHS practices</w:t>
      </w:r>
    </w:p>
    <w:p w:rsidR="00000000" w:rsidRPr="00C31A14" w:rsidP="00C31A14">
      <w:pPr>
        <w:pStyle w:val="ListBullet"/>
      </w:pPr>
      <w:r w:rsidRPr="00C31A14">
        <w:t>setting up applicable test equipment</w:t>
      </w:r>
    </w:p>
    <w:p w:rsidR="00000000" w:rsidRPr="00C31A14" w:rsidP="00C31A14">
      <w:pPr>
        <w:pStyle w:val="ListBullet"/>
      </w:pPr>
      <w:r w:rsidRPr="00C31A14">
        <w:t>determining test points and polarity</w:t>
      </w:r>
    </w:p>
    <w:p w:rsidR="00000000" w:rsidRPr="00C31A14" w:rsidP="00C31A14">
      <w:pPr>
        <w:pStyle w:val="ListBullet"/>
      </w:pPr>
      <w:r w:rsidRPr="00C31A14">
        <w:t>measuring required parameters</w:t>
      </w:r>
    </w:p>
    <w:p w:rsidR="00000000" w:rsidRPr="00C31A14" w:rsidP="00C31A14">
      <w:pPr>
        <w:pStyle w:val="ListBullet"/>
      </w:pPr>
      <w:r w:rsidRPr="00C31A14">
        <w:t>recording results under qualified person guidance.</w:t>
      </w:r>
    </w:p>
    <w:p w:rsidR="00000000" w:rsidRPr="00C31A14" w:rsidP="00461870">
      <w:pPr>
        <w:pStyle w:val="BodyText"/>
      </w:pPr>
      <w:r w:rsidRPr="00C31A14">
        <w:t>The underlying skills inherent in this unit should be transferable into all areas that require the us</w:t>
      </w:r>
      <w:r w:rsidRPr="00C31A14">
        <w:t>e of basic electrical test equipment. It is essential that the general aspects of electrical test equipment identification, preparation for use and safe application to a representative range of measurement and testing tasks are clearly demonstrated.</w:t>
      </w:r>
    </w:p>
    <w:p w:rsidR="00461870" w:rsidP="00461870">
      <w:pPr>
        <w:pStyle w:val="BodyText"/>
      </w:pPr>
      <w:r w:rsidRPr="00C31A14">
        <w:t>Eviden</w:t>
      </w:r>
      <w:r w:rsidRPr="00C31A14">
        <w:t>ce of knowledge about the preparation and use, in accordance with enterprise procedures, of the range of test equipment used for the measurement and testing tasks listed in the Range of Conditions, and of the methods used to identify applicable polarity an</w:t>
      </w:r>
      <w:r w:rsidRPr="00C31A14">
        <w:t>d connection to components and circuits for required measurement or testing.</w:t>
      </w:r>
    </w:p>
    <w:p w:rsidR="00000000" w:rsidRPr="00C31A14" w:rsidP="00C31A14">
      <w:pPr>
        <w:pStyle w:val="Heading1"/>
      </w:pPr>
      <w:bookmarkStart w:id="13" w:name="O_720815"/>
      <w:bookmarkEnd w:id="13"/>
      <w:r w:rsidRPr="00C31A14">
        <w:t>Knowledge Evidence</w:t>
      </w:r>
    </w:p>
    <w:p w:rsidR="00000000" w:rsidRPr="00C31A14" w:rsidP="00461870">
      <w:pPr>
        <w:pStyle w:val="BodyText"/>
      </w:pPr>
      <w:r w:rsidRPr="00C31A14">
        <w:t>Evidence required to demonstrate competency in this unit must be relevant to and satisfy all of the requirements of the elements and performan</w:t>
      </w:r>
      <w:r w:rsidRPr="00C31A14">
        <w:t>ce criteria and include knowledge of:</w:t>
      </w:r>
    </w:p>
    <w:p w:rsidR="00000000" w:rsidRPr="00C31A14" w:rsidP="00C31A14">
      <w:pPr>
        <w:pStyle w:val="ListBullet"/>
      </w:pPr>
      <w:r w:rsidRPr="00C31A14">
        <w:t>the range of relevant electrical test equipment used to measure or test:</w:t>
      </w:r>
    </w:p>
    <w:p w:rsidR="00000000" w:rsidRPr="00C31A14" w:rsidP="00C31A14">
      <w:pPr>
        <w:pStyle w:val="ListBullet2"/>
      </w:pPr>
      <w:r w:rsidRPr="00C31A14">
        <w:t>volts and amps</w:t>
      </w:r>
    </w:p>
    <w:p w:rsidR="00000000" w:rsidRPr="00C31A14" w:rsidP="00C31A14">
      <w:pPr>
        <w:pStyle w:val="ListBullet2"/>
      </w:pPr>
      <w:r w:rsidRPr="00C31A14">
        <w:t>continuity, resistance and insulation</w:t>
      </w:r>
    </w:p>
    <w:p w:rsidR="00000000" w:rsidRPr="00C31A14" w:rsidP="00C31A14">
      <w:pPr>
        <w:pStyle w:val="ListBullet2"/>
      </w:pPr>
      <w:r w:rsidRPr="00C31A14">
        <w:t>bonding</w:t>
      </w:r>
    </w:p>
    <w:p w:rsidR="00000000" w:rsidRPr="00C31A14" w:rsidP="00C31A14">
      <w:pPr>
        <w:pStyle w:val="ListBullet"/>
      </w:pPr>
      <w:r w:rsidRPr="00C31A14">
        <w:t>identification methods used to confirm test equipment is serviceable and current regarding calibration</w:t>
      </w:r>
    </w:p>
    <w:p w:rsidR="00000000" w:rsidRPr="00C31A14" w:rsidP="00C31A14">
      <w:pPr>
        <w:pStyle w:val="ListBullet"/>
      </w:pPr>
      <w:r w:rsidRPr="00C31A14">
        <w:t>use of selectors and scale adjustment of each item of test equipment to ensure accurate measurement of applicable parameter</w:t>
      </w:r>
    </w:p>
    <w:p w:rsidR="00000000" w:rsidRPr="00C31A14" w:rsidP="00C31A14">
      <w:pPr>
        <w:pStyle w:val="ListBullet"/>
      </w:pPr>
      <w:r w:rsidRPr="00C31A14">
        <w:t>methods of connection of test</w:t>
      </w:r>
      <w:r w:rsidRPr="00C31A14">
        <w:t xml:space="preserve"> equipment to components being tested</w:t>
      </w:r>
    </w:p>
    <w:p w:rsidR="00000000" w:rsidRPr="00C31A14" w:rsidP="00C31A14">
      <w:pPr>
        <w:pStyle w:val="ListBullet"/>
      </w:pPr>
      <w:r w:rsidRPr="00C31A14">
        <w:t>methods used to determine polarity and applicable connection points for measurement or testing.</w:t>
      </w:r>
    </w:p>
    <w:p w:rsidR="00000000" w:rsidRPr="00C31A14" w:rsidP="00C31A14">
      <w:pPr>
        <w:pStyle w:val="AllowPageBreak"/>
      </w:pPr>
    </w:p>
    <w:p w:rsidR="00000000" w:rsidRPr="00C31A14" w:rsidP="00C31A14">
      <w:pPr>
        <w:pStyle w:val="Heading1"/>
      </w:pPr>
      <w:bookmarkStart w:id="14" w:name="O_720814"/>
      <w:bookmarkEnd w:id="14"/>
      <w:r w:rsidRPr="00C31A14">
        <w:t>Assessment Conditions</w:t>
      </w:r>
    </w:p>
    <w:p w:rsidR="00000000" w:rsidRPr="00C31A14" w:rsidP="00C31A14">
      <w:pPr>
        <w:pStyle w:val="ListBullet"/>
      </w:pPr>
      <w:r w:rsidRPr="00C31A14">
        <w:t>Competency should be assessed in the work environment or simulated work environmen</w:t>
      </w:r>
      <w:r w:rsidRPr="00C31A14">
        <w:t>t, using relevant electrical test equipment as specified in maintenance documentation for a given task, and in accordance with enterprise procedures under expert guidance.</w:t>
      </w:r>
    </w:p>
    <w:p w:rsidR="00000000" w:rsidRPr="00C31A14" w:rsidP="00C31A14">
      <w:pPr>
        <w:pStyle w:val="ListBullet"/>
      </w:pPr>
      <w:r w:rsidRPr="00C31A14">
        <w:t xml:space="preserve">The following conditions of assessment represent the requirements of the Regulators </w:t>
      </w:r>
      <w:r w:rsidRPr="00C31A14">
        <w:t>(ADF and CASA) and maintenance stakeholders and must be rigorously observed.</w:t>
      </w:r>
    </w:p>
    <w:p w:rsidR="00000000" w:rsidRPr="00C31A14" w:rsidP="00C31A14">
      <w:pPr>
        <w:pStyle w:val="ListBullet"/>
      </w:pPr>
      <w:r w:rsidRPr="00C31A14">
        <w:t>A person cannot be assessed as competent until it can be demonstrated to the satisfaction of the workplace assessor that the relevant elements and performance criteria of the unit</w:t>
      </w:r>
      <w:r w:rsidRPr="00C31A14">
        <w:t xml:space="preserve"> of competency are being achieved under qualified person guidance on a representative range of electrical measurement and testing tasks as provided for in the Range Statement. This shall be established via the records in the Log of Industrial Experience an</w:t>
      </w:r>
      <w:r w:rsidRPr="00C31A14">
        <w:t>d Achievement or, where appropriate, an equivalent Industry Evidence Guide (for details refer to the Companion Volume Assessment Guidelines).</w:t>
      </w:r>
    </w:p>
    <w:p w:rsidR="00000000" w:rsidRPr="00C31A14" w:rsidP="00C31A14">
      <w:pPr>
        <w:pStyle w:val="ListBullet"/>
      </w:pPr>
      <w:r w:rsidRPr="00C31A14">
        <w:t>Assessors must satisfy the requirements of the National Vocational Education and Training Regulator (Australian Sk</w:t>
      </w:r>
      <w:r w:rsidRPr="00C31A14">
        <w:t>ills Quality Authority, or its successors).</w:t>
      </w:r>
    </w:p>
    <w:p w:rsidR="00461870" w:rsidP="00C31A14">
      <w:pPr>
        <w:pStyle w:val="ListBullet"/>
      </w:pPr>
      <w:r w:rsidRPr="00C31A14">
        <w:t>Where the unit is to be used for CASA licensing purposes the Assessor must also meet the criteria specified in the CASR Part 147 Manual of Standards.</w:t>
      </w:r>
    </w:p>
    <w:p w:rsidR="00461870" w:rsidP="00C31A14">
      <w:pPr>
        <w:pStyle w:val="ListBullet"/>
      </w:pPr>
    </w:p>
    <w:p w:rsidR="00000000" w:rsidRPr="00C31A14" w:rsidP="00C31A14">
      <w:pPr>
        <w:pStyle w:val="Heading1"/>
      </w:pPr>
      <w:bookmarkStart w:id="15" w:name="O_720812"/>
      <w:bookmarkEnd w:id="15"/>
      <w:r w:rsidRPr="00C31A14">
        <w:t>Links</w:t>
      </w:r>
    </w:p>
    <w:p w:rsidR="00000000" w:rsidRPr="00C31A14" w:rsidP="00461870">
      <w:pPr>
        <w:pStyle w:val="BodyText"/>
      </w:pPr>
      <w:r w:rsidRPr="00C31A1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7F78">
        <w:rPr>
          <w:rStyle w:val="Hyperlink"/>
        </w:rPr>
        <w:t>https://vetnet.gov.au/Pages/TrainingDocs.aspx?q=ce216c9c-04d5-4b3b-9bcf-4e81d0950371</w:t>
      </w:r>
      <w:r>
        <w:fldChar w:fldCharType="end"/>
      </w:r>
    </w:p>
    <w:p w:rsidR="00000000" w:rsidRPr="00C31A14" w:rsidP="00C31A14"/>
    <w:sectPr w:rsidSect="00C31A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rsidRPr="00461870" w:rsidP="00461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70" w:rsidP="00C31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870" w:rsidP="00C31A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1870" w:rsidP="00C31A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rsidP="00C31A14">
    <w:pPr>
      <w:pStyle w:val="Footer"/>
      <w:framePr w:wrap="around"/>
    </w:pPr>
    <w:r>
      <w:fldChar w:fldCharType="begin"/>
    </w:r>
    <w:r>
      <w:instrText xml:space="preserve"> DOCPROPERTY  Subject  \* MERGEFORMAT </w:instrText>
    </w:r>
    <w:r>
      <w:fldChar w:fldCharType="separate"/>
    </w:r>
    <w:r w:rsidR="00461870">
      <w:t>Approved</w:t>
    </w:r>
    <w:r w:rsidR="00461870">
      <w:fldChar w:fldCharType="end"/>
    </w:r>
    <w:r>
      <w:tab/>
      <w:t xml:space="preserve">Page </w:t>
    </w:r>
    <w:r>
      <w:fldChar w:fldCharType="begin"/>
    </w:r>
    <w:r>
      <w:instrText xml:space="preserve"> PAGE  \* Arabic  \* MERGEFORMAT </w:instrText>
    </w:r>
    <w:r>
      <w:fldChar w:fldCharType="separate"/>
    </w:r>
    <w:r w:rsidR="004618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870">
      <w:rPr>
        <w:noProof/>
      </w:rPr>
      <w:t>4</w:t>
    </w:r>
    <w:r>
      <w:rPr>
        <w:noProof/>
      </w:rPr>
      <w:fldChar w:fldCharType="end"/>
    </w:r>
  </w:p>
  <w:p w:rsidR="00C31A14" w:rsidP="00C31A14">
    <w:pPr>
      <w:pStyle w:val="Footer"/>
      <w:framePr w:wrap="around"/>
    </w:pPr>
    <w:r>
      <w:t xml:space="preserve">© Commonwealth of Australia, </w:t>
    </w:r>
    <w:r>
      <w:fldChar w:fldCharType="begin"/>
    </w:r>
    <w:r>
      <w:instrText xml:space="preserve"> DATE  \@ "yyyy"  \* MERGEFORMAT </w:instrText>
    </w:r>
    <w:r>
      <w:fldChar w:fldCharType="separate"/>
    </w:r>
    <w:r w:rsidR="00461870">
      <w:rPr>
        <w:noProof/>
      </w:rPr>
      <w:t>2025</w:t>
    </w:r>
    <w:r>
      <w:fldChar w:fldCharType="end"/>
    </w:r>
    <w:r>
      <w:tab/>
    </w:r>
    <w:r>
      <w:fldChar w:fldCharType="begin"/>
    </w:r>
    <w:r>
      <w:instrText xml:space="preserve"> DOCPROPERTY  Author  \* MERGEFORMAT </w:instrText>
    </w:r>
    <w:r>
      <w:fldChar w:fldCharType="separate"/>
    </w:r>
    <w:r w:rsidR="00461870">
      <w:t>Manufacturing Industry Skills Alliance</w:t>
    </w:r>
    <w:r w:rsidR="00461870">
      <w:fldChar w:fldCharType="end"/>
    </w:r>
  </w:p>
  <w:p w:rsidR="00C31A14" w:rsidP="00C31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A14" w:rsidRPr="00461870" w:rsidP="00461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870" w:rsidRPr="002D2AF8" w:rsidP="00C31A14">
    <w:pPr>
      <w:pStyle w:val="Header"/>
      <w:framePr w:wrap="around"/>
    </w:pPr>
    <w:r>
      <w:fldChar w:fldCharType="begin"/>
    </w:r>
    <w:r>
      <w:instrText xml:space="preserve"> TITLE   \* MERGEFORMAT </w:instrText>
    </w:r>
    <w:r>
      <w:fldChar w:fldCharType="separate"/>
    </w:r>
    <w:r>
      <w:t>MEA240 Use electrical test equipment to perform basic electrical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1870" w:rsidP="00C31A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14" w:rsidRPr="002D2AF8" w:rsidP="00C31A14">
    <w:pPr>
      <w:pStyle w:val="Header"/>
      <w:framePr w:wrap="around"/>
    </w:pPr>
    <w:r>
      <w:fldChar w:fldCharType="begin"/>
    </w:r>
    <w:r>
      <w:instrText xml:space="preserve"> TITLE   \* MERGEFORMAT </w:instrText>
    </w:r>
    <w:r>
      <w:fldChar w:fldCharType="separate"/>
    </w:r>
    <w:r w:rsidR="00461870">
      <w:t>MEA240 Use electrical test equipment to perform basic electrical tests</w:t>
    </w:r>
    <w:r w:rsidR="00461870">
      <w:fldChar w:fldCharType="end"/>
    </w:r>
    <w:r>
      <w:tab/>
      <w:t xml:space="preserve">Date this document was generated: </w:t>
    </w:r>
    <w:r>
      <w:fldChar w:fldCharType="begin"/>
    </w:r>
    <w:r>
      <w:instrText xml:space="preserve"> CREATEDATE  \@ "d MMMM yyyy"  \* MERGEFORMAT </w:instrText>
    </w:r>
    <w:r>
      <w:fldChar w:fldCharType="separate"/>
    </w:r>
    <w:r w:rsidR="00461870">
      <w:rPr>
        <w:noProof/>
      </w:rPr>
      <w:t>2 March 2025</w:t>
    </w:r>
    <w:r>
      <w:fldChar w:fldCharType="end"/>
    </w:r>
  </w:p>
  <w:p w:rsidR="00C31A14" w:rsidP="00C31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02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82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E7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A14"/>
    <w:pPr>
      <w:spacing w:before="360" w:after="60"/>
      <w:outlineLvl w:val="0"/>
    </w:pPr>
    <w:rPr>
      <w:sz w:val="32"/>
    </w:rPr>
  </w:style>
  <w:style w:type="paragraph" w:styleId="Heading2">
    <w:name w:val="heading 2"/>
    <w:basedOn w:val="HeadingBase"/>
    <w:next w:val="BodyText"/>
    <w:link w:val="Heading2Char"/>
    <w:qFormat/>
    <w:rsid w:val="00C31A14"/>
    <w:pPr>
      <w:keepLines/>
      <w:spacing w:before="240" w:after="120"/>
      <w:outlineLvl w:val="1"/>
    </w:pPr>
    <w:rPr>
      <w:sz w:val="28"/>
      <w:szCs w:val="40"/>
    </w:rPr>
  </w:style>
  <w:style w:type="paragraph" w:styleId="Heading3">
    <w:name w:val="heading 3"/>
    <w:basedOn w:val="HeadingBase"/>
    <w:next w:val="BodyText"/>
    <w:link w:val="Heading3Char"/>
    <w:qFormat/>
    <w:rsid w:val="00C31A14"/>
    <w:pPr>
      <w:spacing w:before="180" w:after="120"/>
      <w:outlineLvl w:val="2"/>
    </w:pPr>
    <w:rPr>
      <w:spacing w:val="-10"/>
      <w:kern w:val="32"/>
    </w:rPr>
  </w:style>
  <w:style w:type="paragraph" w:styleId="Heading4">
    <w:name w:val="heading 4"/>
    <w:basedOn w:val="HeadingBase"/>
    <w:next w:val="BodyText"/>
    <w:link w:val="Heading4Char"/>
    <w:qFormat/>
    <w:rsid w:val="00C31A14"/>
    <w:pPr>
      <w:spacing w:before="160" w:after="120"/>
      <w:outlineLvl w:val="3"/>
    </w:pPr>
    <w:rPr>
      <w:sz w:val="22"/>
    </w:rPr>
  </w:style>
  <w:style w:type="paragraph" w:styleId="Heading5">
    <w:name w:val="heading 5"/>
    <w:basedOn w:val="HeadingBase"/>
    <w:next w:val="Normal"/>
    <w:link w:val="Heading5Char"/>
    <w:qFormat/>
    <w:rsid w:val="00C31A14"/>
    <w:pPr>
      <w:spacing w:before="80"/>
      <w:outlineLvl w:val="4"/>
    </w:pPr>
    <w:rPr>
      <w:color w:val="918585"/>
      <w:sz w:val="20"/>
    </w:rPr>
  </w:style>
  <w:style w:type="paragraph" w:styleId="Heading6">
    <w:name w:val="heading 6"/>
    <w:basedOn w:val="HeadingBase"/>
    <w:next w:val="Normal"/>
    <w:link w:val="Heading6Char"/>
    <w:qFormat/>
    <w:rsid w:val="00C31A14"/>
    <w:pPr>
      <w:spacing w:before="60"/>
      <w:outlineLvl w:val="5"/>
    </w:pPr>
    <w:rPr>
      <w:color w:val="918585"/>
      <w:sz w:val="20"/>
    </w:rPr>
  </w:style>
  <w:style w:type="paragraph" w:styleId="Heading7">
    <w:name w:val="heading 7"/>
    <w:basedOn w:val="Normal"/>
    <w:next w:val="Normal"/>
    <w:link w:val="Heading7Char"/>
    <w:qFormat/>
    <w:rsid w:val="00C31A14"/>
    <w:pPr>
      <w:ind w:left="720"/>
      <w:outlineLvl w:val="6"/>
    </w:pPr>
    <w:rPr>
      <w:i/>
    </w:rPr>
  </w:style>
  <w:style w:type="paragraph" w:styleId="Heading8">
    <w:name w:val="heading 8"/>
    <w:basedOn w:val="Normal"/>
    <w:next w:val="Normal"/>
    <w:link w:val="Heading8Char"/>
    <w:qFormat/>
    <w:rsid w:val="00C31A14"/>
    <w:pPr>
      <w:ind w:left="720"/>
      <w:outlineLvl w:val="7"/>
    </w:pPr>
    <w:rPr>
      <w:i/>
    </w:rPr>
  </w:style>
  <w:style w:type="paragraph" w:styleId="Heading9">
    <w:name w:val="heading 9"/>
    <w:basedOn w:val="Normal"/>
    <w:next w:val="Normal"/>
    <w:link w:val="Heading9Char"/>
    <w:qFormat/>
    <w:rsid w:val="00C31A14"/>
    <w:pPr>
      <w:ind w:left="720"/>
      <w:outlineLvl w:val="8"/>
    </w:pPr>
    <w:rPr>
      <w:i/>
    </w:rPr>
  </w:style>
  <w:style w:type="character" w:default="1" w:styleId="DefaultParagraphFont">
    <w:name w:val="Default Paragraph Font"/>
    <w:uiPriority w:val="1"/>
    <w:unhideWhenUsed/>
    <w:rsid w:val="00C31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A14"/>
  </w:style>
  <w:style w:type="character" w:customStyle="1" w:styleId="Heading1Char">
    <w:name w:val="Heading 1 Char"/>
    <w:basedOn w:val="DefaultParagraphFont"/>
    <w:link w:val="Heading1"/>
    <w:rsid w:val="00C31A14"/>
    <w:rPr>
      <w:rFonts w:ascii="Times New Roman" w:eastAsia="Times New Roman" w:hAnsi="Times New Roman" w:cs="Times New Roman"/>
      <w:b/>
      <w:sz w:val="32"/>
      <w:szCs w:val="20"/>
      <w:lang w:eastAsia="en-US"/>
    </w:rPr>
  </w:style>
  <w:style w:type="paragraph" w:styleId="BodyText">
    <w:name w:val="Body Text"/>
    <w:basedOn w:val="Normal"/>
    <w:link w:val="BodyTextChar"/>
    <w:rsid w:val="00C31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A14"/>
    <w:rPr>
      <w:rFonts w:ascii="Times New Roman" w:eastAsia="Times New Roman" w:hAnsi="Times New Roman" w:cs="Times New Roman"/>
      <w:sz w:val="24"/>
      <w:lang w:eastAsia="en-US"/>
    </w:rPr>
  </w:style>
  <w:style w:type="paragraph" w:styleId="ListBullet">
    <w:name w:val="List Bullet"/>
    <w:basedOn w:val="List"/>
    <w:rsid w:val="00C31A14"/>
    <w:pPr>
      <w:numPr>
        <w:numId w:val="12"/>
      </w:numPr>
      <w:tabs>
        <w:tab w:val="clear" w:pos="340"/>
      </w:tabs>
      <w:spacing w:before="40" w:after="40"/>
    </w:pPr>
  </w:style>
  <w:style w:type="character" w:customStyle="1" w:styleId="SpecialBold">
    <w:name w:val="Special Bold"/>
    <w:basedOn w:val="DefaultParagraphFont"/>
    <w:rsid w:val="00C31A14"/>
    <w:rPr>
      <w:b/>
      <w:spacing w:val="0"/>
    </w:rPr>
  </w:style>
  <w:style w:type="paragraph" w:styleId="ListBullet2">
    <w:name w:val="List Bullet 2"/>
    <w:basedOn w:val="List2"/>
    <w:rsid w:val="00C31A14"/>
    <w:pPr>
      <w:numPr>
        <w:numId w:val="13"/>
      </w:numPr>
      <w:tabs>
        <w:tab w:val="clear" w:pos="680"/>
      </w:tabs>
    </w:pPr>
  </w:style>
  <w:style w:type="paragraph" w:customStyle="1" w:styleId="SuperHeading">
    <w:name w:val="SuperHeading"/>
    <w:basedOn w:val="Normal"/>
    <w:rsid w:val="00C31A14"/>
    <w:pPr>
      <w:spacing w:before="240" w:after="120"/>
      <w:outlineLvl w:val="0"/>
    </w:pPr>
    <w:rPr>
      <w:rFonts w:ascii="Times New Roman" w:hAnsi="Times New Roman"/>
      <w:b/>
      <w:sz w:val="32"/>
    </w:rPr>
  </w:style>
  <w:style w:type="paragraph" w:customStyle="1" w:styleId="AllowPageBreak">
    <w:name w:val="AllowPageBreak"/>
    <w:rsid w:val="00C31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A14"/>
    <w:rPr>
      <w:rFonts w:ascii="Courier New" w:eastAsia="Times New Roman" w:hAnsi="Courier New" w:cs="Times New Roman"/>
      <w:i/>
      <w:szCs w:val="20"/>
      <w:lang w:eastAsia="en-US"/>
    </w:rPr>
  </w:style>
  <w:style w:type="paragraph" w:customStyle="1" w:styleId="HeadingBase">
    <w:name w:val="Heading Base"/>
    <w:rsid w:val="00C31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A14"/>
    <w:pPr>
      <w:tabs>
        <w:tab w:val="right" w:leader="dot" w:pos="9072"/>
      </w:tabs>
      <w:ind w:left="567"/>
    </w:pPr>
    <w:rPr>
      <w:szCs w:val="22"/>
    </w:rPr>
  </w:style>
  <w:style w:type="paragraph" w:customStyle="1" w:styleId="TOCBase">
    <w:name w:val="TOC Base"/>
    <w:rsid w:val="00C31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A14"/>
    <w:pPr>
      <w:tabs>
        <w:tab w:val="right" w:leader="dot" w:pos="9072"/>
      </w:tabs>
      <w:spacing w:before="40" w:after="40"/>
      <w:ind w:left="284"/>
    </w:pPr>
    <w:rPr>
      <w:rFonts w:ascii="Times New Roman" w:hAnsi="Times New Roman"/>
    </w:rPr>
  </w:style>
  <w:style w:type="paragraph" w:styleId="TOC1">
    <w:name w:val="toc 1"/>
    <w:basedOn w:val="TOCBase"/>
    <w:next w:val="Normal"/>
    <w:rsid w:val="00C31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A14"/>
    <w:rPr>
      <w:rFonts w:ascii="Times New Roman" w:eastAsia="Times New Roman" w:hAnsi="Times New Roman" w:cs="Times New Roman"/>
      <w:sz w:val="16"/>
      <w:lang w:eastAsia="en-US"/>
    </w:rPr>
  </w:style>
  <w:style w:type="paragraph" w:styleId="Title">
    <w:name w:val="Title"/>
    <w:basedOn w:val="HeadingBase"/>
    <w:link w:val="TitleChar"/>
    <w:qFormat/>
    <w:rsid w:val="00C31A14"/>
    <w:pPr>
      <w:spacing w:before="5040"/>
      <w:jc w:val="center"/>
    </w:pPr>
    <w:rPr>
      <w:sz w:val="48"/>
      <w:szCs w:val="72"/>
      <w:lang w:val="en-US"/>
    </w:rPr>
  </w:style>
  <w:style w:type="character" w:customStyle="1" w:styleId="TitleChar">
    <w:name w:val="Title Char"/>
    <w:basedOn w:val="DefaultParagraphFont"/>
    <w:link w:val="Title"/>
    <w:rsid w:val="00C31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A14"/>
    <w:pPr>
      <w:tabs>
        <w:tab w:val="left" w:pos="3600"/>
        <w:tab w:val="left" w:pos="3958"/>
      </w:tabs>
    </w:pPr>
  </w:style>
  <w:style w:type="paragraph" w:styleId="List">
    <w:name w:val="List"/>
    <w:basedOn w:val="BodyText"/>
    <w:next w:val="BodyText"/>
    <w:rsid w:val="00C31A14"/>
    <w:pPr>
      <w:tabs>
        <w:tab w:val="left" w:pos="340"/>
      </w:tabs>
      <w:spacing w:before="60" w:after="60"/>
      <w:ind w:left="340" w:hanging="340"/>
    </w:pPr>
  </w:style>
  <w:style w:type="paragraph" w:customStyle="1" w:styleId="Note">
    <w:name w:val="Note"/>
    <w:basedOn w:val="BodyText"/>
    <w:rsid w:val="00C31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A14"/>
    <w:pPr>
      <w:framePr w:wrap="auto" w:hAnchor="text" w:y="6049"/>
    </w:pPr>
    <w:rPr>
      <w:color w:val="000000"/>
      <w:sz w:val="40"/>
    </w:rPr>
  </w:style>
  <w:style w:type="paragraph" w:customStyle="1" w:styleId="TOCTitle">
    <w:name w:val="TOCTitle"/>
    <w:basedOn w:val="Heading1"/>
    <w:rsid w:val="00C31A14"/>
    <w:pPr>
      <w:spacing w:after="240"/>
      <w:jc w:val="center"/>
      <w:outlineLvl w:val="9"/>
    </w:pPr>
    <w:rPr>
      <w:caps/>
    </w:rPr>
  </w:style>
  <w:style w:type="paragraph" w:customStyle="1" w:styleId="Version">
    <w:name w:val="Version"/>
    <w:rsid w:val="00C31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A14"/>
    <w:pPr>
      <w:keepNext w:val="0"/>
      <w:tabs>
        <w:tab w:val="right" w:pos="4176"/>
      </w:tabs>
      <w:ind w:left="198" w:hanging="198"/>
    </w:pPr>
    <w:rPr>
      <w:rFonts w:ascii="Garamond" w:hAnsi="Garamond"/>
    </w:rPr>
  </w:style>
  <w:style w:type="paragraph" w:styleId="IndexHeading">
    <w:name w:val="index heading"/>
    <w:basedOn w:val="Normal"/>
    <w:next w:val="Index1"/>
    <w:semiHidden/>
    <w:rsid w:val="00C31A14"/>
    <w:pPr>
      <w:spacing w:before="120" w:after="120"/>
    </w:pPr>
    <w:rPr>
      <w:rFonts w:ascii="Arial" w:hAnsi="Arial"/>
      <w:b/>
      <w:color w:val="918585"/>
      <w:sz w:val="24"/>
    </w:rPr>
  </w:style>
  <w:style w:type="paragraph" w:styleId="Header">
    <w:name w:val="header"/>
    <w:basedOn w:val="Normal"/>
    <w:link w:val="HeaderChar"/>
    <w:rsid w:val="00C31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A14"/>
    <w:rPr>
      <w:rFonts w:ascii="Times New Roman" w:eastAsia="Times New Roman" w:hAnsi="Times New Roman" w:cs="Times New Roman"/>
      <w:sz w:val="16"/>
      <w:szCs w:val="20"/>
      <w:lang w:val="en-GB" w:eastAsia="en-US"/>
    </w:rPr>
  </w:style>
  <w:style w:type="paragraph" w:customStyle="1" w:styleId="Chapter">
    <w:name w:val="Chapter"/>
    <w:basedOn w:val="Normal"/>
    <w:rsid w:val="00C31A14"/>
    <w:pPr>
      <w:spacing w:before="240"/>
    </w:pPr>
    <w:rPr>
      <w:rFonts w:ascii="Times New Roman" w:hAnsi="Times New Roman"/>
      <w:smallCaps/>
      <w:spacing w:val="80"/>
      <w:sz w:val="28"/>
    </w:rPr>
  </w:style>
  <w:style w:type="paragraph" w:customStyle="1" w:styleId="InChapter">
    <w:name w:val="InChapter"/>
    <w:basedOn w:val="Heading3"/>
    <w:rsid w:val="00C31A14"/>
    <w:pPr>
      <w:spacing w:after="240"/>
      <w:outlineLvl w:val="9"/>
    </w:pPr>
    <w:rPr>
      <w:noProof/>
    </w:rPr>
  </w:style>
  <w:style w:type="paragraph" w:styleId="Index2">
    <w:name w:val="index 2"/>
    <w:basedOn w:val="Normal"/>
    <w:next w:val="Normal"/>
    <w:semiHidden/>
    <w:rsid w:val="00C31A14"/>
    <w:pPr>
      <w:tabs>
        <w:tab w:val="right" w:pos="4176"/>
      </w:tabs>
      <w:ind w:left="568" w:hanging="284"/>
    </w:pPr>
    <w:rPr>
      <w:rFonts w:ascii="Garamond" w:hAnsi="Garamond"/>
    </w:rPr>
  </w:style>
  <w:style w:type="paragraph" w:customStyle="1" w:styleId="Byline">
    <w:name w:val="Byline"/>
    <w:rsid w:val="00C31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A14"/>
    <w:pPr>
      <w:tabs>
        <w:tab w:val="clear" w:pos="3600"/>
        <w:tab w:val="clear" w:pos="3958"/>
      </w:tabs>
      <w:jc w:val="right"/>
    </w:pPr>
  </w:style>
  <w:style w:type="character" w:styleId="Emphasis">
    <w:name w:val="Emphasis"/>
    <w:basedOn w:val="DefaultParagraphFont"/>
    <w:qFormat/>
    <w:rsid w:val="00C31A14"/>
    <w:rPr>
      <w:i/>
    </w:rPr>
  </w:style>
  <w:style w:type="paragraph" w:styleId="Caption">
    <w:name w:val="caption"/>
    <w:basedOn w:val="BodyText"/>
    <w:next w:val="Normal"/>
    <w:qFormat/>
    <w:rsid w:val="00C31A14"/>
    <w:pPr>
      <w:framePr w:w="2268" w:hSpace="181" w:vSpace="181" w:wrap="around" w:vAnchor="text" w:hAnchor="page" w:x="1135" w:y="285" w:anchorLock="1"/>
    </w:pPr>
    <w:rPr>
      <w:i/>
    </w:rPr>
  </w:style>
  <w:style w:type="paragraph" w:customStyle="1" w:styleId="MiniTOCTitle">
    <w:name w:val="MiniTOCTitle"/>
    <w:basedOn w:val="Heading4"/>
    <w:rsid w:val="00C31A14"/>
    <w:pPr>
      <w:spacing w:before="240"/>
      <w:outlineLvl w:val="9"/>
    </w:pPr>
    <w:rPr>
      <w:noProof/>
      <w:sz w:val="24"/>
    </w:rPr>
  </w:style>
  <w:style w:type="paragraph" w:customStyle="1" w:styleId="MiniTOCItem">
    <w:name w:val="MiniTOCItem"/>
    <w:basedOn w:val="ListBullet"/>
    <w:rsid w:val="00C31A14"/>
    <w:pPr>
      <w:numPr>
        <w:numId w:val="0"/>
      </w:numPr>
      <w:tabs>
        <w:tab w:val="right" w:leader="dot" w:pos="6521"/>
      </w:tabs>
      <w:spacing w:before="0" w:after="0"/>
    </w:pPr>
  </w:style>
  <w:style w:type="paragraph" w:customStyle="1" w:styleId="TOFTitle">
    <w:name w:val="TOFTitle"/>
    <w:basedOn w:val="TOCTitle"/>
    <w:rsid w:val="00C31A14"/>
  </w:style>
  <w:style w:type="paragraph" w:styleId="TableofFigures">
    <w:name w:val="table of figures"/>
    <w:basedOn w:val="Normal"/>
    <w:next w:val="Normal"/>
    <w:semiHidden/>
    <w:rsid w:val="00C31A14"/>
    <w:pPr>
      <w:tabs>
        <w:tab w:val="right" w:leader="dot" w:pos="9072"/>
      </w:tabs>
      <w:ind w:left="970" w:hanging="403"/>
    </w:pPr>
    <w:rPr>
      <w:rFonts w:ascii="Times New Roman" w:hAnsi="Times New Roman"/>
      <w:b/>
    </w:rPr>
  </w:style>
  <w:style w:type="paragraph" w:styleId="ListNumber">
    <w:name w:val="List Number"/>
    <w:basedOn w:val="List"/>
    <w:rsid w:val="00C31A14"/>
    <w:pPr>
      <w:numPr>
        <w:numId w:val="15"/>
      </w:numPr>
      <w:tabs>
        <w:tab w:val="clear" w:pos="340"/>
      </w:tabs>
    </w:pPr>
  </w:style>
  <w:style w:type="character" w:customStyle="1" w:styleId="WingdingSymbols">
    <w:name w:val="Wingding Symbols"/>
    <w:rsid w:val="00C31A14"/>
    <w:rPr>
      <w:rFonts w:ascii="Wingdings" w:hAnsi="Wingdings"/>
    </w:rPr>
  </w:style>
  <w:style w:type="paragraph" w:customStyle="1" w:styleId="TableHeading">
    <w:name w:val="Table Heading"/>
    <w:basedOn w:val="HeadingBase"/>
    <w:rsid w:val="00C31A14"/>
    <w:pPr>
      <w:keepLines/>
      <w:pBdr>
        <w:bottom w:val="single" w:sz="6" w:space="1" w:color="918585"/>
      </w:pBdr>
      <w:spacing w:before="240"/>
    </w:pPr>
  </w:style>
  <w:style w:type="character" w:customStyle="1" w:styleId="HotSpot">
    <w:name w:val="HotSpot"/>
    <w:rsid w:val="00C31A14"/>
    <w:rPr>
      <w:color w:val="0033CC"/>
      <w:u w:val="none"/>
    </w:rPr>
  </w:style>
  <w:style w:type="paragraph" w:customStyle="1" w:styleId="BodyTextRight">
    <w:name w:val="Body Text Right"/>
    <w:basedOn w:val="BodyText"/>
    <w:rsid w:val="00C31A14"/>
    <w:pPr>
      <w:spacing w:before="0" w:after="0"/>
      <w:jc w:val="right"/>
    </w:pPr>
  </w:style>
  <w:style w:type="paragraph" w:styleId="Index3">
    <w:name w:val="index 3"/>
    <w:basedOn w:val="ListNumber2"/>
    <w:next w:val="Normal"/>
    <w:semiHidden/>
    <w:rsid w:val="00C31A14"/>
    <w:pPr>
      <w:numPr>
        <w:numId w:val="0"/>
      </w:numPr>
      <w:tabs>
        <w:tab w:val="right" w:leader="dot" w:pos="4176"/>
      </w:tabs>
    </w:pPr>
  </w:style>
  <w:style w:type="paragraph" w:styleId="ListNumber2">
    <w:name w:val="List Number 2"/>
    <w:basedOn w:val="List2"/>
    <w:rsid w:val="00C31A14"/>
    <w:pPr>
      <w:numPr>
        <w:numId w:val="10"/>
      </w:numPr>
      <w:tabs>
        <w:tab w:val="clear" w:pos="1060"/>
      </w:tabs>
    </w:pPr>
  </w:style>
  <w:style w:type="paragraph" w:customStyle="1" w:styleId="MarginNote">
    <w:name w:val="Margin Note"/>
    <w:basedOn w:val="BodyText"/>
    <w:rsid w:val="00C31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A14"/>
    <w:rPr>
      <w:sz w:val="32"/>
    </w:rPr>
  </w:style>
  <w:style w:type="paragraph" w:customStyle="1" w:styleId="HeadingProcedure">
    <w:name w:val="Heading Procedure"/>
    <w:basedOn w:val="HeadingBase"/>
    <w:next w:val="Normal"/>
    <w:rsid w:val="00C31A14"/>
    <w:pPr>
      <w:tabs>
        <w:tab w:val="left" w:pos="0"/>
      </w:tabs>
      <w:spacing w:before="120" w:after="60"/>
    </w:pPr>
    <w:rPr>
      <w:i/>
      <w:color w:val="918585"/>
      <w:sz w:val="22"/>
    </w:rPr>
  </w:style>
  <w:style w:type="paragraph" w:customStyle="1" w:styleId="TableBodyText">
    <w:name w:val="Table Body Text"/>
    <w:basedOn w:val="BodyText"/>
    <w:rsid w:val="00C31A14"/>
    <w:pPr>
      <w:spacing w:before="60" w:after="60"/>
    </w:pPr>
  </w:style>
  <w:style w:type="paragraph" w:styleId="ListContinue">
    <w:name w:val="List Continue"/>
    <w:basedOn w:val="List"/>
    <w:rsid w:val="00C31A14"/>
    <w:pPr>
      <w:ind w:firstLine="0"/>
    </w:pPr>
  </w:style>
  <w:style w:type="paragraph" w:customStyle="1" w:styleId="ListNote">
    <w:name w:val="List Note"/>
    <w:basedOn w:val="List"/>
    <w:rsid w:val="00C31A14"/>
    <w:pPr>
      <w:pBdr>
        <w:top w:val="single" w:sz="6" w:space="2" w:color="918585"/>
        <w:bottom w:val="single" w:sz="6" w:space="2" w:color="918585"/>
      </w:pBdr>
      <w:tabs>
        <w:tab w:val="left" w:pos="1021"/>
      </w:tabs>
      <w:ind w:firstLine="0"/>
    </w:pPr>
  </w:style>
  <w:style w:type="paragraph" w:customStyle="1" w:styleId="Warning">
    <w:name w:val="Warning"/>
    <w:basedOn w:val="BodyText"/>
    <w:rsid w:val="00C31A14"/>
    <w:pPr>
      <w:shd w:val="clear" w:color="auto" w:fill="D9D9D9"/>
      <w:tabs>
        <w:tab w:val="left" w:pos="992"/>
      </w:tabs>
      <w:ind w:left="119" w:right="119"/>
    </w:pPr>
    <w:rPr>
      <w:sz w:val="20"/>
    </w:rPr>
  </w:style>
  <w:style w:type="paragraph" w:customStyle="1" w:styleId="MarginIcons">
    <w:name w:val="Margin Icons"/>
    <w:basedOn w:val="BodyText"/>
    <w:rsid w:val="00C31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A14"/>
    <w:rPr>
      <w:rFonts w:ascii="Courier New" w:hAnsi="Courier New"/>
    </w:rPr>
  </w:style>
  <w:style w:type="paragraph" w:customStyle="1" w:styleId="NoteBullet">
    <w:name w:val="Note Bullet"/>
    <w:basedOn w:val="Note"/>
    <w:rsid w:val="00C31A14"/>
    <w:pPr>
      <w:tabs>
        <w:tab w:val="clear" w:pos="680"/>
      </w:tabs>
      <w:spacing w:before="60" w:after="60"/>
    </w:pPr>
  </w:style>
  <w:style w:type="paragraph" w:customStyle="1" w:styleId="SubHeading2">
    <w:name w:val="SubHeading2"/>
    <w:basedOn w:val="HeadingBase"/>
    <w:rsid w:val="00C31A14"/>
    <w:pPr>
      <w:spacing w:before="240" w:after="60"/>
    </w:pPr>
    <w:rPr>
      <w:sz w:val="20"/>
    </w:rPr>
  </w:style>
  <w:style w:type="paragraph" w:customStyle="1" w:styleId="SubHeading1">
    <w:name w:val="SubHeading1"/>
    <w:basedOn w:val="HeadingBase"/>
    <w:rsid w:val="00C31A14"/>
    <w:pPr>
      <w:spacing w:before="240" w:after="60"/>
    </w:pPr>
    <w:rPr>
      <w:color w:val="918585"/>
      <w:sz w:val="22"/>
    </w:rPr>
  </w:style>
  <w:style w:type="paragraph" w:customStyle="1" w:styleId="SideHeading">
    <w:name w:val="Side Heading"/>
    <w:basedOn w:val="HeadingBase"/>
    <w:rsid w:val="00C31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A14"/>
    <w:pPr>
      <w:tabs>
        <w:tab w:val="num" w:pos="360"/>
      </w:tabs>
    </w:pPr>
  </w:style>
  <w:style w:type="paragraph" w:styleId="PlainText">
    <w:name w:val="Plain Text"/>
    <w:basedOn w:val="Normal"/>
    <w:link w:val="PlainTextChar"/>
    <w:rsid w:val="00C31A14"/>
    <w:rPr>
      <w:sz w:val="20"/>
    </w:rPr>
  </w:style>
  <w:style w:type="character" w:customStyle="1" w:styleId="PlainTextChar">
    <w:name w:val="Plain Text Char"/>
    <w:basedOn w:val="DefaultParagraphFont"/>
    <w:link w:val="PlainText"/>
    <w:rsid w:val="00C31A14"/>
    <w:rPr>
      <w:rFonts w:ascii="Courier New" w:eastAsia="Times New Roman" w:hAnsi="Courier New" w:cs="Times New Roman"/>
      <w:sz w:val="20"/>
      <w:szCs w:val="20"/>
      <w:lang w:eastAsia="en-US"/>
    </w:rPr>
  </w:style>
  <w:style w:type="character" w:customStyle="1" w:styleId="MenuOption">
    <w:name w:val="Menu Option"/>
    <w:basedOn w:val="DefaultParagraphFont"/>
    <w:rsid w:val="00C31A14"/>
    <w:rPr>
      <w:b/>
      <w:smallCaps/>
    </w:rPr>
  </w:style>
  <w:style w:type="paragraph" w:customStyle="1" w:styleId="TableListNumber">
    <w:name w:val="Table List Number"/>
    <w:basedOn w:val="ListNumber"/>
    <w:rsid w:val="00C31A14"/>
    <w:pPr>
      <w:numPr>
        <w:numId w:val="0"/>
      </w:numPr>
    </w:pPr>
  </w:style>
  <w:style w:type="paragraph" w:styleId="TOC4">
    <w:name w:val="toc 4"/>
    <w:basedOn w:val="TOCBase"/>
    <w:next w:val="Normal"/>
    <w:semiHidden/>
    <w:rsid w:val="00C31A14"/>
    <w:pPr>
      <w:tabs>
        <w:tab w:val="right" w:leader="dot" w:pos="9071"/>
      </w:tabs>
      <w:ind w:left="1701"/>
    </w:pPr>
  </w:style>
  <w:style w:type="paragraph" w:customStyle="1" w:styleId="ListAlpha">
    <w:name w:val="List Alpha"/>
    <w:basedOn w:val="List"/>
    <w:rsid w:val="00C31A14"/>
    <w:pPr>
      <w:numPr>
        <w:numId w:val="9"/>
      </w:numPr>
    </w:pPr>
  </w:style>
  <w:style w:type="paragraph" w:customStyle="1" w:styleId="ListAlpha2">
    <w:name w:val="List Alpha 2"/>
    <w:basedOn w:val="List2"/>
    <w:rsid w:val="00C31A14"/>
    <w:pPr>
      <w:numPr>
        <w:numId w:val="8"/>
      </w:numPr>
    </w:pPr>
  </w:style>
  <w:style w:type="paragraph" w:styleId="List2">
    <w:name w:val="List 2"/>
    <w:basedOn w:val="BodyText"/>
    <w:rsid w:val="00C31A14"/>
    <w:pPr>
      <w:tabs>
        <w:tab w:val="left" w:pos="680"/>
      </w:tabs>
      <w:spacing w:before="60" w:after="60"/>
      <w:ind w:left="680" w:hanging="340"/>
    </w:pPr>
  </w:style>
  <w:style w:type="paragraph" w:styleId="List3">
    <w:name w:val="List 3"/>
    <w:basedOn w:val="BodyText"/>
    <w:rsid w:val="00C31A14"/>
    <w:pPr>
      <w:tabs>
        <w:tab w:val="left" w:pos="1021"/>
      </w:tabs>
      <w:spacing w:before="60" w:after="60"/>
      <w:ind w:left="1020" w:hanging="340"/>
    </w:pPr>
  </w:style>
  <w:style w:type="paragraph" w:styleId="List4">
    <w:name w:val="List 4"/>
    <w:basedOn w:val="BodyText"/>
    <w:rsid w:val="00C31A14"/>
    <w:pPr>
      <w:tabs>
        <w:tab w:val="left" w:pos="1361"/>
      </w:tabs>
      <w:spacing w:before="60" w:after="60"/>
      <w:ind w:left="1361" w:hanging="340"/>
    </w:pPr>
  </w:style>
  <w:style w:type="paragraph" w:styleId="List5">
    <w:name w:val="List 5"/>
    <w:basedOn w:val="BodyText"/>
    <w:rsid w:val="00C31A14"/>
    <w:pPr>
      <w:tabs>
        <w:tab w:val="left" w:pos="1701"/>
      </w:tabs>
      <w:spacing w:before="60" w:after="60"/>
      <w:ind w:left="1701" w:hanging="340"/>
    </w:pPr>
  </w:style>
  <w:style w:type="paragraph" w:styleId="ListBullet3">
    <w:name w:val="List Bullet 3"/>
    <w:basedOn w:val="List3"/>
    <w:rsid w:val="00C31A14"/>
    <w:pPr>
      <w:numPr>
        <w:numId w:val="14"/>
      </w:numPr>
      <w:tabs>
        <w:tab w:val="clear" w:pos="1021"/>
      </w:tabs>
      <w:ind w:left="1037" w:hanging="357"/>
    </w:pPr>
  </w:style>
  <w:style w:type="paragraph" w:styleId="ListBullet4">
    <w:name w:val="List Bullet 4"/>
    <w:basedOn w:val="List4"/>
    <w:rsid w:val="00C31A14"/>
    <w:pPr>
      <w:numPr>
        <w:numId w:val="3"/>
      </w:numPr>
      <w:tabs>
        <w:tab w:val="clear" w:pos="1361"/>
      </w:tabs>
    </w:pPr>
  </w:style>
  <w:style w:type="paragraph" w:styleId="ListBullet5">
    <w:name w:val="List Bullet 5"/>
    <w:basedOn w:val="List5"/>
    <w:rsid w:val="00C31A14"/>
    <w:pPr>
      <w:numPr>
        <w:numId w:val="4"/>
      </w:numPr>
    </w:pPr>
  </w:style>
  <w:style w:type="paragraph" w:styleId="ListContinue2">
    <w:name w:val="List Continue 2"/>
    <w:basedOn w:val="List2"/>
    <w:rsid w:val="00C31A14"/>
    <w:pPr>
      <w:ind w:firstLine="0"/>
    </w:pPr>
  </w:style>
  <w:style w:type="paragraph" w:styleId="ListContinue3">
    <w:name w:val="List Continue 3"/>
    <w:basedOn w:val="List3"/>
    <w:rsid w:val="00C31A14"/>
    <w:pPr>
      <w:ind w:left="1021" w:firstLine="0"/>
    </w:pPr>
  </w:style>
  <w:style w:type="paragraph" w:styleId="ListContinue4">
    <w:name w:val="List Continue 4"/>
    <w:basedOn w:val="List4"/>
    <w:rsid w:val="00C31A14"/>
    <w:pPr>
      <w:ind w:firstLine="0"/>
    </w:pPr>
  </w:style>
  <w:style w:type="paragraph" w:styleId="ListContinue5">
    <w:name w:val="List Continue 5"/>
    <w:basedOn w:val="List5"/>
    <w:rsid w:val="00C31A14"/>
    <w:pPr>
      <w:ind w:firstLine="0"/>
    </w:pPr>
  </w:style>
  <w:style w:type="paragraph" w:styleId="ListNumber3">
    <w:name w:val="List Number 3"/>
    <w:basedOn w:val="List3"/>
    <w:rsid w:val="00C31A14"/>
    <w:pPr>
      <w:numPr>
        <w:numId w:val="5"/>
      </w:numPr>
    </w:pPr>
  </w:style>
  <w:style w:type="paragraph" w:styleId="ListNumber4">
    <w:name w:val="List Number 4"/>
    <w:basedOn w:val="List4"/>
    <w:rsid w:val="00C31A14"/>
    <w:pPr>
      <w:numPr>
        <w:numId w:val="6"/>
      </w:numPr>
    </w:pPr>
  </w:style>
  <w:style w:type="paragraph" w:styleId="ListNumber5">
    <w:name w:val="List Number 5"/>
    <w:basedOn w:val="List5"/>
    <w:rsid w:val="00C31A14"/>
    <w:pPr>
      <w:numPr>
        <w:numId w:val="7"/>
      </w:numPr>
    </w:pPr>
  </w:style>
  <w:style w:type="paragraph" w:styleId="BlockText">
    <w:name w:val="Block Text"/>
    <w:basedOn w:val="Normal"/>
    <w:rsid w:val="00C31A14"/>
    <w:pPr>
      <w:spacing w:after="120"/>
      <w:ind w:left="1440" w:right="1440"/>
    </w:pPr>
  </w:style>
  <w:style w:type="character" w:customStyle="1" w:styleId="Subscript">
    <w:name w:val="Subscript"/>
    <w:basedOn w:val="DefaultParagraphFont"/>
    <w:rsid w:val="00C31A14"/>
    <w:rPr>
      <w:sz w:val="16"/>
      <w:vertAlign w:val="subscript"/>
    </w:rPr>
  </w:style>
  <w:style w:type="character" w:customStyle="1" w:styleId="Superscript">
    <w:name w:val="Superscript"/>
    <w:basedOn w:val="DefaultParagraphFont"/>
    <w:rsid w:val="00C31A14"/>
    <w:rPr>
      <w:sz w:val="16"/>
      <w:vertAlign w:val="superscript"/>
    </w:rPr>
  </w:style>
  <w:style w:type="character" w:customStyle="1" w:styleId="Symbols">
    <w:name w:val="Symbols"/>
    <w:basedOn w:val="DefaultParagraphFont"/>
    <w:rsid w:val="00C31A14"/>
    <w:rPr>
      <w:rFonts w:ascii="Symbol" w:hAnsi="Symbol"/>
    </w:rPr>
  </w:style>
  <w:style w:type="character" w:customStyle="1" w:styleId="MenuOptions">
    <w:name w:val="Menu Options"/>
    <w:basedOn w:val="DefaultParagraphFont"/>
    <w:rsid w:val="00C31A14"/>
    <w:rPr>
      <w:rFonts w:ascii="Arial Narrow" w:hAnsi="Arial Narrow"/>
      <w:smallCaps/>
    </w:rPr>
  </w:style>
  <w:style w:type="character" w:customStyle="1" w:styleId="Buttons">
    <w:name w:val="Buttons"/>
    <w:basedOn w:val="DefaultParagraphFont"/>
    <w:rsid w:val="00C31A14"/>
    <w:rPr>
      <w:b/>
    </w:rPr>
  </w:style>
  <w:style w:type="character" w:customStyle="1" w:styleId="Underlined">
    <w:name w:val="Underlined"/>
    <w:basedOn w:val="DefaultParagraphFont"/>
    <w:rsid w:val="00C31A14"/>
    <w:rPr>
      <w:u w:val="single"/>
    </w:rPr>
  </w:style>
  <w:style w:type="paragraph" w:customStyle="1" w:styleId="TableBodyTextRight">
    <w:name w:val="Table Body Text Right"/>
    <w:basedOn w:val="TableBodyText"/>
    <w:rsid w:val="00C31A14"/>
    <w:pPr>
      <w:widowControl w:val="0"/>
      <w:autoSpaceDE w:val="0"/>
      <w:autoSpaceDN w:val="0"/>
      <w:adjustRightInd w:val="0"/>
      <w:jc w:val="right"/>
    </w:pPr>
    <w:rPr>
      <w:rFonts w:cs="Arial"/>
      <w:szCs w:val="18"/>
    </w:rPr>
  </w:style>
  <w:style w:type="paragraph" w:customStyle="1" w:styleId="CopyrightText">
    <w:name w:val="Copyright Text"/>
    <w:basedOn w:val="BodyText"/>
    <w:rsid w:val="00C31A14"/>
    <w:rPr>
      <w:sz w:val="18"/>
    </w:rPr>
  </w:style>
  <w:style w:type="paragraph" w:customStyle="1" w:styleId="BodySmallRight">
    <w:name w:val="Body Small Right"/>
    <w:basedOn w:val="BodyTextRight"/>
    <w:rsid w:val="00C31A14"/>
    <w:rPr>
      <w:sz w:val="18"/>
      <w:szCs w:val="18"/>
    </w:rPr>
  </w:style>
  <w:style w:type="paragraph" w:customStyle="1" w:styleId="MarginEdition">
    <w:name w:val="Margin Edition"/>
    <w:basedOn w:val="MarginNote"/>
    <w:rsid w:val="00C31A14"/>
    <w:pPr>
      <w:spacing w:before="0" w:after="0"/>
    </w:pPr>
    <w:rPr>
      <w:rFonts w:ascii="Times New Roman" w:hAnsi="Times New Roman"/>
      <w:color w:val="999999"/>
    </w:rPr>
  </w:style>
  <w:style w:type="paragraph" w:customStyle="1" w:styleId="Spacer">
    <w:name w:val="Spacer"/>
    <w:basedOn w:val="Normal"/>
    <w:rsid w:val="00C31A14"/>
    <w:rPr>
      <w:sz w:val="2"/>
      <w:szCs w:val="2"/>
    </w:rPr>
  </w:style>
  <w:style w:type="character" w:customStyle="1" w:styleId="Small">
    <w:name w:val="Small"/>
    <w:basedOn w:val="DefaultParagraphFont"/>
    <w:rsid w:val="00C31A14"/>
    <w:rPr>
      <w:sz w:val="16"/>
    </w:rPr>
  </w:style>
  <w:style w:type="paragraph" w:customStyle="1" w:styleId="WideTable">
    <w:name w:val="Wide Table"/>
    <w:basedOn w:val="Normal"/>
    <w:rsid w:val="00C31A14"/>
    <w:pPr>
      <w:ind w:left="-1418"/>
    </w:pPr>
    <w:rPr>
      <w:sz w:val="2"/>
      <w:szCs w:val="2"/>
    </w:rPr>
  </w:style>
  <w:style w:type="character" w:styleId="PageNumber">
    <w:name w:val="page number"/>
    <w:basedOn w:val="DefaultParagraphFont"/>
    <w:rsid w:val="00C31A14"/>
  </w:style>
  <w:style w:type="paragraph" w:styleId="Quote">
    <w:name w:val="Quote"/>
    <w:basedOn w:val="Heading1"/>
    <w:link w:val="QuoteChar"/>
    <w:qFormat/>
    <w:rsid w:val="00C31A14"/>
    <w:rPr>
      <w:b w:val="0"/>
      <w:sz w:val="72"/>
      <w:szCs w:val="72"/>
      <w:lang w:val="en-NZ"/>
    </w:rPr>
  </w:style>
  <w:style w:type="character" w:customStyle="1" w:styleId="QuoteChar">
    <w:name w:val="Quote Char"/>
    <w:basedOn w:val="DefaultParagraphFont"/>
    <w:link w:val="Quote"/>
    <w:rsid w:val="00C31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A14"/>
    <w:pPr>
      <w:pageBreakBefore/>
    </w:pPr>
  </w:style>
  <w:style w:type="paragraph" w:customStyle="1" w:styleId="Border">
    <w:name w:val="Border"/>
    <w:basedOn w:val="Normal"/>
    <w:qFormat/>
    <w:rsid w:val="00C31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A14"/>
    <w:rPr>
      <w:b/>
      <w:bCs/>
      <w:i/>
      <w:iCs/>
      <w:color w:val="auto"/>
    </w:rPr>
  </w:style>
  <w:style w:type="paragraph" w:styleId="IntenseQuote">
    <w:name w:val="Intense Quote"/>
    <w:basedOn w:val="Normal"/>
    <w:next w:val="Normal"/>
    <w:link w:val="IntenseQuoteChar"/>
    <w:uiPriority w:val="30"/>
    <w:qFormat/>
    <w:rsid w:val="00C31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A14"/>
    <w:rPr>
      <w:smallCaps/>
      <w:color w:val="auto"/>
      <w:u w:val="single"/>
    </w:rPr>
  </w:style>
  <w:style w:type="character" w:styleId="IntenseReference">
    <w:name w:val="Intense Reference"/>
    <w:basedOn w:val="DefaultParagraphFont"/>
    <w:uiPriority w:val="32"/>
    <w:qFormat/>
    <w:rsid w:val="00C31A14"/>
    <w:rPr>
      <w:b/>
      <w:bCs/>
      <w:smallCaps/>
      <w:color w:val="auto"/>
      <w:spacing w:val="5"/>
      <w:u w:val="single"/>
    </w:rPr>
  </w:style>
  <w:style w:type="paragraph" w:customStyle="1" w:styleId="2ColumnHeading">
    <w:name w:val="2Column Heading"/>
    <w:basedOn w:val="BodyText"/>
    <w:qFormat/>
    <w:rsid w:val="00C31A14"/>
    <w:pPr>
      <w:spacing w:after="60"/>
      <w:ind w:left="-2268"/>
    </w:pPr>
    <w:rPr>
      <w:b/>
    </w:rPr>
  </w:style>
  <w:style w:type="paragraph" w:customStyle="1" w:styleId="Heading1TOC">
    <w:name w:val="Heading1 TOC"/>
    <w:basedOn w:val="Normal"/>
    <w:qFormat/>
    <w:rsid w:val="00C31A14"/>
    <w:pPr>
      <w:spacing w:before="240" w:after="120"/>
    </w:pPr>
    <w:rPr>
      <w:rFonts w:ascii="Times New Roman" w:hAnsi="Times New Roman"/>
      <w:b/>
      <w:sz w:val="32"/>
    </w:rPr>
  </w:style>
  <w:style w:type="paragraph" w:customStyle="1" w:styleId="Heading2TOC">
    <w:name w:val="Heading2 TOC"/>
    <w:basedOn w:val="Normal"/>
    <w:qFormat/>
    <w:rsid w:val="00C31A14"/>
    <w:pPr>
      <w:spacing w:before="240" w:after="60"/>
    </w:pPr>
    <w:rPr>
      <w:rFonts w:ascii="Times New Roman" w:hAnsi="Times New Roman"/>
      <w:b/>
      <w:sz w:val="28"/>
    </w:rPr>
  </w:style>
  <w:style w:type="character" w:customStyle="1" w:styleId="Underline">
    <w:name w:val="Underline"/>
    <w:basedOn w:val="DefaultParagraphFont"/>
    <w:qFormat/>
    <w:rsid w:val="00C31A14"/>
    <w:rPr>
      <w:u w:val="single"/>
    </w:rPr>
  </w:style>
  <w:style w:type="character" w:customStyle="1" w:styleId="BoldandItalics">
    <w:name w:val="Bold and Italics"/>
    <w:qFormat/>
    <w:rsid w:val="00C31A14"/>
    <w:rPr>
      <w:b/>
      <w:i/>
      <w:u w:val="none"/>
    </w:rPr>
  </w:style>
  <w:style w:type="paragraph" w:styleId="BalloonText">
    <w:name w:val="Balloon Text"/>
    <w:basedOn w:val="Normal"/>
    <w:link w:val="BalloonTextChar"/>
    <w:rsid w:val="00C31A14"/>
    <w:rPr>
      <w:rFonts w:ascii="Tahoma" w:hAnsi="Tahoma" w:cs="Tahoma"/>
      <w:sz w:val="16"/>
      <w:szCs w:val="16"/>
    </w:rPr>
  </w:style>
  <w:style w:type="character" w:customStyle="1" w:styleId="BalloonTextChar">
    <w:name w:val="Balloon Text Char"/>
    <w:basedOn w:val="DefaultParagraphFont"/>
    <w:link w:val="BalloonText"/>
    <w:rsid w:val="00C31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A14"/>
    <w:rPr>
      <w:b/>
      <w:color w:val="660033"/>
      <w:spacing w:val="0"/>
    </w:rPr>
  </w:style>
  <w:style w:type="paragraph" w:customStyle="1" w:styleId="Nameditemlist">
    <w:name w:val="Named item list"/>
    <w:basedOn w:val="BodyText"/>
    <w:qFormat/>
    <w:rsid w:val="00C31A14"/>
    <w:pPr>
      <w:tabs>
        <w:tab w:val="left" w:pos="2835"/>
      </w:tabs>
      <w:ind w:left="2835" w:hanging="2835"/>
    </w:pPr>
  </w:style>
  <w:style w:type="paragraph" w:customStyle="1" w:styleId="BodyTextnopadding">
    <w:name w:val="Body Text no padding"/>
    <w:basedOn w:val="BodyText"/>
    <w:qFormat/>
    <w:rsid w:val="00C31A14"/>
    <w:pPr>
      <w:spacing w:before="0" w:after="0"/>
    </w:pPr>
  </w:style>
  <w:style w:type="paragraph" w:customStyle="1" w:styleId="BodyTextBold">
    <w:name w:val="Body Text Bold"/>
    <w:basedOn w:val="BodyText"/>
    <w:qFormat/>
    <w:rsid w:val="00C31A14"/>
    <w:rPr>
      <w:b/>
    </w:rPr>
  </w:style>
  <w:style w:type="character" w:styleId="Hyperlink">
    <w:name w:val="Hyperlink"/>
    <w:basedOn w:val="DefaultParagraphFont"/>
    <w:uiPriority w:val="99"/>
    <w:unhideWhenUsed/>
    <w:rsid w:val="00461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5876</Characters>
  <Application>Microsoft Office Word</Application>
  <DocSecurity>0</DocSecurity>
  <Lines>183</Lines>
  <Paragraphs>103</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MEA240 Use electrical test equipment to perform basic electrical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