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7E0" w:rsidP="006E27E0">
      <w:pPr>
        <w:pStyle w:val="Title"/>
      </w:pPr>
      <w:r>
        <w:fldChar w:fldCharType="begin"/>
      </w:r>
      <w:r>
        <w:instrText xml:space="preserve"> TITLE   \* MERGEFORMAT </w:instrText>
      </w:r>
      <w:r>
        <w:fldChar w:fldCharType="separate"/>
      </w:r>
      <w:r>
        <w:t>MEA239 Fabricate aircraft electrical looms and harnesses</w:t>
      </w:r>
      <w:r>
        <w:fldChar w:fldCharType="end"/>
      </w:r>
    </w:p>
    <w:p w:rsidR="006E27E0" w:rsidP="006E27E0">
      <w:pPr>
        <w:pStyle w:val="Version"/>
        <w:sectPr w:rsidSect="00F946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4697" w:rsidP="00F94697">
      <w:pPr>
        <w:pStyle w:val="SuperHeading"/>
      </w:pPr>
      <w:r w:rsidRPr="00F94697">
        <w:t>MEA239 Fabricate aircraft electrical looms and harnesses</w:t>
      </w:r>
    </w:p>
    <w:p w:rsidR="00000000" w:rsidRPr="00F94697" w:rsidP="00F94697">
      <w:pPr>
        <w:pStyle w:val="Heading1"/>
      </w:pPr>
      <w:bookmarkStart w:id="1" w:name="O_997409"/>
      <w:bookmarkEnd w:id="1"/>
      <w:r w:rsidRPr="00F94697">
        <w:t>Modification History</w:t>
      </w:r>
    </w:p>
    <w:p w:rsidR="00000000" w:rsidRPr="00F94697" w:rsidP="006E27E0">
      <w:pPr>
        <w:pStyle w:val="BodyText"/>
      </w:pPr>
      <w:r w:rsidRPr="00F94697">
        <w:t>Release 2. Equivalent to MEA239 Fabricate aircraft electrical looms and harnesses with amended prerequisite codes.</w:t>
      </w:r>
    </w:p>
    <w:p w:rsidR="00000000" w:rsidRPr="00F94697" w:rsidP="00F94697">
      <w:pPr>
        <w:pStyle w:val="Heading1"/>
      </w:pPr>
      <w:bookmarkStart w:id="2" w:name="O_997408"/>
      <w:bookmarkEnd w:id="2"/>
      <w:r w:rsidRPr="00F94697">
        <w:t>Application</w:t>
      </w:r>
    </w:p>
    <w:p w:rsidR="00000000" w:rsidRPr="00F94697" w:rsidP="006E27E0">
      <w:pPr>
        <w:pStyle w:val="BodyText"/>
      </w:pPr>
      <w:r w:rsidRPr="00F94697">
        <w:t>This unit of competency requires application of hand skills and maintenance</w:t>
      </w:r>
      <w:r w:rsidRPr="00F94697">
        <w:t xml:space="preserve"> publications in aircraft hangars and workshops to fabricate aircraft electrical looms and harnesses under qualified person guidance for general use in electrical systems during scheduled or unscheduled maintenance. Work may be performed individually or as</w:t>
      </w:r>
      <w:r w:rsidRPr="00F94697">
        <w:t xml:space="preserve"> part of a team.</w:t>
      </w:r>
    </w:p>
    <w:p w:rsidR="00000000" w:rsidRPr="00F94697" w:rsidP="006E27E0">
      <w:pPr>
        <w:pStyle w:val="BodyText"/>
      </w:pPr>
      <w:r w:rsidRPr="00F94697">
        <w:t xml:space="preserve">The unit is part of the Avionic Certificate II training pathway. </w:t>
      </w:r>
    </w:p>
    <w:p w:rsidR="00000000" w:rsidRPr="00F94697" w:rsidP="006E27E0">
      <w:pPr>
        <w:pStyle w:val="BodyText"/>
      </w:pPr>
      <w:r w:rsidRPr="00F94697">
        <w:t>The unit is used in workplaces that operate under the airworthiness regulatory systems of the Australian Defence Force (ADF) and the Civil Aviation Safety Authority (CASA)</w:t>
      </w:r>
      <w:r w:rsidRPr="00F94697">
        <w:t>.</w:t>
      </w:r>
    </w:p>
    <w:p w:rsidR="00000000" w:rsidRPr="00F94697" w:rsidP="00F94697">
      <w:pPr>
        <w:pStyle w:val="Heading1"/>
      </w:pPr>
      <w:bookmarkStart w:id="3" w:name="O_997407"/>
      <w:bookmarkEnd w:id="3"/>
      <w:r w:rsidRPr="00F94697">
        <w:t>Pre-requisite Unit</w:t>
      </w:r>
    </w:p>
    <w:tbl>
      <w:tblPr>
        <w:tblW w:w="0" w:type="auto"/>
        <w:tblLayout w:type="fixed"/>
        <w:tblCellMar>
          <w:left w:w="62" w:type="dxa"/>
          <w:right w:w="62" w:type="dxa"/>
        </w:tblCellMar>
        <w:tblLook w:val="0000"/>
      </w:tblPr>
      <w:tblGrid>
        <w:gridCol w:w="1660"/>
        <w:gridCol w:w="6227"/>
      </w:tblGrid>
      <w:tr w:rsidTr="00F94697">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MEA107</w:t>
            </w:r>
          </w:p>
        </w:tc>
        <w:tc>
          <w:tcPr>
            <w:tcW w:w="622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Interpret and use aviation maintenance industry manuals and specifications</w:t>
            </w:r>
          </w:p>
        </w:tc>
      </w:tr>
      <w:tr w:rsidTr="00F94697">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MEA154</w:t>
            </w:r>
          </w:p>
        </w:tc>
        <w:tc>
          <w:tcPr>
            <w:tcW w:w="622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Apply work health and safety practices in aviation maintenance</w:t>
            </w:r>
          </w:p>
        </w:tc>
      </w:tr>
      <w:tr w:rsidTr="00F94697">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MEA155</w:t>
            </w:r>
          </w:p>
        </w:tc>
        <w:tc>
          <w:tcPr>
            <w:tcW w:w="622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Plan and organise aviation maintenance work activities</w:t>
            </w:r>
          </w:p>
        </w:tc>
      </w:tr>
      <w:tr w:rsidTr="00F94697">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MEA156</w:t>
            </w:r>
          </w:p>
        </w:tc>
        <w:tc>
          <w:tcPr>
            <w:tcW w:w="622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Apply quality standards during aviation maintenance activities</w:t>
            </w:r>
          </w:p>
        </w:tc>
      </w:tr>
      <w:tr w:rsidTr="00F94697">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MEA157</w:t>
            </w:r>
          </w:p>
        </w:tc>
        <w:tc>
          <w:tcPr>
            <w:tcW w:w="622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Complete aviation maintenance industry documentation</w:t>
            </w:r>
          </w:p>
        </w:tc>
      </w:tr>
      <w:tr w:rsidTr="00F94697">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MEA158</w:t>
            </w:r>
          </w:p>
        </w:tc>
        <w:tc>
          <w:tcPr>
            <w:tcW w:w="6227" w:type="dxa"/>
            <w:tcBorders>
              <w:top w:val="nil"/>
              <w:left w:val="nil"/>
              <w:bottom w:val="nil"/>
              <w:right w:val="nil"/>
            </w:tcBorders>
            <w:tcMar>
              <w:top w:w="0" w:type="dxa"/>
              <w:left w:w="62" w:type="dxa"/>
              <w:bottom w:w="0" w:type="dxa"/>
              <w:right w:w="62" w:type="dxa"/>
            </w:tcMar>
          </w:tcPr>
          <w:p w:rsidR="00000000" w:rsidRPr="00F94697" w:rsidP="00F94697">
            <w:pPr>
              <w:pStyle w:val="BodyText"/>
            </w:pPr>
            <w:r w:rsidRPr="00F94697">
              <w:t>Perform basic hand skills, standard trade practices and fundamentals in aviation maintenance</w:t>
            </w:r>
          </w:p>
        </w:tc>
      </w:tr>
    </w:tbl>
    <w:p w:rsidR="00000000" w:rsidRPr="00F94697" w:rsidP="00F94697">
      <w:pPr>
        <w:pStyle w:val="BodyText"/>
      </w:pPr>
    </w:p>
    <w:p w:rsidR="00000000" w:rsidRPr="00F94697" w:rsidP="00F94697">
      <w:pPr>
        <w:pStyle w:val="AllowPageBreak"/>
      </w:pPr>
    </w:p>
    <w:p w:rsidR="00000000" w:rsidRPr="00F94697" w:rsidP="00F94697">
      <w:pPr>
        <w:pStyle w:val="Heading1"/>
      </w:pPr>
      <w:bookmarkStart w:id="4" w:name="O_997406"/>
      <w:bookmarkEnd w:id="4"/>
      <w:r w:rsidRPr="00F94697">
        <w:t>Compe</w:t>
      </w:r>
      <w:r w:rsidRPr="00F94697">
        <w:t>tency Field</w:t>
      </w:r>
    </w:p>
    <w:p w:rsidR="00000000" w:rsidRPr="00F94697" w:rsidP="006E27E0">
      <w:pPr>
        <w:pStyle w:val="BodyText"/>
      </w:pPr>
      <w:r w:rsidRPr="00F94697">
        <w:t>Aviation maintenance</w:t>
      </w:r>
    </w:p>
    <w:p w:rsidR="00000000" w:rsidRPr="00F94697" w:rsidP="00F94697">
      <w:pPr>
        <w:pStyle w:val="Heading1"/>
      </w:pPr>
      <w:bookmarkStart w:id="5" w:name="O_997405"/>
      <w:bookmarkEnd w:id="5"/>
      <w:r w:rsidRPr="00F94697">
        <w:t>Unit Sector</w:t>
      </w:r>
    </w:p>
    <w:p w:rsidR="00000000" w:rsidRPr="00F94697" w:rsidP="00F94697">
      <w:pPr>
        <w:pStyle w:val="Heading1"/>
      </w:pPr>
      <w:bookmarkStart w:id="6" w:name="O_997404"/>
      <w:bookmarkEnd w:id="6"/>
      <w:r w:rsidRPr="00F94697">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F94697">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 xml:space="preserve">Performance criteria describe the performance needed to demonstrate achievement of the element. </w:t>
            </w:r>
          </w:p>
        </w:tc>
      </w:tr>
      <w:tr w:rsidTr="00F946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1.</w:t>
            </w:r>
          </w:p>
        </w:tc>
        <w:tc>
          <w:tcPr>
            <w:tcW w:w="2295"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Prepare to fabricate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1.1</w:t>
            </w:r>
          </w:p>
        </w:tc>
        <w:tc>
          <w:tcPr>
            <w:tcW w:w="559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Appropriate materials, tools and equipment are selected and prepared for the particular task in accordance with applicable maintenance documentation, enterprise procedures and under qualifie</w:t>
            </w:r>
            <w:r w:rsidRPr="00F94697">
              <w:t>d person guidance</w:t>
            </w:r>
          </w:p>
        </w:tc>
      </w:tr>
      <w:tr w:rsidTr="00F946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1.2</w:t>
            </w:r>
          </w:p>
        </w:tc>
        <w:tc>
          <w:tcPr>
            <w:tcW w:w="559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Assembly or fabrication jigs, where applicable, are aligned to ensure accurate fabrication of components</w:t>
            </w:r>
          </w:p>
        </w:tc>
      </w:tr>
      <w:tr w:rsidTr="00F946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2.</w:t>
            </w:r>
          </w:p>
        </w:tc>
        <w:tc>
          <w:tcPr>
            <w:tcW w:w="2295"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Fabricate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2.1</w:t>
            </w:r>
          </w:p>
        </w:tc>
        <w:tc>
          <w:tcPr>
            <w:tcW w:w="559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Components or parts are fabricated in accordance with qualified pers</w:t>
            </w:r>
            <w:r w:rsidRPr="00F94697">
              <w:t>on guidance, applicable maintenance documentation and enterprise procedures while observing all relevant work health and safety (WHS) requirements</w:t>
            </w:r>
          </w:p>
        </w:tc>
      </w:tr>
      <w:tr w:rsidTr="00F946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3.</w:t>
            </w:r>
          </w:p>
        </w:tc>
        <w:tc>
          <w:tcPr>
            <w:tcW w:w="2295"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Perform routine tests on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3.1</w:t>
            </w:r>
          </w:p>
        </w:tc>
        <w:tc>
          <w:tcPr>
            <w:tcW w:w="559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Under qualified person guidance test equipment and/or rigs are used, where applicable, to confirm serviceability of finished components</w:t>
            </w:r>
          </w:p>
        </w:tc>
      </w:tr>
      <w:tr w:rsidTr="00F946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4.</w:t>
            </w:r>
          </w:p>
        </w:tc>
        <w:tc>
          <w:tcPr>
            <w:tcW w:w="2295"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Complete the fabrication process with regard to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4.1</w:t>
            </w:r>
          </w:p>
        </w:tc>
        <w:tc>
          <w:tcPr>
            <w:tcW w:w="5594" w:type="dxa"/>
            <w:tcBorders>
              <w:top w:val="nil"/>
              <w:left w:val="nil"/>
              <w:bottom w:val="nil"/>
              <w:right w:val="nil"/>
            </w:tcBorders>
            <w:tcMar>
              <w:top w:w="0" w:type="dxa"/>
              <w:left w:w="62" w:type="dxa"/>
              <w:bottom w:w="0" w:type="dxa"/>
              <w:right w:w="62" w:type="dxa"/>
            </w:tcMar>
          </w:tcPr>
          <w:p w:rsidR="00000000" w:rsidRPr="00F94697" w:rsidP="00F94697">
            <w:pPr>
              <w:pStyle w:val="BodyText"/>
            </w:pPr>
            <w:r w:rsidRPr="00F94697">
              <w:t>Fabricated components ar</w:t>
            </w:r>
            <w:r w:rsidRPr="00F94697">
              <w:t>e tagged, sealed and packaged within specified procedures</w:t>
            </w:r>
          </w:p>
        </w:tc>
      </w:tr>
    </w:tbl>
    <w:p w:rsidR="00000000" w:rsidRPr="00F94697" w:rsidP="00F94697">
      <w:pPr>
        <w:pStyle w:val="BodyText"/>
      </w:pPr>
    </w:p>
    <w:p w:rsidR="00000000" w:rsidRPr="00F94697" w:rsidP="00F94697">
      <w:pPr>
        <w:pStyle w:val="AllowPageBreak"/>
      </w:pPr>
    </w:p>
    <w:p w:rsidR="00000000" w:rsidRPr="00F94697" w:rsidP="00F94697">
      <w:pPr>
        <w:pStyle w:val="Heading1"/>
      </w:pPr>
      <w:bookmarkStart w:id="7" w:name="O_997403"/>
      <w:bookmarkEnd w:id="7"/>
      <w:r w:rsidRPr="00F94697">
        <w:t>Foundation Skills</w:t>
      </w:r>
    </w:p>
    <w:p w:rsidR="00000000" w:rsidRPr="00F94697" w:rsidP="006E27E0">
      <w:pPr>
        <w:pStyle w:val="BodyText"/>
      </w:pPr>
      <w:r w:rsidRPr="00F94697">
        <w:t>Foundation skills essential to performance are explicit in the performance criteria of this unit of competency.</w:t>
      </w:r>
    </w:p>
    <w:p w:rsidR="00000000" w:rsidRPr="00F94697" w:rsidP="00F94697">
      <w:pPr>
        <w:pStyle w:val="Heading1"/>
      </w:pPr>
      <w:bookmarkStart w:id="8" w:name="O_997402"/>
      <w:bookmarkEnd w:id="8"/>
      <w:r w:rsidRPr="00F94697">
        <w:t>Range of Conditions</w:t>
      </w:r>
    </w:p>
    <w:tbl>
      <w:tblPr>
        <w:tblW w:w="0" w:type="auto"/>
        <w:tblLayout w:type="fixed"/>
        <w:tblCellMar>
          <w:left w:w="62" w:type="dxa"/>
          <w:right w:w="62" w:type="dxa"/>
        </w:tblCellMar>
        <w:tblLook w:val="0000"/>
      </w:tblPr>
      <w:tblGrid>
        <w:gridCol w:w="3060"/>
        <w:gridCol w:w="6012"/>
      </w:tblGrid>
      <w:tr w:rsidTr="00F946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t>This field a</w:t>
            </w:r>
            <w:r w:rsidRPr="00F94697">
              <w:t>llows for different work environments and conditions that may affect performance. Essential operating conditions that may be present (depending on the work situation, needs of the candidate, accessibility of the item, and local industry and regional contex</w:t>
            </w:r>
            <w:r w:rsidRPr="00F94697">
              <w:t>ts) are included.</w:t>
            </w:r>
          </w:p>
        </w:tc>
      </w:tr>
      <w:tr w:rsidTr="00F946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4697">
            <w:pPr>
              <w:pStyle w:val="BodyText"/>
              <w:rPr>
                <w:lang w:val="en-NZ"/>
              </w:rPr>
            </w:pPr>
            <w:r w:rsidRPr="00F94697">
              <w:rPr>
                <w:rStyle w:val="SpecialBold"/>
              </w:rPr>
              <w:t>Components or parts include:</w:t>
            </w:r>
          </w:p>
        </w:tc>
        <w:tc>
          <w:tcPr>
            <w:tcW w:w="6012" w:type="dxa"/>
            <w:tcBorders>
              <w:top w:val="nil"/>
              <w:left w:val="nil"/>
              <w:bottom w:val="nil"/>
              <w:right w:val="nil"/>
            </w:tcBorders>
            <w:tcMar>
              <w:top w:w="0" w:type="dxa"/>
              <w:left w:w="62" w:type="dxa"/>
              <w:bottom w:w="0" w:type="dxa"/>
              <w:right w:w="62" w:type="dxa"/>
            </w:tcMar>
          </w:tcPr>
          <w:p w:rsidR="00000000" w:rsidRPr="00F94697" w:rsidP="00F94697">
            <w:pPr>
              <w:pStyle w:val="ListBullet"/>
            </w:pPr>
            <w:r w:rsidRPr="00F94697">
              <w:t xml:space="preserve">Electrical looms, harnesses and cables </w:t>
            </w:r>
            <w:r w:rsidRPr="00F94697">
              <w:rPr>
                <w:rStyle w:val="SpecialBold"/>
              </w:rPr>
              <w:t xml:space="preserve">except </w:t>
            </w:r>
            <w:r w:rsidRPr="00F94697">
              <w:t xml:space="preserve">for: </w:t>
            </w:r>
          </w:p>
          <w:p w:rsidR="00000000" w:rsidRPr="00F94697" w:rsidP="00F94697">
            <w:pPr>
              <w:pStyle w:val="ListBullet2"/>
            </w:pPr>
            <w:r w:rsidRPr="00F94697">
              <w:t>data bus cables</w:t>
            </w:r>
          </w:p>
          <w:p w:rsidR="00000000" w:rsidRPr="00F94697" w:rsidP="00F94697">
            <w:pPr>
              <w:pStyle w:val="ListBullet2"/>
            </w:pPr>
            <w:r w:rsidRPr="00F94697">
              <w:t>co-axial cables</w:t>
            </w:r>
          </w:p>
          <w:p w:rsidR="00000000" w:rsidRPr="00F94697" w:rsidP="00F94697">
            <w:pPr>
              <w:pStyle w:val="ListBullet2"/>
            </w:pPr>
            <w:r w:rsidRPr="00F94697">
              <w:t>fibre optic cables</w:t>
            </w:r>
          </w:p>
          <w:p w:rsidR="00000000" w:rsidRPr="00F94697" w:rsidP="00F94697">
            <w:pPr>
              <w:pStyle w:val="ListBullet2"/>
            </w:pPr>
            <w:r w:rsidRPr="00F94697">
              <w:t>fire detection/extinguishing systems</w:t>
            </w:r>
          </w:p>
          <w:p w:rsidR="00000000" w:rsidRPr="00F94697" w:rsidP="00F94697">
            <w:pPr>
              <w:pStyle w:val="ListBullet2"/>
            </w:pPr>
            <w:r w:rsidRPr="00F94697">
              <w:t>oxygen systems</w:t>
            </w:r>
          </w:p>
          <w:p w:rsidR="00000000" w:rsidRPr="00F94697" w:rsidP="00F94697">
            <w:pPr>
              <w:pStyle w:val="ListBullet2"/>
            </w:pPr>
            <w:r w:rsidRPr="00F94697">
              <w:t>fuel tanks and integrated hardware</w:t>
            </w:r>
          </w:p>
        </w:tc>
      </w:tr>
    </w:tbl>
    <w:p w:rsidR="00000000" w:rsidRPr="00F94697" w:rsidP="00F94697">
      <w:pPr>
        <w:pStyle w:val="BodyText"/>
      </w:pPr>
    </w:p>
    <w:p w:rsidR="00000000" w:rsidRPr="00F94697" w:rsidP="00F94697">
      <w:pPr>
        <w:pStyle w:val="AllowPageBreak"/>
      </w:pPr>
    </w:p>
    <w:p w:rsidR="00000000" w:rsidRPr="00F94697" w:rsidP="00F94697">
      <w:pPr>
        <w:pStyle w:val="Heading1"/>
      </w:pPr>
      <w:bookmarkStart w:id="9" w:name="O_997401"/>
      <w:bookmarkEnd w:id="9"/>
      <w:r w:rsidRPr="00F94697">
        <w:t>Unit Mapping Information</w:t>
      </w:r>
    </w:p>
    <w:p w:rsidR="00000000" w:rsidRPr="00F94697" w:rsidP="006E27E0">
      <w:pPr>
        <w:pStyle w:val="BodyText"/>
      </w:pPr>
      <w:r w:rsidRPr="00F94697">
        <w:t>Release 2. Equivalent to MEA239 Fabricate aircraft electrical looms and harnesses</w:t>
      </w:r>
    </w:p>
    <w:p w:rsidR="00000000" w:rsidRPr="00F94697" w:rsidP="00F94697">
      <w:pPr>
        <w:pStyle w:val="Heading1"/>
      </w:pPr>
      <w:bookmarkStart w:id="10" w:name="O_997410"/>
      <w:bookmarkEnd w:id="10"/>
      <w:r w:rsidRPr="00F94697">
        <w:t>Links</w:t>
      </w:r>
    </w:p>
    <w:p w:rsidR="00000000" w:rsidRPr="00F94697" w:rsidP="006E27E0">
      <w:pPr>
        <w:pStyle w:val="BodyText"/>
      </w:pPr>
      <w:r w:rsidRPr="00F9469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F5E46">
        <w:rPr>
          <w:rStyle w:val="Hyperlink"/>
        </w:rPr>
        <w:t>https://vetnet.gov.au/Pages/TrainingDocs.aspx?q=ce216c9c-04d5-4b3b-9bcf-4e81d0950371</w:t>
      </w:r>
      <w:r>
        <w:fldChar w:fldCharType="end"/>
      </w:r>
    </w:p>
    <w:p w:rsidR="00000000" w:rsidRPr="00F94697" w:rsidP="006E27E0">
      <w:pPr>
        <w:pStyle w:val="BodyText"/>
        <w:sectPr w:rsidSect="00F94697">
          <w:headerReference w:type="default" r:id="rId10"/>
          <w:footerReference w:type="default" r:id="rId11"/>
          <w:pgSz w:w="11908" w:h="16833"/>
          <w:pgMar w:top="1702" w:right="1418" w:bottom="1702" w:left="1418" w:header="992" w:footer="992" w:gutter="0"/>
          <w:cols w:space="720"/>
          <w:noEndnote/>
          <w:docGrid w:linePitch="299"/>
        </w:sectPr>
      </w:pPr>
    </w:p>
    <w:p w:rsidR="00000000" w:rsidRPr="00F94697" w:rsidP="00F94697">
      <w:pPr>
        <w:pStyle w:val="SuperHeading"/>
      </w:pPr>
      <w:r w:rsidRPr="00F94697">
        <w:t>Assessment Requirements for MEA239 Fabricate aircraft electrical looms and harnesses</w:t>
      </w:r>
    </w:p>
    <w:p w:rsidR="00000000" w:rsidRPr="00F94697" w:rsidP="00F94697">
      <w:pPr>
        <w:pStyle w:val="Heading1"/>
      </w:pPr>
      <w:bookmarkStart w:id="11" w:name="O_997399"/>
      <w:bookmarkEnd w:id="11"/>
      <w:r w:rsidRPr="00F94697">
        <w:t>Modification History</w:t>
      </w:r>
    </w:p>
    <w:p w:rsidR="00000000" w:rsidRPr="00F94697" w:rsidP="006E27E0">
      <w:pPr>
        <w:pStyle w:val="BodyText"/>
      </w:pPr>
      <w:r w:rsidRPr="00F94697">
        <w:t>Release 2. Equivalent to MEA239 Fabricate aircraft electrical looms and harnesses with amended prerequisite codes.</w:t>
      </w:r>
    </w:p>
    <w:p w:rsidR="00000000" w:rsidRPr="00F94697" w:rsidP="00F94697">
      <w:pPr>
        <w:pStyle w:val="Heading1"/>
      </w:pPr>
      <w:bookmarkStart w:id="12" w:name="O_997398"/>
      <w:bookmarkEnd w:id="12"/>
      <w:r w:rsidRPr="00F94697">
        <w:t>Performance Evidence</w:t>
      </w:r>
    </w:p>
    <w:p w:rsidR="00000000" w:rsidRPr="00F94697" w:rsidP="006E27E0">
      <w:pPr>
        <w:pStyle w:val="BodyText"/>
      </w:pPr>
      <w:r w:rsidRPr="00F94697">
        <w:t>Evidence required to demonstrate competency in this unit must be relevant to and satisfy all of the req</w:t>
      </w:r>
      <w:r w:rsidRPr="00F94697">
        <w:t>uirements of the elements and performance criteria under the specified conditions of assessment, and must include:</w:t>
      </w:r>
    </w:p>
    <w:p w:rsidR="00000000" w:rsidRPr="00F94697" w:rsidP="00F94697">
      <w:pPr>
        <w:pStyle w:val="ListBullet"/>
      </w:pPr>
      <w:r w:rsidRPr="00F94697">
        <w:t>applying relevant WHS practices</w:t>
      </w:r>
    </w:p>
    <w:p w:rsidR="00000000" w:rsidRPr="00F94697" w:rsidP="00F94697">
      <w:pPr>
        <w:pStyle w:val="ListBullet"/>
      </w:pPr>
      <w:r w:rsidRPr="00F94697">
        <w:t>using approved fabrication procedures and processes relating to electrical looms, cables, and harnesses</w:t>
      </w:r>
    </w:p>
    <w:p w:rsidR="00000000" w:rsidRPr="00F94697" w:rsidP="00F94697">
      <w:pPr>
        <w:pStyle w:val="ListBullet"/>
      </w:pPr>
      <w:r w:rsidRPr="00F94697">
        <w:t>reco</w:t>
      </w:r>
      <w:r w:rsidRPr="00F94697">
        <w:t>gnising the integrity/security of electrical component crimps, joints and plug/connector pins</w:t>
      </w:r>
    </w:p>
    <w:p w:rsidR="00000000" w:rsidRPr="00F94697" w:rsidP="00F94697">
      <w:pPr>
        <w:pStyle w:val="ListBullet"/>
      </w:pPr>
      <w:r w:rsidRPr="00F94697">
        <w:t>fabricating cables, harnesses and looms, including wire marking, to approved industry standards</w:t>
      </w:r>
    </w:p>
    <w:p w:rsidR="00000000" w:rsidRPr="00F94697" w:rsidP="00F94697">
      <w:pPr>
        <w:pStyle w:val="ListBullet"/>
      </w:pPr>
      <w:r w:rsidRPr="00F94697">
        <w:t>under qualified person guidance performing testing to assess post-</w:t>
      </w:r>
      <w:r w:rsidRPr="00F94697">
        <w:t>construction serviceability according to enterprise procedures.</w:t>
      </w:r>
    </w:p>
    <w:p w:rsidR="006E27E0" w:rsidP="006E27E0">
      <w:pPr>
        <w:pStyle w:val="BodyText"/>
      </w:pPr>
      <w:r w:rsidRPr="00F94697">
        <w:t>The underlying skills inherent in this unit should be transferable into other areas that require similar techniques. It is essential that the general aspects of material specification and sele</w:t>
      </w:r>
      <w:r w:rsidRPr="00F94697">
        <w:t>ction, measurement and fabrication be related to specific aircraft component applications to the extent necessary to unambiguously understand expert guidance.</w:t>
      </w:r>
    </w:p>
    <w:p w:rsidR="00000000" w:rsidRPr="00F94697" w:rsidP="00F94697">
      <w:pPr>
        <w:pStyle w:val="Heading1"/>
      </w:pPr>
      <w:bookmarkStart w:id="13" w:name="O_997397"/>
      <w:bookmarkEnd w:id="13"/>
      <w:r w:rsidRPr="00F94697">
        <w:t>Knowledge Evidence</w:t>
      </w:r>
    </w:p>
    <w:p w:rsidR="00000000" w:rsidRPr="00F94697" w:rsidP="006E27E0">
      <w:pPr>
        <w:pStyle w:val="BodyText"/>
      </w:pPr>
      <w:r w:rsidRPr="00F94697">
        <w:t>Evidence required to demonstrate competency in this unit mus</w:t>
      </w:r>
      <w:r w:rsidRPr="00F94697">
        <w:t>t be relevant to and satisfy all of the requirements of the elements and performance criteria and include knowledge of:</w:t>
      </w:r>
    </w:p>
    <w:p w:rsidR="00000000" w:rsidRPr="00F94697" w:rsidP="00F94697">
      <w:pPr>
        <w:pStyle w:val="ListBullet"/>
      </w:pPr>
      <w:r w:rsidRPr="00F94697">
        <w:t>electrical wire gauges and standards</w:t>
      </w:r>
    </w:p>
    <w:p w:rsidR="00000000" w:rsidRPr="00F94697" w:rsidP="00F94697">
      <w:pPr>
        <w:pStyle w:val="ListBullet"/>
      </w:pPr>
      <w:r w:rsidRPr="00F94697">
        <w:t>wire marking conventions and procedures</w:t>
      </w:r>
    </w:p>
    <w:p w:rsidR="00000000" w:rsidRPr="00F94697" w:rsidP="00F94697">
      <w:pPr>
        <w:pStyle w:val="ListBullet"/>
      </w:pPr>
      <w:r w:rsidRPr="00F94697">
        <w:t>wire terminations, soldering and crimping.</w:t>
      </w:r>
    </w:p>
    <w:p w:rsidR="00000000" w:rsidRPr="00F94697" w:rsidP="00F94697">
      <w:pPr>
        <w:pStyle w:val="AllowPageBreak"/>
      </w:pPr>
    </w:p>
    <w:p w:rsidR="00000000" w:rsidRPr="00F94697" w:rsidP="00F94697">
      <w:pPr>
        <w:pStyle w:val="Heading1"/>
      </w:pPr>
      <w:bookmarkStart w:id="14" w:name="O_997396"/>
      <w:bookmarkEnd w:id="14"/>
      <w:r w:rsidRPr="00F94697">
        <w:t>Assessment Conditions</w:t>
      </w:r>
    </w:p>
    <w:p w:rsidR="00000000" w:rsidRPr="00F94697" w:rsidP="00F94697">
      <w:pPr>
        <w:pStyle w:val="ListBullet"/>
      </w:pPr>
      <w:r w:rsidRPr="00F94697">
        <w:t xml:space="preserve">Competency should be assessed in the work environment or simulated work environment, using tools and </w:t>
      </w:r>
      <w:r w:rsidRPr="00F94697">
        <w:t>equipment specified by aircraft in the maintenance manuals. It is also expected that applicable general-purpose tools and test equipment found in most routine situations would be used where appropriate.</w:t>
      </w:r>
    </w:p>
    <w:p w:rsidR="00000000" w:rsidRPr="00F94697" w:rsidP="00F94697">
      <w:pPr>
        <w:pStyle w:val="ListBullet"/>
      </w:pPr>
      <w:r w:rsidRPr="00F94697">
        <w:t>Evidence of knowledge about individual components and</w:t>
      </w:r>
      <w:r w:rsidRPr="00F94697">
        <w:t xml:space="preserve"> their links with systems will be necessary to supplement evidence of ability to interpret qualified person guidance and enterprise procedures to fabricate looms, harnesses and cables before undertaking any action. The work plan should take account of appl</w:t>
      </w:r>
      <w:r w:rsidRPr="00F94697">
        <w:t>icable safety and quality requirements in accordance with the industry and regulatory standards.</w:t>
      </w:r>
    </w:p>
    <w:p w:rsidR="00000000" w:rsidRPr="00F94697" w:rsidP="00F94697">
      <w:pPr>
        <w:pStyle w:val="ListBullet"/>
      </w:pPr>
      <w:r w:rsidRPr="00F94697">
        <w:t xml:space="preserve">Safety precautions applicable to the manufacturing of electrical looms, harnesses and cables are to be fully observed. An understanding of system operation as </w:t>
      </w:r>
      <w:r w:rsidRPr="00F94697">
        <w:t>it relates to the work must be demonstrated before undertaking any action, to ensure safety and quality issues are addressed.</w:t>
      </w:r>
    </w:p>
    <w:p w:rsidR="00000000" w:rsidRPr="00F94697" w:rsidP="00F94697">
      <w:pPr>
        <w:pStyle w:val="ListBullet"/>
      </w:pPr>
      <w:r w:rsidRPr="00F94697">
        <w:t>The following conditions of assessment represent the requirements of the Regulators (ADF and CASA) and maintenance stakeholders an</w:t>
      </w:r>
      <w:r w:rsidRPr="00F94697">
        <w:t>d must be rigorously observed.</w:t>
      </w:r>
    </w:p>
    <w:p w:rsidR="00000000" w:rsidRPr="00F94697" w:rsidP="00F94697">
      <w:pPr>
        <w:pStyle w:val="ListBullet"/>
      </w:pPr>
      <w:r w:rsidRPr="00F94697">
        <w:t>A person cannot be assessed as competent until it can be demonstrated to the satisfaction of the workplace assessor that the relevant elements and performance criteria of the unit of competency are being achieved under qualif</w:t>
      </w:r>
      <w:r w:rsidRPr="00F94697">
        <w:t>ied person guidance on a representative range of electrical loom, cable and harness fabrication tasks with the exception of the items listed in the Range of Conditions. This shall be established via the records in the Log of Industrial Experience and Achie</w:t>
      </w:r>
      <w:r w:rsidRPr="00F94697">
        <w:t>vement or, where appropriate, an equivalent Industry Evidence Guide (for details refer to the Companion Volume Assessment Guidelines).</w:t>
      </w:r>
    </w:p>
    <w:p w:rsidR="00000000" w:rsidRPr="00F94697" w:rsidP="00F94697">
      <w:pPr>
        <w:pStyle w:val="ListBullet"/>
      </w:pPr>
      <w:r w:rsidRPr="00F94697">
        <w:t>Assessors must satisfy the requirements of the National Vocational Education and Training Regulator (Australian Skills Qu</w:t>
      </w:r>
      <w:r w:rsidRPr="00F94697">
        <w:t>ality Authority, or its successors).</w:t>
      </w:r>
    </w:p>
    <w:p w:rsidR="00000000" w:rsidRPr="00F94697" w:rsidP="00F94697">
      <w:pPr>
        <w:pStyle w:val="AllowPageBreak"/>
      </w:pPr>
    </w:p>
    <w:p w:rsidR="00000000" w:rsidRPr="00F94697" w:rsidP="00F94697">
      <w:pPr>
        <w:pStyle w:val="Heading1"/>
      </w:pPr>
      <w:bookmarkStart w:id="15" w:name="O_997411"/>
      <w:bookmarkEnd w:id="15"/>
      <w:r w:rsidRPr="00F94697">
        <w:t>Links</w:t>
      </w:r>
    </w:p>
    <w:p w:rsidR="00000000" w:rsidRPr="00F94697" w:rsidP="006E27E0">
      <w:pPr>
        <w:pStyle w:val="BodyText"/>
      </w:pPr>
      <w:r w:rsidRPr="00F9469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F5E46">
        <w:rPr>
          <w:rStyle w:val="Hyperlink"/>
        </w:rPr>
        <w:t>https://vetnet.gov.au/Pages/TrainingDocs.aspx?q=ce216c9c-04d5-4b3b-9bcf-4e81d0950371</w:t>
      </w:r>
      <w:r>
        <w:fldChar w:fldCharType="end"/>
      </w:r>
    </w:p>
    <w:p w:rsidR="00000000" w:rsidRPr="00F94697" w:rsidP="00F94697"/>
    <w:sectPr w:rsidSect="00F946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97" w:rsidRPr="006E27E0" w:rsidP="006E2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E0" w:rsidP="00F94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7E0" w:rsidP="00F946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27E0" w:rsidP="00F946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97" w:rsidP="00F94697">
    <w:pPr>
      <w:pStyle w:val="Footer"/>
      <w:framePr w:wrap="around"/>
    </w:pPr>
    <w:r>
      <w:fldChar w:fldCharType="begin"/>
    </w:r>
    <w:r>
      <w:instrText xml:space="preserve"> DOCPROPERTY  Subject  \* MERGEFORMAT </w:instrText>
    </w:r>
    <w:r>
      <w:fldChar w:fldCharType="separate"/>
    </w:r>
    <w:r w:rsidR="006E27E0">
      <w:t>Approved</w:t>
    </w:r>
    <w:r w:rsidR="006E27E0">
      <w:fldChar w:fldCharType="end"/>
    </w:r>
    <w:r>
      <w:tab/>
      <w:t xml:space="preserve">Page </w:t>
    </w:r>
    <w:r>
      <w:fldChar w:fldCharType="begin"/>
    </w:r>
    <w:r>
      <w:instrText xml:space="preserve"> PAGE  \* Arabic  \* MERGEFORMAT </w:instrText>
    </w:r>
    <w:r>
      <w:fldChar w:fldCharType="separate"/>
    </w:r>
    <w:r w:rsidR="006E27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27E0">
      <w:rPr>
        <w:noProof/>
      </w:rPr>
      <w:t>4</w:t>
    </w:r>
    <w:r>
      <w:rPr>
        <w:noProof/>
      </w:rPr>
      <w:fldChar w:fldCharType="end"/>
    </w:r>
  </w:p>
  <w:p w:rsidR="00F94697" w:rsidP="00F94697">
    <w:pPr>
      <w:pStyle w:val="Footer"/>
      <w:framePr w:wrap="around"/>
    </w:pPr>
    <w:r>
      <w:t xml:space="preserve">© Commonwealth of Australia, </w:t>
    </w:r>
    <w:r>
      <w:fldChar w:fldCharType="begin"/>
    </w:r>
    <w:r>
      <w:instrText xml:space="preserve"> DATE  \@ "yyyy"  \* MERGEFORMAT </w:instrText>
    </w:r>
    <w:r>
      <w:fldChar w:fldCharType="separate"/>
    </w:r>
    <w:r w:rsidR="006E27E0">
      <w:rPr>
        <w:noProof/>
      </w:rPr>
      <w:t>2025</w:t>
    </w:r>
    <w:r>
      <w:fldChar w:fldCharType="end"/>
    </w:r>
    <w:r>
      <w:tab/>
    </w:r>
    <w:r>
      <w:fldChar w:fldCharType="begin"/>
    </w:r>
    <w:r>
      <w:instrText xml:space="preserve"> DOCPROPERTY  Author  \* MERGEFORMAT </w:instrText>
    </w:r>
    <w:r>
      <w:fldChar w:fldCharType="separate"/>
    </w:r>
    <w:r w:rsidR="006E27E0">
      <w:t>Manufacturing Industry Skills Alliance</w:t>
    </w:r>
    <w:r w:rsidR="006E27E0">
      <w:fldChar w:fldCharType="end"/>
    </w:r>
  </w:p>
  <w:p w:rsidR="00F94697" w:rsidP="00F946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697" w:rsidRPr="006E27E0" w:rsidP="006E2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E0" w:rsidRPr="002D2AF8" w:rsidP="00F94697">
    <w:pPr>
      <w:pStyle w:val="Header"/>
      <w:framePr w:wrap="around"/>
    </w:pPr>
    <w:r>
      <w:fldChar w:fldCharType="begin"/>
    </w:r>
    <w:r>
      <w:instrText xml:space="preserve"> TITLE   \* MERGEFORMAT </w:instrText>
    </w:r>
    <w:r>
      <w:fldChar w:fldCharType="separate"/>
    </w:r>
    <w:r>
      <w:t>MEA239 Fabricate aircraft electrical looms and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27E0" w:rsidP="00F946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97" w:rsidRPr="002D2AF8" w:rsidP="00F94697">
    <w:pPr>
      <w:pStyle w:val="Header"/>
      <w:framePr w:wrap="around"/>
    </w:pPr>
    <w:r>
      <w:fldChar w:fldCharType="begin"/>
    </w:r>
    <w:r>
      <w:instrText xml:space="preserve"> TITLE   \* MERGEFORMAT </w:instrText>
    </w:r>
    <w:r>
      <w:fldChar w:fldCharType="separate"/>
    </w:r>
    <w:r w:rsidR="006E27E0">
      <w:t>MEA239 Fabricate aircraft electrical looms and harnesses</w:t>
    </w:r>
    <w:r w:rsidR="006E27E0">
      <w:fldChar w:fldCharType="end"/>
    </w:r>
    <w:r>
      <w:tab/>
      <w:t xml:space="preserve">Date this document was generated: </w:t>
    </w:r>
    <w:r>
      <w:fldChar w:fldCharType="begin"/>
    </w:r>
    <w:r>
      <w:instrText xml:space="preserve"> CREATEDATE  \@ "d MMMM yyyy"  \* MERGEFORMAT </w:instrText>
    </w:r>
    <w:r>
      <w:fldChar w:fldCharType="separate"/>
    </w:r>
    <w:r w:rsidR="006E27E0">
      <w:rPr>
        <w:noProof/>
      </w:rPr>
      <w:t>2 March 2025</w:t>
    </w:r>
    <w:r>
      <w:fldChar w:fldCharType="end"/>
    </w:r>
  </w:p>
  <w:p w:rsidR="00F94697" w:rsidP="00F946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06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85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C86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6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697"/>
    <w:pPr>
      <w:spacing w:before="360" w:after="60"/>
      <w:outlineLvl w:val="0"/>
    </w:pPr>
    <w:rPr>
      <w:sz w:val="32"/>
    </w:rPr>
  </w:style>
  <w:style w:type="paragraph" w:styleId="Heading2">
    <w:name w:val="heading 2"/>
    <w:basedOn w:val="HeadingBase"/>
    <w:next w:val="BodyText"/>
    <w:link w:val="Heading2Char"/>
    <w:qFormat/>
    <w:rsid w:val="00F94697"/>
    <w:pPr>
      <w:keepLines/>
      <w:spacing w:before="240" w:after="120"/>
      <w:outlineLvl w:val="1"/>
    </w:pPr>
    <w:rPr>
      <w:sz w:val="28"/>
      <w:szCs w:val="40"/>
    </w:rPr>
  </w:style>
  <w:style w:type="paragraph" w:styleId="Heading3">
    <w:name w:val="heading 3"/>
    <w:basedOn w:val="HeadingBase"/>
    <w:next w:val="BodyText"/>
    <w:link w:val="Heading3Char"/>
    <w:qFormat/>
    <w:rsid w:val="00F94697"/>
    <w:pPr>
      <w:spacing w:before="180" w:after="120"/>
      <w:outlineLvl w:val="2"/>
    </w:pPr>
    <w:rPr>
      <w:spacing w:val="-10"/>
      <w:kern w:val="32"/>
    </w:rPr>
  </w:style>
  <w:style w:type="paragraph" w:styleId="Heading4">
    <w:name w:val="heading 4"/>
    <w:basedOn w:val="HeadingBase"/>
    <w:next w:val="BodyText"/>
    <w:link w:val="Heading4Char"/>
    <w:qFormat/>
    <w:rsid w:val="00F94697"/>
    <w:pPr>
      <w:spacing w:before="160" w:after="120"/>
      <w:outlineLvl w:val="3"/>
    </w:pPr>
    <w:rPr>
      <w:sz w:val="22"/>
    </w:rPr>
  </w:style>
  <w:style w:type="paragraph" w:styleId="Heading5">
    <w:name w:val="heading 5"/>
    <w:basedOn w:val="HeadingBase"/>
    <w:next w:val="Normal"/>
    <w:link w:val="Heading5Char"/>
    <w:qFormat/>
    <w:rsid w:val="00F94697"/>
    <w:pPr>
      <w:spacing w:before="80"/>
      <w:outlineLvl w:val="4"/>
    </w:pPr>
    <w:rPr>
      <w:color w:val="918585"/>
      <w:sz w:val="20"/>
    </w:rPr>
  </w:style>
  <w:style w:type="paragraph" w:styleId="Heading6">
    <w:name w:val="heading 6"/>
    <w:basedOn w:val="HeadingBase"/>
    <w:next w:val="Normal"/>
    <w:link w:val="Heading6Char"/>
    <w:qFormat/>
    <w:rsid w:val="00F94697"/>
    <w:pPr>
      <w:spacing w:before="60"/>
      <w:outlineLvl w:val="5"/>
    </w:pPr>
    <w:rPr>
      <w:color w:val="918585"/>
      <w:sz w:val="20"/>
    </w:rPr>
  </w:style>
  <w:style w:type="paragraph" w:styleId="Heading7">
    <w:name w:val="heading 7"/>
    <w:basedOn w:val="Normal"/>
    <w:next w:val="Normal"/>
    <w:link w:val="Heading7Char"/>
    <w:qFormat/>
    <w:rsid w:val="00F94697"/>
    <w:pPr>
      <w:ind w:left="720"/>
      <w:outlineLvl w:val="6"/>
    </w:pPr>
    <w:rPr>
      <w:i/>
    </w:rPr>
  </w:style>
  <w:style w:type="paragraph" w:styleId="Heading8">
    <w:name w:val="heading 8"/>
    <w:basedOn w:val="Normal"/>
    <w:next w:val="Normal"/>
    <w:link w:val="Heading8Char"/>
    <w:qFormat/>
    <w:rsid w:val="00F94697"/>
    <w:pPr>
      <w:ind w:left="720"/>
      <w:outlineLvl w:val="7"/>
    </w:pPr>
    <w:rPr>
      <w:i/>
    </w:rPr>
  </w:style>
  <w:style w:type="paragraph" w:styleId="Heading9">
    <w:name w:val="heading 9"/>
    <w:basedOn w:val="Normal"/>
    <w:next w:val="Normal"/>
    <w:link w:val="Heading9Char"/>
    <w:qFormat/>
    <w:rsid w:val="00F94697"/>
    <w:pPr>
      <w:ind w:left="720"/>
      <w:outlineLvl w:val="8"/>
    </w:pPr>
    <w:rPr>
      <w:i/>
    </w:rPr>
  </w:style>
  <w:style w:type="character" w:default="1" w:styleId="DefaultParagraphFont">
    <w:name w:val="Default Paragraph Font"/>
    <w:uiPriority w:val="1"/>
    <w:unhideWhenUsed/>
    <w:rsid w:val="00F94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697"/>
  </w:style>
  <w:style w:type="character" w:customStyle="1" w:styleId="Heading1Char">
    <w:name w:val="Heading 1 Char"/>
    <w:basedOn w:val="DefaultParagraphFont"/>
    <w:link w:val="Heading1"/>
    <w:rsid w:val="00F94697"/>
    <w:rPr>
      <w:rFonts w:ascii="Times New Roman" w:eastAsia="Times New Roman" w:hAnsi="Times New Roman" w:cs="Times New Roman"/>
      <w:b/>
      <w:sz w:val="32"/>
      <w:szCs w:val="20"/>
      <w:lang w:eastAsia="en-US"/>
    </w:rPr>
  </w:style>
  <w:style w:type="paragraph" w:styleId="BodyText">
    <w:name w:val="Body Text"/>
    <w:basedOn w:val="Normal"/>
    <w:link w:val="BodyTextChar"/>
    <w:rsid w:val="00F946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697"/>
    <w:rPr>
      <w:rFonts w:ascii="Times New Roman" w:eastAsia="Times New Roman" w:hAnsi="Times New Roman" w:cs="Times New Roman"/>
      <w:sz w:val="24"/>
      <w:lang w:eastAsia="en-US"/>
    </w:rPr>
  </w:style>
  <w:style w:type="paragraph" w:styleId="ListBullet">
    <w:name w:val="List Bullet"/>
    <w:basedOn w:val="List"/>
    <w:rsid w:val="00F94697"/>
    <w:pPr>
      <w:numPr>
        <w:numId w:val="12"/>
      </w:numPr>
      <w:tabs>
        <w:tab w:val="clear" w:pos="340"/>
      </w:tabs>
      <w:spacing w:before="40" w:after="40"/>
    </w:pPr>
  </w:style>
  <w:style w:type="character" w:customStyle="1" w:styleId="SpecialBold">
    <w:name w:val="Special Bold"/>
    <w:basedOn w:val="DefaultParagraphFont"/>
    <w:rsid w:val="00F94697"/>
    <w:rPr>
      <w:b/>
      <w:spacing w:val="0"/>
    </w:rPr>
  </w:style>
  <w:style w:type="paragraph" w:styleId="ListBullet2">
    <w:name w:val="List Bullet 2"/>
    <w:basedOn w:val="List2"/>
    <w:rsid w:val="00F94697"/>
    <w:pPr>
      <w:numPr>
        <w:numId w:val="13"/>
      </w:numPr>
      <w:tabs>
        <w:tab w:val="clear" w:pos="680"/>
      </w:tabs>
    </w:pPr>
  </w:style>
  <w:style w:type="paragraph" w:customStyle="1" w:styleId="SuperHeading">
    <w:name w:val="SuperHeading"/>
    <w:basedOn w:val="Normal"/>
    <w:rsid w:val="00F94697"/>
    <w:pPr>
      <w:spacing w:before="240" w:after="120"/>
      <w:outlineLvl w:val="0"/>
    </w:pPr>
    <w:rPr>
      <w:rFonts w:ascii="Times New Roman" w:hAnsi="Times New Roman"/>
      <w:b/>
      <w:sz w:val="32"/>
    </w:rPr>
  </w:style>
  <w:style w:type="paragraph" w:customStyle="1" w:styleId="AllowPageBreak">
    <w:name w:val="AllowPageBreak"/>
    <w:rsid w:val="00F94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6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6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697"/>
    <w:rPr>
      <w:rFonts w:ascii="Courier New" w:eastAsia="Times New Roman" w:hAnsi="Courier New" w:cs="Times New Roman"/>
      <w:i/>
      <w:szCs w:val="20"/>
      <w:lang w:eastAsia="en-US"/>
    </w:rPr>
  </w:style>
  <w:style w:type="paragraph" w:customStyle="1" w:styleId="HeadingBase">
    <w:name w:val="Heading Base"/>
    <w:rsid w:val="00F94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697"/>
    <w:pPr>
      <w:tabs>
        <w:tab w:val="right" w:leader="dot" w:pos="9072"/>
      </w:tabs>
      <w:ind w:left="567"/>
    </w:pPr>
    <w:rPr>
      <w:szCs w:val="22"/>
    </w:rPr>
  </w:style>
  <w:style w:type="paragraph" w:customStyle="1" w:styleId="TOCBase">
    <w:name w:val="TOC Base"/>
    <w:rsid w:val="00F94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697"/>
    <w:pPr>
      <w:tabs>
        <w:tab w:val="right" w:leader="dot" w:pos="9072"/>
      </w:tabs>
      <w:spacing w:before="40" w:after="40"/>
      <w:ind w:left="284"/>
    </w:pPr>
    <w:rPr>
      <w:rFonts w:ascii="Times New Roman" w:hAnsi="Times New Roman"/>
    </w:rPr>
  </w:style>
  <w:style w:type="paragraph" w:styleId="TOC1">
    <w:name w:val="toc 1"/>
    <w:basedOn w:val="TOCBase"/>
    <w:next w:val="Normal"/>
    <w:rsid w:val="00F946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697"/>
    <w:rPr>
      <w:rFonts w:ascii="Times New Roman" w:eastAsia="Times New Roman" w:hAnsi="Times New Roman" w:cs="Times New Roman"/>
      <w:sz w:val="16"/>
      <w:lang w:eastAsia="en-US"/>
    </w:rPr>
  </w:style>
  <w:style w:type="paragraph" w:styleId="Title">
    <w:name w:val="Title"/>
    <w:basedOn w:val="HeadingBase"/>
    <w:link w:val="TitleChar"/>
    <w:qFormat/>
    <w:rsid w:val="00F94697"/>
    <w:pPr>
      <w:spacing w:before="5040"/>
      <w:jc w:val="center"/>
    </w:pPr>
    <w:rPr>
      <w:sz w:val="48"/>
      <w:szCs w:val="72"/>
      <w:lang w:val="en-US"/>
    </w:rPr>
  </w:style>
  <w:style w:type="character" w:customStyle="1" w:styleId="TitleChar">
    <w:name w:val="Title Char"/>
    <w:basedOn w:val="DefaultParagraphFont"/>
    <w:link w:val="Title"/>
    <w:rsid w:val="00F94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697"/>
    <w:pPr>
      <w:tabs>
        <w:tab w:val="left" w:pos="3600"/>
        <w:tab w:val="left" w:pos="3958"/>
      </w:tabs>
    </w:pPr>
  </w:style>
  <w:style w:type="paragraph" w:styleId="List">
    <w:name w:val="List"/>
    <w:basedOn w:val="BodyText"/>
    <w:next w:val="BodyText"/>
    <w:rsid w:val="00F94697"/>
    <w:pPr>
      <w:tabs>
        <w:tab w:val="left" w:pos="340"/>
      </w:tabs>
      <w:spacing w:before="60" w:after="60"/>
      <w:ind w:left="340" w:hanging="340"/>
    </w:pPr>
  </w:style>
  <w:style w:type="paragraph" w:customStyle="1" w:styleId="Note">
    <w:name w:val="Note"/>
    <w:basedOn w:val="BodyText"/>
    <w:rsid w:val="00F94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697"/>
    <w:pPr>
      <w:framePr w:wrap="auto" w:hAnchor="text" w:y="6049"/>
    </w:pPr>
    <w:rPr>
      <w:color w:val="000000"/>
      <w:sz w:val="40"/>
    </w:rPr>
  </w:style>
  <w:style w:type="paragraph" w:customStyle="1" w:styleId="TOCTitle">
    <w:name w:val="TOCTitle"/>
    <w:basedOn w:val="Heading1"/>
    <w:rsid w:val="00F94697"/>
    <w:pPr>
      <w:spacing w:after="240"/>
      <w:jc w:val="center"/>
      <w:outlineLvl w:val="9"/>
    </w:pPr>
    <w:rPr>
      <w:caps/>
    </w:rPr>
  </w:style>
  <w:style w:type="paragraph" w:customStyle="1" w:styleId="Version">
    <w:name w:val="Version"/>
    <w:rsid w:val="00F946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697"/>
    <w:pPr>
      <w:keepNext w:val="0"/>
      <w:tabs>
        <w:tab w:val="right" w:pos="4176"/>
      </w:tabs>
      <w:ind w:left="198" w:hanging="198"/>
    </w:pPr>
    <w:rPr>
      <w:rFonts w:ascii="Garamond" w:hAnsi="Garamond"/>
    </w:rPr>
  </w:style>
  <w:style w:type="paragraph" w:styleId="IndexHeading">
    <w:name w:val="index heading"/>
    <w:basedOn w:val="Normal"/>
    <w:next w:val="Index1"/>
    <w:semiHidden/>
    <w:rsid w:val="00F94697"/>
    <w:pPr>
      <w:spacing w:before="120" w:after="120"/>
    </w:pPr>
    <w:rPr>
      <w:rFonts w:ascii="Arial" w:hAnsi="Arial"/>
      <w:b/>
      <w:color w:val="918585"/>
      <w:sz w:val="24"/>
    </w:rPr>
  </w:style>
  <w:style w:type="paragraph" w:styleId="Header">
    <w:name w:val="header"/>
    <w:basedOn w:val="Normal"/>
    <w:link w:val="HeaderChar"/>
    <w:rsid w:val="00F94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697"/>
    <w:rPr>
      <w:rFonts w:ascii="Times New Roman" w:eastAsia="Times New Roman" w:hAnsi="Times New Roman" w:cs="Times New Roman"/>
      <w:sz w:val="16"/>
      <w:szCs w:val="20"/>
      <w:lang w:val="en-GB" w:eastAsia="en-US"/>
    </w:rPr>
  </w:style>
  <w:style w:type="paragraph" w:customStyle="1" w:styleId="Chapter">
    <w:name w:val="Chapter"/>
    <w:basedOn w:val="Normal"/>
    <w:rsid w:val="00F94697"/>
    <w:pPr>
      <w:spacing w:before="240"/>
    </w:pPr>
    <w:rPr>
      <w:rFonts w:ascii="Times New Roman" w:hAnsi="Times New Roman"/>
      <w:smallCaps/>
      <w:spacing w:val="80"/>
      <w:sz w:val="28"/>
    </w:rPr>
  </w:style>
  <w:style w:type="paragraph" w:customStyle="1" w:styleId="InChapter">
    <w:name w:val="InChapter"/>
    <w:basedOn w:val="Heading3"/>
    <w:rsid w:val="00F94697"/>
    <w:pPr>
      <w:spacing w:after="240"/>
      <w:outlineLvl w:val="9"/>
    </w:pPr>
    <w:rPr>
      <w:noProof/>
    </w:rPr>
  </w:style>
  <w:style w:type="paragraph" w:styleId="Index2">
    <w:name w:val="index 2"/>
    <w:basedOn w:val="Normal"/>
    <w:next w:val="Normal"/>
    <w:semiHidden/>
    <w:rsid w:val="00F94697"/>
    <w:pPr>
      <w:tabs>
        <w:tab w:val="right" w:pos="4176"/>
      </w:tabs>
      <w:ind w:left="568" w:hanging="284"/>
    </w:pPr>
    <w:rPr>
      <w:rFonts w:ascii="Garamond" w:hAnsi="Garamond"/>
    </w:rPr>
  </w:style>
  <w:style w:type="paragraph" w:customStyle="1" w:styleId="Byline">
    <w:name w:val="Byline"/>
    <w:rsid w:val="00F94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697"/>
    <w:pPr>
      <w:tabs>
        <w:tab w:val="clear" w:pos="3600"/>
        <w:tab w:val="clear" w:pos="3958"/>
      </w:tabs>
      <w:jc w:val="right"/>
    </w:pPr>
  </w:style>
  <w:style w:type="character" w:styleId="Emphasis">
    <w:name w:val="Emphasis"/>
    <w:basedOn w:val="DefaultParagraphFont"/>
    <w:qFormat/>
    <w:rsid w:val="00F94697"/>
    <w:rPr>
      <w:i/>
    </w:rPr>
  </w:style>
  <w:style w:type="paragraph" w:styleId="Caption">
    <w:name w:val="caption"/>
    <w:basedOn w:val="BodyText"/>
    <w:next w:val="Normal"/>
    <w:qFormat/>
    <w:rsid w:val="00F94697"/>
    <w:pPr>
      <w:framePr w:w="2268" w:hSpace="181" w:vSpace="181" w:wrap="around" w:vAnchor="text" w:hAnchor="page" w:x="1135" w:y="285" w:anchorLock="1"/>
    </w:pPr>
    <w:rPr>
      <w:i/>
    </w:rPr>
  </w:style>
  <w:style w:type="paragraph" w:customStyle="1" w:styleId="MiniTOCTitle">
    <w:name w:val="MiniTOCTitle"/>
    <w:basedOn w:val="Heading4"/>
    <w:rsid w:val="00F94697"/>
    <w:pPr>
      <w:spacing w:before="240"/>
      <w:outlineLvl w:val="9"/>
    </w:pPr>
    <w:rPr>
      <w:noProof/>
      <w:sz w:val="24"/>
    </w:rPr>
  </w:style>
  <w:style w:type="paragraph" w:customStyle="1" w:styleId="MiniTOCItem">
    <w:name w:val="MiniTOCItem"/>
    <w:basedOn w:val="ListBullet"/>
    <w:rsid w:val="00F94697"/>
    <w:pPr>
      <w:numPr>
        <w:numId w:val="0"/>
      </w:numPr>
      <w:tabs>
        <w:tab w:val="right" w:leader="dot" w:pos="6521"/>
      </w:tabs>
      <w:spacing w:before="0" w:after="0"/>
    </w:pPr>
  </w:style>
  <w:style w:type="paragraph" w:customStyle="1" w:styleId="TOFTitle">
    <w:name w:val="TOFTitle"/>
    <w:basedOn w:val="TOCTitle"/>
    <w:rsid w:val="00F94697"/>
  </w:style>
  <w:style w:type="paragraph" w:styleId="TableofFigures">
    <w:name w:val="table of figures"/>
    <w:basedOn w:val="Normal"/>
    <w:next w:val="Normal"/>
    <w:semiHidden/>
    <w:rsid w:val="00F94697"/>
    <w:pPr>
      <w:tabs>
        <w:tab w:val="right" w:leader="dot" w:pos="9072"/>
      </w:tabs>
      <w:ind w:left="970" w:hanging="403"/>
    </w:pPr>
    <w:rPr>
      <w:rFonts w:ascii="Times New Roman" w:hAnsi="Times New Roman"/>
      <w:b/>
    </w:rPr>
  </w:style>
  <w:style w:type="paragraph" w:styleId="ListNumber">
    <w:name w:val="List Number"/>
    <w:basedOn w:val="List"/>
    <w:rsid w:val="00F94697"/>
    <w:pPr>
      <w:numPr>
        <w:numId w:val="15"/>
      </w:numPr>
      <w:tabs>
        <w:tab w:val="clear" w:pos="340"/>
      </w:tabs>
    </w:pPr>
  </w:style>
  <w:style w:type="character" w:customStyle="1" w:styleId="WingdingSymbols">
    <w:name w:val="Wingding Symbols"/>
    <w:rsid w:val="00F94697"/>
    <w:rPr>
      <w:rFonts w:ascii="Wingdings" w:hAnsi="Wingdings"/>
    </w:rPr>
  </w:style>
  <w:style w:type="paragraph" w:customStyle="1" w:styleId="TableHeading">
    <w:name w:val="Table Heading"/>
    <w:basedOn w:val="HeadingBase"/>
    <w:rsid w:val="00F94697"/>
    <w:pPr>
      <w:keepLines/>
      <w:pBdr>
        <w:bottom w:val="single" w:sz="6" w:space="1" w:color="918585"/>
      </w:pBdr>
      <w:spacing w:before="240"/>
    </w:pPr>
  </w:style>
  <w:style w:type="character" w:customStyle="1" w:styleId="HotSpot">
    <w:name w:val="HotSpot"/>
    <w:rsid w:val="00F94697"/>
    <w:rPr>
      <w:color w:val="0033CC"/>
      <w:u w:val="none"/>
    </w:rPr>
  </w:style>
  <w:style w:type="paragraph" w:customStyle="1" w:styleId="BodyTextRight">
    <w:name w:val="Body Text Right"/>
    <w:basedOn w:val="BodyText"/>
    <w:rsid w:val="00F94697"/>
    <w:pPr>
      <w:spacing w:before="0" w:after="0"/>
      <w:jc w:val="right"/>
    </w:pPr>
  </w:style>
  <w:style w:type="paragraph" w:styleId="Index3">
    <w:name w:val="index 3"/>
    <w:basedOn w:val="ListNumber2"/>
    <w:next w:val="Normal"/>
    <w:semiHidden/>
    <w:rsid w:val="00F94697"/>
    <w:pPr>
      <w:numPr>
        <w:numId w:val="0"/>
      </w:numPr>
      <w:tabs>
        <w:tab w:val="right" w:leader="dot" w:pos="4176"/>
      </w:tabs>
    </w:pPr>
  </w:style>
  <w:style w:type="paragraph" w:styleId="ListNumber2">
    <w:name w:val="List Number 2"/>
    <w:basedOn w:val="List2"/>
    <w:rsid w:val="00F94697"/>
    <w:pPr>
      <w:numPr>
        <w:numId w:val="10"/>
      </w:numPr>
      <w:tabs>
        <w:tab w:val="clear" w:pos="1060"/>
      </w:tabs>
    </w:pPr>
  </w:style>
  <w:style w:type="paragraph" w:customStyle="1" w:styleId="MarginNote">
    <w:name w:val="Margin Note"/>
    <w:basedOn w:val="BodyText"/>
    <w:rsid w:val="00F94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6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697"/>
    <w:rPr>
      <w:sz w:val="32"/>
    </w:rPr>
  </w:style>
  <w:style w:type="paragraph" w:customStyle="1" w:styleId="HeadingProcedure">
    <w:name w:val="Heading Procedure"/>
    <w:basedOn w:val="HeadingBase"/>
    <w:next w:val="Normal"/>
    <w:rsid w:val="00F94697"/>
    <w:pPr>
      <w:tabs>
        <w:tab w:val="left" w:pos="0"/>
      </w:tabs>
      <w:spacing w:before="120" w:after="60"/>
    </w:pPr>
    <w:rPr>
      <w:i/>
      <w:color w:val="918585"/>
      <w:sz w:val="22"/>
    </w:rPr>
  </w:style>
  <w:style w:type="paragraph" w:customStyle="1" w:styleId="TableBodyText">
    <w:name w:val="Table Body Text"/>
    <w:basedOn w:val="BodyText"/>
    <w:rsid w:val="00F94697"/>
    <w:pPr>
      <w:spacing w:before="60" w:after="60"/>
    </w:pPr>
  </w:style>
  <w:style w:type="paragraph" w:styleId="ListContinue">
    <w:name w:val="List Continue"/>
    <w:basedOn w:val="List"/>
    <w:rsid w:val="00F94697"/>
    <w:pPr>
      <w:ind w:firstLine="0"/>
    </w:pPr>
  </w:style>
  <w:style w:type="paragraph" w:customStyle="1" w:styleId="ListNote">
    <w:name w:val="List Note"/>
    <w:basedOn w:val="List"/>
    <w:rsid w:val="00F94697"/>
    <w:pPr>
      <w:pBdr>
        <w:top w:val="single" w:sz="6" w:space="2" w:color="918585"/>
        <w:bottom w:val="single" w:sz="6" w:space="2" w:color="918585"/>
      </w:pBdr>
      <w:tabs>
        <w:tab w:val="left" w:pos="1021"/>
      </w:tabs>
      <w:ind w:firstLine="0"/>
    </w:pPr>
  </w:style>
  <w:style w:type="paragraph" w:customStyle="1" w:styleId="Warning">
    <w:name w:val="Warning"/>
    <w:basedOn w:val="BodyText"/>
    <w:rsid w:val="00F94697"/>
    <w:pPr>
      <w:shd w:val="clear" w:color="auto" w:fill="D9D9D9"/>
      <w:tabs>
        <w:tab w:val="left" w:pos="992"/>
      </w:tabs>
      <w:ind w:left="119" w:right="119"/>
    </w:pPr>
    <w:rPr>
      <w:sz w:val="20"/>
    </w:rPr>
  </w:style>
  <w:style w:type="paragraph" w:customStyle="1" w:styleId="MarginIcons">
    <w:name w:val="Margin Icons"/>
    <w:basedOn w:val="BodyText"/>
    <w:rsid w:val="00F94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697"/>
    <w:rPr>
      <w:rFonts w:ascii="Courier New" w:hAnsi="Courier New"/>
    </w:rPr>
  </w:style>
  <w:style w:type="paragraph" w:customStyle="1" w:styleId="NoteBullet">
    <w:name w:val="Note Bullet"/>
    <w:basedOn w:val="Note"/>
    <w:rsid w:val="00F94697"/>
    <w:pPr>
      <w:tabs>
        <w:tab w:val="clear" w:pos="680"/>
      </w:tabs>
      <w:spacing w:before="60" w:after="60"/>
    </w:pPr>
  </w:style>
  <w:style w:type="paragraph" w:customStyle="1" w:styleId="SubHeading2">
    <w:name w:val="SubHeading2"/>
    <w:basedOn w:val="HeadingBase"/>
    <w:rsid w:val="00F94697"/>
    <w:pPr>
      <w:spacing w:before="240" w:after="60"/>
    </w:pPr>
    <w:rPr>
      <w:sz w:val="20"/>
    </w:rPr>
  </w:style>
  <w:style w:type="paragraph" w:customStyle="1" w:styleId="SubHeading1">
    <w:name w:val="SubHeading1"/>
    <w:basedOn w:val="HeadingBase"/>
    <w:rsid w:val="00F94697"/>
    <w:pPr>
      <w:spacing w:before="240" w:after="60"/>
    </w:pPr>
    <w:rPr>
      <w:color w:val="918585"/>
      <w:sz w:val="22"/>
    </w:rPr>
  </w:style>
  <w:style w:type="paragraph" w:customStyle="1" w:styleId="SideHeading">
    <w:name w:val="Side Heading"/>
    <w:basedOn w:val="HeadingBase"/>
    <w:rsid w:val="00F94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697"/>
    <w:pPr>
      <w:tabs>
        <w:tab w:val="num" w:pos="360"/>
      </w:tabs>
    </w:pPr>
  </w:style>
  <w:style w:type="paragraph" w:styleId="PlainText">
    <w:name w:val="Plain Text"/>
    <w:basedOn w:val="Normal"/>
    <w:link w:val="PlainTextChar"/>
    <w:rsid w:val="00F94697"/>
    <w:rPr>
      <w:sz w:val="20"/>
    </w:rPr>
  </w:style>
  <w:style w:type="character" w:customStyle="1" w:styleId="PlainTextChar">
    <w:name w:val="Plain Text Char"/>
    <w:basedOn w:val="DefaultParagraphFont"/>
    <w:link w:val="PlainText"/>
    <w:rsid w:val="00F94697"/>
    <w:rPr>
      <w:rFonts w:ascii="Courier New" w:eastAsia="Times New Roman" w:hAnsi="Courier New" w:cs="Times New Roman"/>
      <w:sz w:val="20"/>
      <w:szCs w:val="20"/>
      <w:lang w:eastAsia="en-US"/>
    </w:rPr>
  </w:style>
  <w:style w:type="character" w:customStyle="1" w:styleId="MenuOption">
    <w:name w:val="Menu Option"/>
    <w:basedOn w:val="DefaultParagraphFont"/>
    <w:rsid w:val="00F94697"/>
    <w:rPr>
      <w:b/>
      <w:smallCaps/>
    </w:rPr>
  </w:style>
  <w:style w:type="paragraph" w:customStyle="1" w:styleId="TableListNumber">
    <w:name w:val="Table List Number"/>
    <w:basedOn w:val="ListNumber"/>
    <w:rsid w:val="00F94697"/>
    <w:pPr>
      <w:numPr>
        <w:numId w:val="0"/>
      </w:numPr>
    </w:pPr>
  </w:style>
  <w:style w:type="paragraph" w:styleId="TOC4">
    <w:name w:val="toc 4"/>
    <w:basedOn w:val="TOCBase"/>
    <w:next w:val="Normal"/>
    <w:semiHidden/>
    <w:rsid w:val="00F94697"/>
    <w:pPr>
      <w:tabs>
        <w:tab w:val="right" w:leader="dot" w:pos="9071"/>
      </w:tabs>
      <w:ind w:left="1701"/>
    </w:pPr>
  </w:style>
  <w:style w:type="paragraph" w:customStyle="1" w:styleId="ListAlpha">
    <w:name w:val="List Alpha"/>
    <w:basedOn w:val="List"/>
    <w:rsid w:val="00F94697"/>
    <w:pPr>
      <w:numPr>
        <w:numId w:val="9"/>
      </w:numPr>
    </w:pPr>
  </w:style>
  <w:style w:type="paragraph" w:customStyle="1" w:styleId="ListAlpha2">
    <w:name w:val="List Alpha 2"/>
    <w:basedOn w:val="List2"/>
    <w:rsid w:val="00F94697"/>
    <w:pPr>
      <w:numPr>
        <w:numId w:val="8"/>
      </w:numPr>
    </w:pPr>
  </w:style>
  <w:style w:type="paragraph" w:styleId="List2">
    <w:name w:val="List 2"/>
    <w:basedOn w:val="BodyText"/>
    <w:rsid w:val="00F94697"/>
    <w:pPr>
      <w:tabs>
        <w:tab w:val="left" w:pos="680"/>
      </w:tabs>
      <w:spacing w:before="60" w:after="60"/>
      <w:ind w:left="680" w:hanging="340"/>
    </w:pPr>
  </w:style>
  <w:style w:type="paragraph" w:styleId="List3">
    <w:name w:val="List 3"/>
    <w:basedOn w:val="BodyText"/>
    <w:rsid w:val="00F94697"/>
    <w:pPr>
      <w:tabs>
        <w:tab w:val="left" w:pos="1021"/>
      </w:tabs>
      <w:spacing w:before="60" w:after="60"/>
      <w:ind w:left="1020" w:hanging="340"/>
    </w:pPr>
  </w:style>
  <w:style w:type="paragraph" w:styleId="List4">
    <w:name w:val="List 4"/>
    <w:basedOn w:val="BodyText"/>
    <w:rsid w:val="00F94697"/>
    <w:pPr>
      <w:tabs>
        <w:tab w:val="left" w:pos="1361"/>
      </w:tabs>
      <w:spacing w:before="60" w:after="60"/>
      <w:ind w:left="1361" w:hanging="340"/>
    </w:pPr>
  </w:style>
  <w:style w:type="paragraph" w:styleId="List5">
    <w:name w:val="List 5"/>
    <w:basedOn w:val="BodyText"/>
    <w:rsid w:val="00F94697"/>
    <w:pPr>
      <w:tabs>
        <w:tab w:val="left" w:pos="1701"/>
      </w:tabs>
      <w:spacing w:before="60" w:after="60"/>
      <w:ind w:left="1701" w:hanging="340"/>
    </w:pPr>
  </w:style>
  <w:style w:type="paragraph" w:styleId="ListBullet3">
    <w:name w:val="List Bullet 3"/>
    <w:basedOn w:val="List3"/>
    <w:rsid w:val="00F94697"/>
    <w:pPr>
      <w:numPr>
        <w:numId w:val="14"/>
      </w:numPr>
      <w:tabs>
        <w:tab w:val="clear" w:pos="1021"/>
      </w:tabs>
      <w:ind w:left="1037" w:hanging="357"/>
    </w:pPr>
  </w:style>
  <w:style w:type="paragraph" w:styleId="ListBullet4">
    <w:name w:val="List Bullet 4"/>
    <w:basedOn w:val="List4"/>
    <w:rsid w:val="00F94697"/>
    <w:pPr>
      <w:numPr>
        <w:numId w:val="3"/>
      </w:numPr>
      <w:tabs>
        <w:tab w:val="clear" w:pos="1361"/>
      </w:tabs>
    </w:pPr>
  </w:style>
  <w:style w:type="paragraph" w:styleId="ListBullet5">
    <w:name w:val="List Bullet 5"/>
    <w:basedOn w:val="List5"/>
    <w:rsid w:val="00F94697"/>
    <w:pPr>
      <w:numPr>
        <w:numId w:val="4"/>
      </w:numPr>
    </w:pPr>
  </w:style>
  <w:style w:type="paragraph" w:styleId="ListContinue2">
    <w:name w:val="List Continue 2"/>
    <w:basedOn w:val="List2"/>
    <w:rsid w:val="00F94697"/>
    <w:pPr>
      <w:ind w:firstLine="0"/>
    </w:pPr>
  </w:style>
  <w:style w:type="paragraph" w:styleId="ListContinue3">
    <w:name w:val="List Continue 3"/>
    <w:basedOn w:val="List3"/>
    <w:rsid w:val="00F94697"/>
    <w:pPr>
      <w:ind w:left="1021" w:firstLine="0"/>
    </w:pPr>
  </w:style>
  <w:style w:type="paragraph" w:styleId="ListContinue4">
    <w:name w:val="List Continue 4"/>
    <w:basedOn w:val="List4"/>
    <w:rsid w:val="00F94697"/>
    <w:pPr>
      <w:ind w:firstLine="0"/>
    </w:pPr>
  </w:style>
  <w:style w:type="paragraph" w:styleId="ListContinue5">
    <w:name w:val="List Continue 5"/>
    <w:basedOn w:val="List5"/>
    <w:rsid w:val="00F94697"/>
    <w:pPr>
      <w:ind w:firstLine="0"/>
    </w:pPr>
  </w:style>
  <w:style w:type="paragraph" w:styleId="ListNumber3">
    <w:name w:val="List Number 3"/>
    <w:basedOn w:val="List3"/>
    <w:rsid w:val="00F94697"/>
    <w:pPr>
      <w:numPr>
        <w:numId w:val="5"/>
      </w:numPr>
    </w:pPr>
  </w:style>
  <w:style w:type="paragraph" w:styleId="ListNumber4">
    <w:name w:val="List Number 4"/>
    <w:basedOn w:val="List4"/>
    <w:rsid w:val="00F94697"/>
    <w:pPr>
      <w:numPr>
        <w:numId w:val="6"/>
      </w:numPr>
    </w:pPr>
  </w:style>
  <w:style w:type="paragraph" w:styleId="ListNumber5">
    <w:name w:val="List Number 5"/>
    <w:basedOn w:val="List5"/>
    <w:rsid w:val="00F94697"/>
    <w:pPr>
      <w:numPr>
        <w:numId w:val="7"/>
      </w:numPr>
    </w:pPr>
  </w:style>
  <w:style w:type="paragraph" w:styleId="BlockText">
    <w:name w:val="Block Text"/>
    <w:basedOn w:val="Normal"/>
    <w:rsid w:val="00F94697"/>
    <w:pPr>
      <w:spacing w:after="120"/>
      <w:ind w:left="1440" w:right="1440"/>
    </w:pPr>
  </w:style>
  <w:style w:type="character" w:customStyle="1" w:styleId="Subscript">
    <w:name w:val="Subscript"/>
    <w:basedOn w:val="DefaultParagraphFont"/>
    <w:rsid w:val="00F94697"/>
    <w:rPr>
      <w:sz w:val="16"/>
      <w:vertAlign w:val="subscript"/>
    </w:rPr>
  </w:style>
  <w:style w:type="character" w:customStyle="1" w:styleId="Superscript">
    <w:name w:val="Superscript"/>
    <w:basedOn w:val="DefaultParagraphFont"/>
    <w:rsid w:val="00F94697"/>
    <w:rPr>
      <w:sz w:val="16"/>
      <w:vertAlign w:val="superscript"/>
    </w:rPr>
  </w:style>
  <w:style w:type="character" w:customStyle="1" w:styleId="Symbols">
    <w:name w:val="Symbols"/>
    <w:basedOn w:val="DefaultParagraphFont"/>
    <w:rsid w:val="00F94697"/>
    <w:rPr>
      <w:rFonts w:ascii="Symbol" w:hAnsi="Symbol"/>
    </w:rPr>
  </w:style>
  <w:style w:type="character" w:customStyle="1" w:styleId="MenuOptions">
    <w:name w:val="Menu Options"/>
    <w:basedOn w:val="DefaultParagraphFont"/>
    <w:rsid w:val="00F94697"/>
    <w:rPr>
      <w:rFonts w:ascii="Arial Narrow" w:hAnsi="Arial Narrow"/>
      <w:smallCaps/>
    </w:rPr>
  </w:style>
  <w:style w:type="character" w:customStyle="1" w:styleId="Buttons">
    <w:name w:val="Buttons"/>
    <w:basedOn w:val="DefaultParagraphFont"/>
    <w:rsid w:val="00F94697"/>
    <w:rPr>
      <w:b/>
    </w:rPr>
  </w:style>
  <w:style w:type="character" w:customStyle="1" w:styleId="Underlined">
    <w:name w:val="Underlined"/>
    <w:basedOn w:val="DefaultParagraphFont"/>
    <w:rsid w:val="00F94697"/>
    <w:rPr>
      <w:u w:val="single"/>
    </w:rPr>
  </w:style>
  <w:style w:type="paragraph" w:customStyle="1" w:styleId="TableBodyTextRight">
    <w:name w:val="Table Body Text Right"/>
    <w:basedOn w:val="TableBodyText"/>
    <w:rsid w:val="00F94697"/>
    <w:pPr>
      <w:widowControl w:val="0"/>
      <w:autoSpaceDE w:val="0"/>
      <w:autoSpaceDN w:val="0"/>
      <w:adjustRightInd w:val="0"/>
      <w:jc w:val="right"/>
    </w:pPr>
    <w:rPr>
      <w:rFonts w:cs="Arial"/>
      <w:szCs w:val="18"/>
    </w:rPr>
  </w:style>
  <w:style w:type="paragraph" w:customStyle="1" w:styleId="CopyrightText">
    <w:name w:val="Copyright Text"/>
    <w:basedOn w:val="BodyText"/>
    <w:rsid w:val="00F94697"/>
    <w:rPr>
      <w:sz w:val="18"/>
    </w:rPr>
  </w:style>
  <w:style w:type="paragraph" w:customStyle="1" w:styleId="BodySmallRight">
    <w:name w:val="Body Small Right"/>
    <w:basedOn w:val="BodyTextRight"/>
    <w:rsid w:val="00F94697"/>
    <w:rPr>
      <w:sz w:val="18"/>
      <w:szCs w:val="18"/>
    </w:rPr>
  </w:style>
  <w:style w:type="paragraph" w:customStyle="1" w:styleId="MarginEdition">
    <w:name w:val="Margin Edition"/>
    <w:basedOn w:val="MarginNote"/>
    <w:rsid w:val="00F94697"/>
    <w:pPr>
      <w:spacing w:before="0" w:after="0"/>
    </w:pPr>
    <w:rPr>
      <w:rFonts w:ascii="Times New Roman" w:hAnsi="Times New Roman"/>
      <w:color w:val="999999"/>
    </w:rPr>
  </w:style>
  <w:style w:type="paragraph" w:customStyle="1" w:styleId="Spacer">
    <w:name w:val="Spacer"/>
    <w:basedOn w:val="Normal"/>
    <w:rsid w:val="00F94697"/>
    <w:rPr>
      <w:sz w:val="2"/>
      <w:szCs w:val="2"/>
    </w:rPr>
  </w:style>
  <w:style w:type="character" w:customStyle="1" w:styleId="Small">
    <w:name w:val="Small"/>
    <w:basedOn w:val="DefaultParagraphFont"/>
    <w:rsid w:val="00F94697"/>
    <w:rPr>
      <w:sz w:val="16"/>
    </w:rPr>
  </w:style>
  <w:style w:type="paragraph" w:customStyle="1" w:styleId="WideTable">
    <w:name w:val="Wide Table"/>
    <w:basedOn w:val="Normal"/>
    <w:rsid w:val="00F94697"/>
    <w:pPr>
      <w:ind w:left="-1418"/>
    </w:pPr>
    <w:rPr>
      <w:sz w:val="2"/>
      <w:szCs w:val="2"/>
    </w:rPr>
  </w:style>
  <w:style w:type="character" w:styleId="PageNumber">
    <w:name w:val="page number"/>
    <w:basedOn w:val="DefaultParagraphFont"/>
    <w:rsid w:val="00F94697"/>
  </w:style>
  <w:style w:type="paragraph" w:styleId="Quote">
    <w:name w:val="Quote"/>
    <w:basedOn w:val="Heading1"/>
    <w:link w:val="QuoteChar"/>
    <w:qFormat/>
    <w:rsid w:val="00F94697"/>
    <w:rPr>
      <w:b w:val="0"/>
      <w:sz w:val="72"/>
      <w:szCs w:val="72"/>
      <w:lang w:val="en-NZ"/>
    </w:rPr>
  </w:style>
  <w:style w:type="character" w:customStyle="1" w:styleId="QuoteChar">
    <w:name w:val="Quote Char"/>
    <w:basedOn w:val="DefaultParagraphFont"/>
    <w:link w:val="Quote"/>
    <w:rsid w:val="00F94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697"/>
    <w:pPr>
      <w:pageBreakBefore/>
    </w:pPr>
  </w:style>
  <w:style w:type="paragraph" w:customStyle="1" w:styleId="Border">
    <w:name w:val="Border"/>
    <w:basedOn w:val="Normal"/>
    <w:qFormat/>
    <w:rsid w:val="00F94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697"/>
    <w:rPr>
      <w:b/>
      <w:bCs/>
      <w:i/>
      <w:iCs/>
      <w:color w:val="auto"/>
    </w:rPr>
  </w:style>
  <w:style w:type="paragraph" w:styleId="IntenseQuote">
    <w:name w:val="Intense Quote"/>
    <w:basedOn w:val="Normal"/>
    <w:next w:val="Normal"/>
    <w:link w:val="IntenseQuoteChar"/>
    <w:uiPriority w:val="30"/>
    <w:qFormat/>
    <w:rsid w:val="00F94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6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697"/>
    <w:rPr>
      <w:smallCaps/>
      <w:color w:val="auto"/>
      <w:u w:val="single"/>
    </w:rPr>
  </w:style>
  <w:style w:type="character" w:styleId="IntenseReference">
    <w:name w:val="Intense Reference"/>
    <w:basedOn w:val="DefaultParagraphFont"/>
    <w:uiPriority w:val="32"/>
    <w:qFormat/>
    <w:rsid w:val="00F94697"/>
    <w:rPr>
      <w:b/>
      <w:bCs/>
      <w:smallCaps/>
      <w:color w:val="auto"/>
      <w:spacing w:val="5"/>
      <w:u w:val="single"/>
    </w:rPr>
  </w:style>
  <w:style w:type="paragraph" w:customStyle="1" w:styleId="2ColumnHeading">
    <w:name w:val="2Column Heading"/>
    <w:basedOn w:val="BodyText"/>
    <w:qFormat/>
    <w:rsid w:val="00F94697"/>
    <w:pPr>
      <w:spacing w:after="60"/>
      <w:ind w:left="-2268"/>
    </w:pPr>
    <w:rPr>
      <w:b/>
    </w:rPr>
  </w:style>
  <w:style w:type="paragraph" w:customStyle="1" w:styleId="Heading1TOC">
    <w:name w:val="Heading1 TOC"/>
    <w:basedOn w:val="Normal"/>
    <w:qFormat/>
    <w:rsid w:val="00F94697"/>
    <w:pPr>
      <w:spacing w:before="240" w:after="120"/>
    </w:pPr>
    <w:rPr>
      <w:rFonts w:ascii="Times New Roman" w:hAnsi="Times New Roman"/>
      <w:b/>
      <w:sz w:val="32"/>
    </w:rPr>
  </w:style>
  <w:style w:type="paragraph" w:customStyle="1" w:styleId="Heading2TOC">
    <w:name w:val="Heading2 TOC"/>
    <w:basedOn w:val="Normal"/>
    <w:qFormat/>
    <w:rsid w:val="00F94697"/>
    <w:pPr>
      <w:spacing w:before="240" w:after="60"/>
    </w:pPr>
    <w:rPr>
      <w:rFonts w:ascii="Times New Roman" w:hAnsi="Times New Roman"/>
      <w:b/>
      <w:sz w:val="28"/>
    </w:rPr>
  </w:style>
  <w:style w:type="character" w:customStyle="1" w:styleId="Underline">
    <w:name w:val="Underline"/>
    <w:basedOn w:val="DefaultParagraphFont"/>
    <w:qFormat/>
    <w:rsid w:val="00F94697"/>
    <w:rPr>
      <w:u w:val="single"/>
    </w:rPr>
  </w:style>
  <w:style w:type="character" w:customStyle="1" w:styleId="BoldandItalics">
    <w:name w:val="Bold and Italics"/>
    <w:qFormat/>
    <w:rsid w:val="00F94697"/>
    <w:rPr>
      <w:b/>
      <w:i/>
      <w:u w:val="none"/>
    </w:rPr>
  </w:style>
  <w:style w:type="paragraph" w:styleId="BalloonText">
    <w:name w:val="Balloon Text"/>
    <w:basedOn w:val="Normal"/>
    <w:link w:val="BalloonTextChar"/>
    <w:rsid w:val="00F94697"/>
    <w:rPr>
      <w:rFonts w:ascii="Tahoma" w:hAnsi="Tahoma" w:cs="Tahoma"/>
      <w:sz w:val="16"/>
      <w:szCs w:val="16"/>
    </w:rPr>
  </w:style>
  <w:style w:type="character" w:customStyle="1" w:styleId="BalloonTextChar">
    <w:name w:val="Balloon Text Char"/>
    <w:basedOn w:val="DefaultParagraphFont"/>
    <w:link w:val="BalloonText"/>
    <w:rsid w:val="00F946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6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6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697"/>
    <w:rPr>
      <w:b/>
      <w:color w:val="660033"/>
      <w:spacing w:val="0"/>
    </w:rPr>
  </w:style>
  <w:style w:type="paragraph" w:customStyle="1" w:styleId="Nameditemlist">
    <w:name w:val="Named item list"/>
    <w:basedOn w:val="BodyText"/>
    <w:qFormat/>
    <w:rsid w:val="00F94697"/>
    <w:pPr>
      <w:tabs>
        <w:tab w:val="left" w:pos="2835"/>
      </w:tabs>
      <w:ind w:left="2835" w:hanging="2835"/>
    </w:pPr>
  </w:style>
  <w:style w:type="paragraph" w:customStyle="1" w:styleId="BodyTextnopadding">
    <w:name w:val="Body Text no padding"/>
    <w:basedOn w:val="BodyText"/>
    <w:qFormat/>
    <w:rsid w:val="00F94697"/>
    <w:pPr>
      <w:spacing w:before="0" w:after="0"/>
    </w:pPr>
  </w:style>
  <w:style w:type="paragraph" w:customStyle="1" w:styleId="BodyTextBold">
    <w:name w:val="Body Text Bold"/>
    <w:basedOn w:val="BodyText"/>
    <w:qFormat/>
    <w:rsid w:val="00F94697"/>
    <w:rPr>
      <w:b/>
    </w:rPr>
  </w:style>
  <w:style w:type="character" w:styleId="Hyperlink">
    <w:name w:val="Hyperlink"/>
    <w:basedOn w:val="DefaultParagraphFont"/>
    <w:uiPriority w:val="99"/>
    <w:unhideWhenUsed/>
    <w:rsid w:val="006E2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6493</Characters>
  <Application>Microsoft Office Word</Application>
  <DocSecurity>0</DocSecurity>
  <Lines>185</Lines>
  <Paragraphs>104</Paragraphs>
  <ScaleCrop>false</ScaleCrop>
  <Company>Author-it Software Corporation Ltd.</Company>
  <LinksUpToDate>false</LinksUpToDate>
  <CharactersWithSpaces>7389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MEA239 Fabricate aircraft electrical looms and harnesses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