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659" w:rsidP="00502659">
      <w:pPr>
        <w:pStyle w:val="Title"/>
      </w:pPr>
      <w:r>
        <w:fldChar w:fldCharType="begin"/>
      </w:r>
      <w:r>
        <w:instrText xml:space="preserve"> TITLE   \* MERGEFORMAT </w:instrText>
      </w:r>
      <w:r>
        <w:fldChar w:fldCharType="separate"/>
      </w:r>
      <w:r>
        <w:t>Assessment Requirements for MEA228 Test and troubleshoot aircraft instrument systems and components</w:t>
      </w:r>
      <w:r>
        <w:fldChar w:fldCharType="end"/>
      </w:r>
    </w:p>
    <w:p w:rsidR="00502659" w:rsidP="00502659">
      <w:pPr>
        <w:pStyle w:val="Version"/>
        <w:sectPr w:rsidSect="007912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12DB" w:rsidP="007912DB">
      <w:pPr>
        <w:pStyle w:val="SuperHeading"/>
      </w:pPr>
      <w:r w:rsidRPr="007912DB">
        <w:t>Assessment Requirements for MEA228 Test and troubleshoot aircraft instrument systems and components</w:t>
      </w:r>
    </w:p>
    <w:p w:rsidR="00000000" w:rsidRPr="007912DB" w:rsidP="007912DB">
      <w:pPr>
        <w:pStyle w:val="Heading1"/>
      </w:pPr>
      <w:bookmarkStart w:id="1" w:name="O_1006385"/>
      <w:bookmarkEnd w:id="1"/>
      <w:r w:rsidRPr="007912DB">
        <w:t>Modification History</w:t>
      </w:r>
    </w:p>
    <w:p w:rsidR="00000000" w:rsidRPr="007912DB" w:rsidP="00502659">
      <w:pPr>
        <w:pStyle w:val="BodyText"/>
      </w:pPr>
      <w:r w:rsidRPr="007912DB">
        <w:t>Release 2. Equivalent to MEA228 Test and trou</w:t>
      </w:r>
      <w:r w:rsidRPr="007912DB">
        <w:t>bleshoot aircraft instrument systems and components with amended unit name in Assessment Conditions.</w:t>
      </w:r>
    </w:p>
    <w:p w:rsidR="00000000" w:rsidRPr="007912DB" w:rsidP="007912DB">
      <w:pPr>
        <w:pStyle w:val="Heading1"/>
      </w:pPr>
      <w:bookmarkStart w:id="2" w:name="O_1006384"/>
      <w:bookmarkEnd w:id="2"/>
      <w:r w:rsidRPr="007912DB">
        <w:t>Performance Evidence</w:t>
      </w:r>
    </w:p>
    <w:p w:rsidR="00000000" w:rsidRPr="007912DB" w:rsidP="00502659">
      <w:pPr>
        <w:pStyle w:val="BodyText"/>
      </w:pPr>
      <w:r w:rsidRPr="007912DB">
        <w:t>Evidence required to demonstrate competency in this unit must be relevant to and satisfy all of the requirements of</w:t>
      </w:r>
      <w:r w:rsidRPr="007912DB">
        <w:t xml:space="preserve"> the elements and performance criteria under the specified conditions of assessment, and must include:</w:t>
      </w:r>
    </w:p>
    <w:p w:rsidR="00000000" w:rsidRPr="007912DB" w:rsidP="007912DB">
      <w:pPr>
        <w:pStyle w:val="ListBullet"/>
      </w:pPr>
      <w:r w:rsidRPr="007912DB">
        <w:t>using hand skills, tools and test equipment in the testing, adjustment and troubleshooting of instrument and display systems</w:t>
      </w:r>
    </w:p>
    <w:p w:rsidR="00000000" w:rsidRPr="007912DB" w:rsidP="007912DB">
      <w:pPr>
        <w:pStyle w:val="ListBullet"/>
      </w:pPr>
      <w:r w:rsidRPr="007912DB">
        <w:t>recognition of system and c</w:t>
      </w:r>
      <w:r w:rsidRPr="007912DB">
        <w:t>omponent defects/external damage, correct installation, connection of plugs, terminations, and attaching hardware (including cabling/harnesses) for the systems listed in Range of Conditions</w:t>
      </w:r>
    </w:p>
    <w:p w:rsidR="00000000" w:rsidRPr="007912DB" w:rsidP="007912DB">
      <w:pPr>
        <w:pStyle w:val="ListBullet"/>
      </w:pPr>
      <w:r w:rsidRPr="007912DB">
        <w:t>interpreting the information presented on instrument and display s</w:t>
      </w:r>
      <w:r w:rsidRPr="007912DB">
        <w:t>ystems</w:t>
      </w:r>
    </w:p>
    <w:p w:rsidR="00000000" w:rsidRPr="007912DB" w:rsidP="007912DB">
      <w:pPr>
        <w:pStyle w:val="ListBullet"/>
      </w:pPr>
      <w:r w:rsidRPr="007912DB">
        <w:t>applying logic processes and using appropriate wiring diagrams and manuals to isolate instrument and display system malfunctions</w:t>
      </w:r>
    </w:p>
    <w:p w:rsidR="00000000" w:rsidRPr="007912DB" w:rsidP="007912DB">
      <w:pPr>
        <w:pStyle w:val="ListBullet"/>
      </w:pPr>
      <w:r w:rsidRPr="007912DB">
        <w:t>performing system functional tests and checks to isolate system faults and assess post-maintenance serviceability</w:t>
      </w:r>
    </w:p>
    <w:p w:rsidR="00000000" w:rsidRPr="007912DB" w:rsidP="007912DB">
      <w:pPr>
        <w:pStyle w:val="ListBullet"/>
      </w:pPr>
      <w:r w:rsidRPr="007912DB">
        <w:t>effect</w:t>
      </w:r>
      <w:r w:rsidRPr="007912DB">
        <w:t>ively using maintenance documentation and relevant fault diagnosis guides in the troubleshooting process</w:t>
      </w:r>
    </w:p>
    <w:p w:rsidR="00000000" w:rsidRPr="007912DB" w:rsidP="007912DB">
      <w:pPr>
        <w:pStyle w:val="ListBullet"/>
      </w:pPr>
      <w:r w:rsidRPr="007912DB">
        <w:t>applying standard procedures</w:t>
      </w:r>
    </w:p>
    <w:p w:rsidR="00000000" w:rsidRPr="007912DB" w:rsidP="007912DB">
      <w:pPr>
        <w:pStyle w:val="ListBullet"/>
      </w:pPr>
      <w:r w:rsidRPr="007912DB">
        <w:t>observing all relevant WHS procedures.</w:t>
      </w:r>
    </w:p>
    <w:p w:rsidR="00000000" w:rsidRPr="007912DB" w:rsidP="00502659">
      <w:pPr>
        <w:pStyle w:val="BodyText"/>
      </w:pPr>
      <w:r w:rsidRPr="007912DB">
        <w:t>It is essential that system testing procedures, cleanliness requirements and safety</w:t>
      </w:r>
      <w:r w:rsidRPr="007912DB">
        <w:t xml:space="preserve"> precautions applicable to the instrument system being maintained are fully observed, understood and complied with. Ability to interpret inspection procedures and specifications (allowable limits) and apply them in practice across a range of inspection, te</w:t>
      </w:r>
      <w:r w:rsidRPr="007912DB">
        <w:t xml:space="preserve">sting and troubleshooting applications (including the timely involvement of supervisors or other trades) is critical. </w:t>
      </w:r>
    </w:p>
    <w:p w:rsidR="00502659" w:rsidP="00502659">
      <w:pPr>
        <w:pStyle w:val="BodyText"/>
      </w:pPr>
      <w:r w:rsidRPr="007912DB">
        <w:t>Evidence of transferability of skills and knowledge related to testing and troubleshooting is essential. This may be demonstrated through</w:t>
      </w:r>
      <w:r w:rsidRPr="007912DB">
        <w:t xml:space="preserve"> application across a range of aircraft instrument and display systems (where display systems are applicable to the enterprise) listed in the Assessment Conditions. </w:t>
      </w:r>
    </w:p>
    <w:p w:rsidR="00000000" w:rsidRPr="007912DB" w:rsidP="007912DB">
      <w:pPr>
        <w:pStyle w:val="Heading1"/>
      </w:pPr>
      <w:bookmarkStart w:id="3" w:name="O_1006383"/>
      <w:bookmarkEnd w:id="3"/>
      <w:r w:rsidRPr="007912DB">
        <w:t>Knowledge Evidence</w:t>
      </w:r>
    </w:p>
    <w:p w:rsidR="00000000" w:rsidRPr="007912DB" w:rsidP="00502659">
      <w:pPr>
        <w:pStyle w:val="BodyText"/>
      </w:pPr>
      <w:r w:rsidRPr="007912DB">
        <w:t>Evidence required to demonstrate competency in this</w:t>
      </w:r>
      <w:r w:rsidRPr="007912DB">
        <w:t xml:space="preserve"> unit must be relevant to and satisfy all of the requirements of the elements and performance criteria and include knowledge of:</w:t>
      </w:r>
    </w:p>
    <w:p w:rsidR="00000000" w:rsidRPr="007912DB" w:rsidP="007912DB">
      <w:pPr>
        <w:pStyle w:val="ListBullet"/>
      </w:pPr>
      <w:r w:rsidRPr="007912DB">
        <w:t>standard trade practices relating to tool and test equipment usage and installation/securing of system components</w:t>
      </w:r>
    </w:p>
    <w:p w:rsidR="00000000" w:rsidRPr="007912DB" w:rsidP="007912DB">
      <w:pPr>
        <w:pStyle w:val="ListBullet"/>
      </w:pPr>
      <w:r w:rsidRPr="007912DB">
        <w:t>the basic la</w:t>
      </w:r>
      <w:r w:rsidRPr="007912DB">
        <w:t>yout (block diagram level) of the systems listed in the Range of Conditions</w:t>
      </w:r>
    </w:p>
    <w:p w:rsidR="00000000" w:rsidRPr="007912DB" w:rsidP="007912DB">
      <w:pPr>
        <w:pStyle w:val="ListBullet"/>
      </w:pPr>
      <w:r w:rsidRPr="007912DB">
        <w:t>the operating principles of the systems listed in the Range of Conditions and associated with:</w:t>
      </w:r>
    </w:p>
    <w:p w:rsidR="00000000" w:rsidRPr="007912DB" w:rsidP="007912DB">
      <w:pPr>
        <w:pStyle w:val="ListBullet2"/>
      </w:pPr>
      <w:r w:rsidRPr="007912DB">
        <w:t>the properties and effects of atmospheric conditions on aircraft instruments and systems</w:t>
      </w:r>
    </w:p>
    <w:p w:rsidR="00000000" w:rsidRPr="007912DB" w:rsidP="007912DB">
      <w:pPr>
        <w:pStyle w:val="ListBullet2"/>
      </w:pPr>
      <w:r w:rsidRPr="007912DB">
        <w:t>pressure and temperature sensing elements and their use in aircraft instruments</w:t>
      </w:r>
    </w:p>
    <w:p w:rsidR="00000000" w:rsidRPr="007912DB" w:rsidP="007912DB">
      <w:pPr>
        <w:pStyle w:val="ListBullet2"/>
      </w:pPr>
      <w:r w:rsidRPr="007912DB">
        <w:t>gyroscopes and their use in aircraft instrument and reference systems</w:t>
      </w:r>
    </w:p>
    <w:p w:rsidR="00000000" w:rsidRPr="007912DB" w:rsidP="007912DB">
      <w:pPr>
        <w:pStyle w:val="ListBullet2"/>
      </w:pPr>
      <w:r w:rsidRPr="007912DB">
        <w:t>electrical fundam</w:t>
      </w:r>
      <w:r w:rsidRPr="007912DB">
        <w:t>entals and display screen generation</w:t>
      </w:r>
    </w:p>
    <w:p w:rsidR="00000000" w:rsidRPr="007912DB" w:rsidP="007912DB">
      <w:pPr>
        <w:pStyle w:val="ListBullet"/>
      </w:pPr>
      <w:r w:rsidRPr="007912DB">
        <w:t>the various methods of navigation and how they are used by both conventional and electronic navigational instruments and systems</w:t>
      </w:r>
    </w:p>
    <w:p w:rsidR="00000000" w:rsidRPr="007912DB" w:rsidP="007912DB">
      <w:pPr>
        <w:pStyle w:val="ListBullet"/>
      </w:pPr>
      <w:r w:rsidRPr="007912DB">
        <w:t>maintenance requirements and troubleshooting procedures</w:t>
      </w:r>
    </w:p>
    <w:p w:rsidR="00000000" w:rsidRPr="007912DB" w:rsidP="007912DB">
      <w:pPr>
        <w:pStyle w:val="ListBullet"/>
      </w:pPr>
      <w:r w:rsidRPr="007912DB">
        <w:t>WHS procedures relating to instru</w:t>
      </w:r>
      <w:r w:rsidRPr="007912DB">
        <w:t>ment and display systems and components</w:t>
      </w:r>
    </w:p>
    <w:p w:rsidR="00000000" w:rsidRPr="007912DB" w:rsidP="007912DB">
      <w:pPr>
        <w:pStyle w:val="ListBullet"/>
      </w:pPr>
      <w:r w:rsidRPr="007912DB">
        <w:t>relevant maintenance manuals</w:t>
      </w:r>
    </w:p>
    <w:p w:rsidR="00000000" w:rsidRPr="007912DB" w:rsidP="007912DB">
      <w:pPr>
        <w:pStyle w:val="ListBullet"/>
      </w:pPr>
      <w:r w:rsidRPr="007912DB">
        <w:t>relevant regulatory requirements and standard procedures, including software management control.</w:t>
      </w:r>
    </w:p>
    <w:p w:rsidR="00000000" w:rsidRPr="007912DB" w:rsidP="007912DB">
      <w:pPr>
        <w:pStyle w:val="AllowPageBreak"/>
      </w:pPr>
    </w:p>
    <w:p w:rsidR="00000000" w:rsidRPr="007912DB" w:rsidP="007912DB">
      <w:pPr>
        <w:pStyle w:val="Heading1"/>
      </w:pPr>
      <w:bookmarkStart w:id="4" w:name="O_1006382"/>
      <w:bookmarkEnd w:id="4"/>
      <w:r w:rsidRPr="007912DB">
        <w:t>Assessment Conditions</w:t>
      </w:r>
    </w:p>
    <w:p w:rsidR="00000000" w:rsidRPr="007912DB" w:rsidP="007912DB">
      <w:pPr>
        <w:pStyle w:val="ListBullet"/>
      </w:pPr>
      <w:r w:rsidRPr="007912DB">
        <w:t>Competency should be assessed in the work enviro</w:t>
      </w:r>
      <w:r w:rsidRPr="007912DB">
        <w:t>nment or simulated work environment, using procedures, tools and equipment specified in maintenance documentation. It is also expected that general purpose tools, test and ground support equipment found in most routine situations would be used where approp</w:t>
      </w:r>
      <w:r w:rsidRPr="007912DB">
        <w:t>riate. The level of troubleshooting is limited in its application to the use of fault diagnosis guides or other similar information to enable troubleshooting to line replaceable item level.</w:t>
      </w:r>
    </w:p>
    <w:p w:rsidR="00000000" w:rsidRPr="007912DB" w:rsidP="007912DB">
      <w:pPr>
        <w:pStyle w:val="ListBullet"/>
      </w:pPr>
      <w:r w:rsidRPr="007912DB">
        <w:t>The application of testing procedures should clearly indicate know</w:t>
      </w:r>
      <w:r w:rsidRPr="007912DB">
        <w:t>ledge of system operation, the relationship of individual components and the links with other systems (if applicable) within the limits of the aircraft/system fault-finding guide before undertaking any action. The work plan should take account of applicabl</w:t>
      </w:r>
      <w:r w:rsidRPr="007912DB">
        <w:t>e safety and quality requirements in accordance with the industry and regulatory standards.</w:t>
      </w:r>
    </w:p>
    <w:p w:rsidR="00000000" w:rsidRPr="007912DB" w:rsidP="007912DB">
      <w:pPr>
        <w:pStyle w:val="ListBullet"/>
      </w:pPr>
      <w:r w:rsidRPr="007912DB">
        <w:t>The following conditions of assessment represent the requirements of the Regulators (ADF and CASA) and maintenance stakeholders and must be rigorously observed.</w:t>
      </w:r>
    </w:p>
    <w:p w:rsidR="00000000" w:rsidRPr="007912DB" w:rsidP="007912DB">
      <w:pPr>
        <w:pStyle w:val="ListBullet"/>
      </w:pPr>
      <w:r w:rsidRPr="007912DB">
        <w:t xml:space="preserve">A person cannot be assessed as competent until it can be demonstrated to the satisfaction of the workplace assessor that the relevant elements and performance criteria of this unit of competency are being achieved under routine supervision on a system and </w:t>
      </w:r>
      <w:r w:rsidRPr="007912DB">
        <w:t>on at least one (1) major system component of each of the following groups:</w:t>
      </w:r>
    </w:p>
    <w:p w:rsidR="00000000" w:rsidRPr="007912DB" w:rsidP="007912DB">
      <w:pPr>
        <w:pStyle w:val="ListBullet2"/>
      </w:pPr>
      <w:r w:rsidRPr="007912DB">
        <w:t>flight instruments – pitot/static systems, ASIs, machmeters, air data systems and instruments, VSIs, altimeters, altitude alerting and reporting, turn and bank, DGs, AHs, angle of</w:t>
      </w:r>
      <w:r w:rsidRPr="007912DB">
        <w:t xml:space="preserve"> attack, stall warning/avoidance, GPWS and FDRs</w:t>
      </w:r>
    </w:p>
    <w:p w:rsidR="00000000" w:rsidRPr="007912DB" w:rsidP="007912DB">
      <w:pPr>
        <w:pStyle w:val="ListBullet2"/>
      </w:pPr>
      <w:r w:rsidRPr="007912DB">
        <w:t>engine Instruments – engine speed, pressure, temperature, performance, vibration and torque</w:t>
      </w:r>
    </w:p>
    <w:p w:rsidR="00000000" w:rsidRPr="007912DB" w:rsidP="007912DB">
      <w:pPr>
        <w:pStyle w:val="ListBullet2"/>
      </w:pPr>
      <w:r w:rsidRPr="007912DB">
        <w:t>instrument navigation systems – INS, IRS, compasses and AHRS</w:t>
      </w:r>
    </w:p>
    <w:p w:rsidR="00000000" w:rsidRPr="007912DB" w:rsidP="007912DB">
      <w:pPr>
        <w:pStyle w:val="ListBullet2"/>
      </w:pPr>
      <w:r w:rsidRPr="007912DB">
        <w:t>miscellaneous – pressure, fuel quantity, fuel flow, pos</w:t>
      </w:r>
      <w:r w:rsidRPr="007912DB">
        <w:t>ition, voltage, frequency, current and power</w:t>
      </w:r>
    </w:p>
    <w:p w:rsidR="00000000" w:rsidRPr="007912DB" w:rsidP="007912DB">
      <w:pPr>
        <w:pStyle w:val="ListBullet2"/>
      </w:pPr>
      <w:r w:rsidRPr="007912DB">
        <w:t>display systems – EFIS, EICAS, FMCS, ECAM and HUD (may be omitted if not applicable to the enterprise)</w:t>
      </w:r>
    </w:p>
    <w:p w:rsidR="00000000" w:rsidRPr="007912DB" w:rsidP="007912DB">
      <w:pPr>
        <w:pStyle w:val="ListBullet2"/>
      </w:pPr>
      <w:r w:rsidRPr="007912DB">
        <w:t>integrated modular avionics (may be omitted if not applicable to the enterprise).</w:t>
      </w:r>
    </w:p>
    <w:p w:rsidR="00000000" w:rsidRPr="007912DB" w:rsidP="007912DB">
      <w:pPr>
        <w:pStyle w:val="ListBullet"/>
      </w:pPr>
      <w:r w:rsidRPr="007912DB">
        <w:t>This shall be established</w:t>
      </w:r>
      <w:r w:rsidRPr="007912DB">
        <w:t xml:space="preserve"> via the records in the Log of Industrial Experience and Achievement or, where appropriate, an equivalent Industry Evidence Guide (for details refer to the Companion Volume Assessment Guidelines).</w:t>
      </w:r>
    </w:p>
    <w:p w:rsidR="00000000" w:rsidRPr="007912DB" w:rsidP="007912DB">
      <w:pPr>
        <w:pStyle w:val="ListBullet"/>
      </w:pPr>
      <w:r w:rsidRPr="007912DB">
        <w:t>Assessors must satisfy the requirements of the National Voc</w:t>
      </w:r>
      <w:r w:rsidRPr="007912DB">
        <w:t>ational Education and Training Regulator (Australian Skills Quality Authority, or its successors).</w:t>
      </w:r>
    </w:p>
    <w:p w:rsidR="00000000" w:rsidRPr="007912DB" w:rsidP="007912DB">
      <w:pPr>
        <w:pStyle w:val="ListBullet"/>
      </w:pPr>
      <w:r w:rsidRPr="007912DB">
        <w:t>Where the unit is to be used for CASA licensing purposes the Assessor must also meet the criteria specified in the CASR Part 147 Manual of Standards.</w:t>
      </w:r>
    </w:p>
    <w:p w:rsidR="00000000" w:rsidRPr="007912DB" w:rsidP="007912DB">
      <w:pPr>
        <w:pStyle w:val="ListBullet"/>
      </w:pPr>
      <w:r w:rsidRPr="007912DB">
        <w:t>Individ</w:t>
      </w:r>
      <w:r w:rsidRPr="007912DB">
        <w:t>uals being assessed who have already attained MEA213 Inspect, test and troubleshoot advanced aircraft instrument systems and components, will have covered a significant proportion of the Performance Criteria for Elements 1, 2 and 3 and will have covered ma</w:t>
      </w:r>
      <w:r w:rsidRPr="007912DB">
        <w:t>ny of the Range of Conditions variables. The Log of Industrial Experience and Achievement records relating to MEA213 Inspect, test and troubleshoot advanced aircraft instrument systems and components, may be accepted as also meeting the evidence requiremen</w:t>
      </w:r>
      <w:r w:rsidRPr="007912DB">
        <w:t xml:space="preserve">ts for this unit in the applicable areas. </w:t>
      </w:r>
    </w:p>
    <w:p w:rsidR="00000000" w:rsidRPr="007912DB" w:rsidP="007912DB">
      <w:pPr>
        <w:pStyle w:val="ListBullet"/>
      </w:pPr>
      <w:r w:rsidRPr="007912DB">
        <w:t>The relationship between MEA213 Inspect, test and troubleshoot advanced aircraft instrument systems and components and MEA212 Inspect, test and troubleshoot basic aircraft instrument systems and components, may al</w:t>
      </w:r>
      <w:r w:rsidRPr="007912DB">
        <w:t>so be taken into account where MEA212 Inspect, test and troubleshoot basic aircraft instrument systems and components has been attained, but not MEA213 Inspect, test and troubleshoot advanced aircraft instrument systems and components. Advice in MEA212 Ins</w:t>
      </w:r>
      <w:r w:rsidRPr="007912DB">
        <w:t>pect, test and troubleshoot basic aircraft instrument systems and components regarding the coverage of MEA275 Maintain basic light aircraft instrument systems and components, may also be taken into consideration where applicable.</w:t>
      </w:r>
    </w:p>
    <w:p w:rsidR="00000000" w:rsidRPr="007912DB" w:rsidP="007912DB">
      <w:pPr>
        <w:pStyle w:val="AllowPageBreak"/>
      </w:pPr>
    </w:p>
    <w:p w:rsidR="00000000" w:rsidRPr="007912DB" w:rsidP="007912DB">
      <w:pPr>
        <w:pStyle w:val="Heading1"/>
      </w:pPr>
      <w:bookmarkStart w:id="5" w:name="O_1006397"/>
      <w:bookmarkEnd w:id="5"/>
      <w:r w:rsidRPr="007912DB">
        <w:t>Links</w:t>
      </w:r>
    </w:p>
    <w:p w:rsidR="00000000" w:rsidRPr="007912DB" w:rsidP="00502659">
      <w:pPr>
        <w:pStyle w:val="BodyText"/>
      </w:pPr>
      <w:r w:rsidRPr="007912D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1500">
        <w:rPr>
          <w:rStyle w:val="Hyperlink"/>
        </w:rPr>
        <w:t>https://vetnet.gov.au/Pages/TrainingDocs.aspx?q=ce216c9c-04d5-4b3b-9bcf-4e81d0950371</w:t>
      </w:r>
      <w:r>
        <w:fldChar w:fldCharType="end"/>
      </w:r>
    </w:p>
    <w:p w:rsidR="00000000" w:rsidRPr="007912DB" w:rsidP="007912DB"/>
    <w:sectPr w:rsidSect="007912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DB" w:rsidRPr="00502659" w:rsidP="00502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59" w:rsidP="00791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659" w:rsidP="007912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2659" w:rsidP="007912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2DB" w:rsidRPr="00502659" w:rsidP="005026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59" w:rsidRPr="002D2AF8" w:rsidP="007912DB">
    <w:pPr>
      <w:pStyle w:val="Header"/>
      <w:framePr w:wrap="around"/>
    </w:pPr>
    <w:r>
      <w:fldChar w:fldCharType="begin"/>
    </w:r>
    <w:r>
      <w:instrText xml:space="preserve"> TITLE   \* MERGEFORMAT </w:instrText>
    </w:r>
    <w:r>
      <w:fldChar w:fldCharType="separate"/>
    </w:r>
    <w:r>
      <w:t>Assessment Requirements for MEA228 Test and troubleshoot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02659" w:rsidP="00791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9E1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29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4E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2DB"/>
    <w:pPr>
      <w:spacing w:before="360" w:after="60"/>
      <w:outlineLvl w:val="0"/>
    </w:pPr>
    <w:rPr>
      <w:sz w:val="32"/>
    </w:rPr>
  </w:style>
  <w:style w:type="paragraph" w:styleId="Heading2">
    <w:name w:val="heading 2"/>
    <w:basedOn w:val="HeadingBase"/>
    <w:next w:val="BodyText"/>
    <w:link w:val="Heading2Char"/>
    <w:qFormat/>
    <w:rsid w:val="007912DB"/>
    <w:pPr>
      <w:keepLines/>
      <w:spacing w:before="240" w:after="120"/>
      <w:outlineLvl w:val="1"/>
    </w:pPr>
    <w:rPr>
      <w:sz w:val="28"/>
      <w:szCs w:val="40"/>
    </w:rPr>
  </w:style>
  <w:style w:type="paragraph" w:styleId="Heading3">
    <w:name w:val="heading 3"/>
    <w:basedOn w:val="HeadingBase"/>
    <w:next w:val="BodyText"/>
    <w:link w:val="Heading3Char"/>
    <w:qFormat/>
    <w:rsid w:val="007912DB"/>
    <w:pPr>
      <w:spacing w:before="180" w:after="120"/>
      <w:outlineLvl w:val="2"/>
    </w:pPr>
    <w:rPr>
      <w:spacing w:val="-10"/>
      <w:kern w:val="32"/>
    </w:rPr>
  </w:style>
  <w:style w:type="paragraph" w:styleId="Heading4">
    <w:name w:val="heading 4"/>
    <w:basedOn w:val="HeadingBase"/>
    <w:next w:val="BodyText"/>
    <w:link w:val="Heading4Char"/>
    <w:qFormat/>
    <w:rsid w:val="007912DB"/>
    <w:pPr>
      <w:spacing w:before="160" w:after="120"/>
      <w:outlineLvl w:val="3"/>
    </w:pPr>
    <w:rPr>
      <w:sz w:val="22"/>
    </w:rPr>
  </w:style>
  <w:style w:type="paragraph" w:styleId="Heading5">
    <w:name w:val="heading 5"/>
    <w:basedOn w:val="HeadingBase"/>
    <w:next w:val="Normal"/>
    <w:link w:val="Heading5Char"/>
    <w:qFormat/>
    <w:rsid w:val="007912DB"/>
    <w:pPr>
      <w:spacing w:before="80"/>
      <w:outlineLvl w:val="4"/>
    </w:pPr>
    <w:rPr>
      <w:color w:val="918585"/>
      <w:sz w:val="20"/>
    </w:rPr>
  </w:style>
  <w:style w:type="paragraph" w:styleId="Heading6">
    <w:name w:val="heading 6"/>
    <w:basedOn w:val="HeadingBase"/>
    <w:next w:val="Normal"/>
    <w:link w:val="Heading6Char"/>
    <w:qFormat/>
    <w:rsid w:val="007912DB"/>
    <w:pPr>
      <w:spacing w:before="60"/>
      <w:outlineLvl w:val="5"/>
    </w:pPr>
    <w:rPr>
      <w:color w:val="918585"/>
      <w:sz w:val="20"/>
    </w:rPr>
  </w:style>
  <w:style w:type="paragraph" w:styleId="Heading7">
    <w:name w:val="heading 7"/>
    <w:basedOn w:val="Normal"/>
    <w:next w:val="Normal"/>
    <w:link w:val="Heading7Char"/>
    <w:qFormat/>
    <w:rsid w:val="007912DB"/>
    <w:pPr>
      <w:ind w:left="720"/>
      <w:outlineLvl w:val="6"/>
    </w:pPr>
    <w:rPr>
      <w:i/>
    </w:rPr>
  </w:style>
  <w:style w:type="paragraph" w:styleId="Heading8">
    <w:name w:val="heading 8"/>
    <w:basedOn w:val="Normal"/>
    <w:next w:val="Normal"/>
    <w:link w:val="Heading8Char"/>
    <w:qFormat/>
    <w:rsid w:val="007912DB"/>
    <w:pPr>
      <w:ind w:left="720"/>
      <w:outlineLvl w:val="7"/>
    </w:pPr>
    <w:rPr>
      <w:i/>
    </w:rPr>
  </w:style>
  <w:style w:type="paragraph" w:styleId="Heading9">
    <w:name w:val="heading 9"/>
    <w:basedOn w:val="Normal"/>
    <w:next w:val="Normal"/>
    <w:link w:val="Heading9Char"/>
    <w:qFormat/>
    <w:rsid w:val="007912DB"/>
    <w:pPr>
      <w:ind w:left="720"/>
      <w:outlineLvl w:val="8"/>
    </w:pPr>
    <w:rPr>
      <w:i/>
    </w:rPr>
  </w:style>
  <w:style w:type="character" w:default="1" w:styleId="DefaultParagraphFont">
    <w:name w:val="Default Paragraph Font"/>
    <w:uiPriority w:val="1"/>
    <w:unhideWhenUsed/>
    <w:rsid w:val="00791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2DB"/>
  </w:style>
  <w:style w:type="character" w:customStyle="1" w:styleId="Heading1Char">
    <w:name w:val="Heading 1 Char"/>
    <w:basedOn w:val="DefaultParagraphFont"/>
    <w:link w:val="Heading1"/>
    <w:rsid w:val="007912DB"/>
    <w:rPr>
      <w:rFonts w:ascii="Times New Roman" w:eastAsia="Times New Roman" w:hAnsi="Times New Roman" w:cs="Times New Roman"/>
      <w:b/>
      <w:sz w:val="32"/>
      <w:szCs w:val="20"/>
      <w:lang w:eastAsia="en-US"/>
    </w:rPr>
  </w:style>
  <w:style w:type="paragraph" w:styleId="BodyText">
    <w:name w:val="Body Text"/>
    <w:basedOn w:val="Normal"/>
    <w:link w:val="BodyTextChar"/>
    <w:rsid w:val="007912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2DB"/>
    <w:rPr>
      <w:rFonts w:ascii="Times New Roman" w:eastAsia="Times New Roman" w:hAnsi="Times New Roman" w:cs="Times New Roman"/>
      <w:sz w:val="24"/>
      <w:lang w:eastAsia="en-US"/>
    </w:rPr>
  </w:style>
  <w:style w:type="paragraph" w:styleId="ListBullet">
    <w:name w:val="List Bullet"/>
    <w:basedOn w:val="List"/>
    <w:rsid w:val="007912DB"/>
    <w:pPr>
      <w:numPr>
        <w:numId w:val="12"/>
      </w:numPr>
      <w:tabs>
        <w:tab w:val="clear" w:pos="340"/>
      </w:tabs>
      <w:spacing w:before="40" w:after="40"/>
    </w:pPr>
  </w:style>
  <w:style w:type="paragraph" w:styleId="ListBullet2">
    <w:name w:val="List Bullet 2"/>
    <w:basedOn w:val="List2"/>
    <w:rsid w:val="007912DB"/>
    <w:pPr>
      <w:numPr>
        <w:numId w:val="13"/>
      </w:numPr>
      <w:tabs>
        <w:tab w:val="clear" w:pos="680"/>
      </w:tabs>
    </w:pPr>
  </w:style>
  <w:style w:type="paragraph" w:customStyle="1" w:styleId="SuperHeading">
    <w:name w:val="SuperHeading"/>
    <w:basedOn w:val="Normal"/>
    <w:rsid w:val="007912DB"/>
    <w:pPr>
      <w:spacing w:before="240" w:after="120"/>
      <w:outlineLvl w:val="0"/>
    </w:pPr>
    <w:rPr>
      <w:rFonts w:ascii="Times New Roman" w:hAnsi="Times New Roman"/>
      <w:b/>
      <w:sz w:val="32"/>
    </w:rPr>
  </w:style>
  <w:style w:type="paragraph" w:customStyle="1" w:styleId="AllowPageBreak">
    <w:name w:val="AllowPageBreak"/>
    <w:rsid w:val="00791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2DB"/>
    <w:rPr>
      <w:rFonts w:ascii="Courier New" w:eastAsia="Times New Roman" w:hAnsi="Courier New" w:cs="Times New Roman"/>
      <w:i/>
      <w:szCs w:val="20"/>
      <w:lang w:eastAsia="en-US"/>
    </w:rPr>
  </w:style>
  <w:style w:type="paragraph" w:customStyle="1" w:styleId="HeadingBase">
    <w:name w:val="Heading Base"/>
    <w:rsid w:val="00791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2DB"/>
    <w:pPr>
      <w:tabs>
        <w:tab w:val="right" w:leader="dot" w:pos="9072"/>
      </w:tabs>
      <w:ind w:left="567"/>
    </w:pPr>
    <w:rPr>
      <w:szCs w:val="22"/>
    </w:rPr>
  </w:style>
  <w:style w:type="paragraph" w:customStyle="1" w:styleId="TOCBase">
    <w:name w:val="TOC Base"/>
    <w:rsid w:val="00791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2DB"/>
    <w:pPr>
      <w:tabs>
        <w:tab w:val="right" w:leader="dot" w:pos="9072"/>
      </w:tabs>
      <w:spacing w:before="40" w:after="40"/>
      <w:ind w:left="284"/>
    </w:pPr>
    <w:rPr>
      <w:rFonts w:ascii="Times New Roman" w:hAnsi="Times New Roman"/>
    </w:rPr>
  </w:style>
  <w:style w:type="paragraph" w:styleId="TOC1">
    <w:name w:val="toc 1"/>
    <w:basedOn w:val="TOCBase"/>
    <w:next w:val="Normal"/>
    <w:rsid w:val="00791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2DB"/>
    <w:rPr>
      <w:rFonts w:ascii="Times New Roman" w:eastAsia="Times New Roman" w:hAnsi="Times New Roman" w:cs="Times New Roman"/>
      <w:sz w:val="16"/>
      <w:lang w:eastAsia="en-US"/>
    </w:rPr>
  </w:style>
  <w:style w:type="paragraph" w:styleId="Title">
    <w:name w:val="Title"/>
    <w:basedOn w:val="HeadingBase"/>
    <w:link w:val="TitleChar"/>
    <w:qFormat/>
    <w:rsid w:val="007912DB"/>
    <w:pPr>
      <w:spacing w:before="5040"/>
      <w:jc w:val="center"/>
    </w:pPr>
    <w:rPr>
      <w:sz w:val="48"/>
      <w:szCs w:val="72"/>
      <w:lang w:val="en-US"/>
    </w:rPr>
  </w:style>
  <w:style w:type="character" w:customStyle="1" w:styleId="TitleChar">
    <w:name w:val="Title Char"/>
    <w:basedOn w:val="DefaultParagraphFont"/>
    <w:link w:val="Title"/>
    <w:rsid w:val="00791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2DB"/>
    <w:pPr>
      <w:tabs>
        <w:tab w:val="left" w:pos="3600"/>
        <w:tab w:val="left" w:pos="3958"/>
      </w:tabs>
    </w:pPr>
  </w:style>
  <w:style w:type="paragraph" w:styleId="List">
    <w:name w:val="List"/>
    <w:basedOn w:val="BodyText"/>
    <w:next w:val="BodyText"/>
    <w:rsid w:val="007912DB"/>
    <w:pPr>
      <w:tabs>
        <w:tab w:val="left" w:pos="340"/>
      </w:tabs>
      <w:spacing w:before="60" w:after="60"/>
      <w:ind w:left="340" w:hanging="340"/>
    </w:pPr>
  </w:style>
  <w:style w:type="paragraph" w:customStyle="1" w:styleId="Note">
    <w:name w:val="Note"/>
    <w:basedOn w:val="BodyText"/>
    <w:rsid w:val="007912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12DB"/>
    <w:rPr>
      <w:b/>
      <w:spacing w:val="0"/>
    </w:rPr>
  </w:style>
  <w:style w:type="paragraph" w:customStyle="1" w:styleId="SuperTitle">
    <w:name w:val="SuperTitle"/>
    <w:basedOn w:val="Title"/>
    <w:rsid w:val="007912DB"/>
    <w:pPr>
      <w:framePr w:wrap="auto" w:hAnchor="text" w:y="6049"/>
    </w:pPr>
    <w:rPr>
      <w:color w:val="000000"/>
      <w:sz w:val="40"/>
    </w:rPr>
  </w:style>
  <w:style w:type="paragraph" w:customStyle="1" w:styleId="TOCTitle">
    <w:name w:val="TOCTitle"/>
    <w:basedOn w:val="Heading1"/>
    <w:rsid w:val="007912DB"/>
    <w:pPr>
      <w:spacing w:after="240"/>
      <w:jc w:val="center"/>
      <w:outlineLvl w:val="9"/>
    </w:pPr>
    <w:rPr>
      <w:caps/>
    </w:rPr>
  </w:style>
  <w:style w:type="paragraph" w:customStyle="1" w:styleId="Version">
    <w:name w:val="Version"/>
    <w:rsid w:val="007912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2DB"/>
    <w:pPr>
      <w:keepNext w:val="0"/>
      <w:tabs>
        <w:tab w:val="right" w:pos="4176"/>
      </w:tabs>
      <w:ind w:left="198" w:hanging="198"/>
    </w:pPr>
    <w:rPr>
      <w:rFonts w:ascii="Garamond" w:hAnsi="Garamond"/>
    </w:rPr>
  </w:style>
  <w:style w:type="paragraph" w:styleId="IndexHeading">
    <w:name w:val="index heading"/>
    <w:basedOn w:val="Normal"/>
    <w:next w:val="Index1"/>
    <w:semiHidden/>
    <w:rsid w:val="007912DB"/>
    <w:pPr>
      <w:spacing w:before="120" w:after="120"/>
    </w:pPr>
    <w:rPr>
      <w:rFonts w:ascii="Arial" w:hAnsi="Arial"/>
      <w:b/>
      <w:color w:val="918585"/>
      <w:sz w:val="24"/>
    </w:rPr>
  </w:style>
  <w:style w:type="paragraph" w:styleId="Header">
    <w:name w:val="header"/>
    <w:basedOn w:val="Normal"/>
    <w:link w:val="HeaderChar"/>
    <w:rsid w:val="00791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2DB"/>
    <w:rPr>
      <w:rFonts w:ascii="Times New Roman" w:eastAsia="Times New Roman" w:hAnsi="Times New Roman" w:cs="Times New Roman"/>
      <w:sz w:val="16"/>
      <w:szCs w:val="20"/>
      <w:lang w:val="en-GB" w:eastAsia="en-US"/>
    </w:rPr>
  </w:style>
  <w:style w:type="paragraph" w:customStyle="1" w:styleId="Chapter">
    <w:name w:val="Chapter"/>
    <w:basedOn w:val="Normal"/>
    <w:rsid w:val="007912DB"/>
    <w:pPr>
      <w:spacing w:before="240"/>
    </w:pPr>
    <w:rPr>
      <w:rFonts w:ascii="Times New Roman" w:hAnsi="Times New Roman"/>
      <w:smallCaps/>
      <w:spacing w:val="80"/>
      <w:sz w:val="28"/>
    </w:rPr>
  </w:style>
  <w:style w:type="paragraph" w:customStyle="1" w:styleId="InChapter">
    <w:name w:val="InChapter"/>
    <w:basedOn w:val="Heading3"/>
    <w:rsid w:val="007912DB"/>
    <w:pPr>
      <w:spacing w:after="240"/>
      <w:outlineLvl w:val="9"/>
    </w:pPr>
    <w:rPr>
      <w:noProof/>
    </w:rPr>
  </w:style>
  <w:style w:type="paragraph" w:styleId="Index2">
    <w:name w:val="index 2"/>
    <w:basedOn w:val="Normal"/>
    <w:next w:val="Normal"/>
    <w:semiHidden/>
    <w:rsid w:val="007912DB"/>
    <w:pPr>
      <w:tabs>
        <w:tab w:val="right" w:pos="4176"/>
      </w:tabs>
      <w:ind w:left="568" w:hanging="284"/>
    </w:pPr>
    <w:rPr>
      <w:rFonts w:ascii="Garamond" w:hAnsi="Garamond"/>
    </w:rPr>
  </w:style>
  <w:style w:type="paragraph" w:customStyle="1" w:styleId="Byline">
    <w:name w:val="Byline"/>
    <w:rsid w:val="00791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2DB"/>
    <w:pPr>
      <w:tabs>
        <w:tab w:val="clear" w:pos="3600"/>
        <w:tab w:val="clear" w:pos="3958"/>
      </w:tabs>
      <w:jc w:val="right"/>
    </w:pPr>
  </w:style>
  <w:style w:type="character" w:styleId="Emphasis">
    <w:name w:val="Emphasis"/>
    <w:basedOn w:val="DefaultParagraphFont"/>
    <w:qFormat/>
    <w:rsid w:val="007912DB"/>
    <w:rPr>
      <w:i/>
    </w:rPr>
  </w:style>
  <w:style w:type="paragraph" w:styleId="Caption">
    <w:name w:val="caption"/>
    <w:basedOn w:val="BodyText"/>
    <w:next w:val="Normal"/>
    <w:qFormat/>
    <w:rsid w:val="007912DB"/>
    <w:pPr>
      <w:framePr w:w="2268" w:hSpace="181" w:vSpace="181" w:wrap="around" w:vAnchor="text" w:hAnchor="page" w:x="1135" w:y="285" w:anchorLock="1"/>
    </w:pPr>
    <w:rPr>
      <w:i/>
    </w:rPr>
  </w:style>
  <w:style w:type="paragraph" w:customStyle="1" w:styleId="MiniTOCTitle">
    <w:name w:val="MiniTOCTitle"/>
    <w:basedOn w:val="Heading4"/>
    <w:rsid w:val="007912DB"/>
    <w:pPr>
      <w:spacing w:before="240"/>
      <w:outlineLvl w:val="9"/>
    </w:pPr>
    <w:rPr>
      <w:noProof/>
      <w:sz w:val="24"/>
    </w:rPr>
  </w:style>
  <w:style w:type="paragraph" w:customStyle="1" w:styleId="MiniTOCItem">
    <w:name w:val="MiniTOCItem"/>
    <w:basedOn w:val="ListBullet"/>
    <w:rsid w:val="007912DB"/>
    <w:pPr>
      <w:numPr>
        <w:numId w:val="0"/>
      </w:numPr>
      <w:tabs>
        <w:tab w:val="right" w:leader="dot" w:pos="6521"/>
      </w:tabs>
      <w:spacing w:before="0" w:after="0"/>
    </w:pPr>
  </w:style>
  <w:style w:type="paragraph" w:customStyle="1" w:styleId="TOFTitle">
    <w:name w:val="TOFTitle"/>
    <w:basedOn w:val="TOCTitle"/>
    <w:rsid w:val="007912DB"/>
  </w:style>
  <w:style w:type="paragraph" w:styleId="TableofFigures">
    <w:name w:val="table of figures"/>
    <w:basedOn w:val="Normal"/>
    <w:next w:val="Normal"/>
    <w:semiHidden/>
    <w:rsid w:val="007912DB"/>
    <w:pPr>
      <w:tabs>
        <w:tab w:val="right" w:leader="dot" w:pos="9072"/>
      </w:tabs>
      <w:ind w:left="970" w:hanging="403"/>
    </w:pPr>
    <w:rPr>
      <w:rFonts w:ascii="Times New Roman" w:hAnsi="Times New Roman"/>
      <w:b/>
    </w:rPr>
  </w:style>
  <w:style w:type="paragraph" w:styleId="ListNumber">
    <w:name w:val="List Number"/>
    <w:basedOn w:val="List"/>
    <w:rsid w:val="007912DB"/>
    <w:pPr>
      <w:numPr>
        <w:numId w:val="15"/>
      </w:numPr>
      <w:tabs>
        <w:tab w:val="clear" w:pos="340"/>
      </w:tabs>
    </w:pPr>
  </w:style>
  <w:style w:type="character" w:customStyle="1" w:styleId="WingdingSymbols">
    <w:name w:val="Wingding Symbols"/>
    <w:rsid w:val="007912DB"/>
    <w:rPr>
      <w:rFonts w:ascii="Wingdings" w:hAnsi="Wingdings"/>
    </w:rPr>
  </w:style>
  <w:style w:type="paragraph" w:customStyle="1" w:styleId="TableHeading">
    <w:name w:val="Table Heading"/>
    <w:basedOn w:val="HeadingBase"/>
    <w:rsid w:val="007912DB"/>
    <w:pPr>
      <w:keepLines/>
      <w:pBdr>
        <w:bottom w:val="single" w:sz="6" w:space="1" w:color="918585"/>
      </w:pBdr>
      <w:spacing w:before="240"/>
    </w:pPr>
  </w:style>
  <w:style w:type="character" w:customStyle="1" w:styleId="HotSpot">
    <w:name w:val="HotSpot"/>
    <w:rsid w:val="007912DB"/>
    <w:rPr>
      <w:color w:val="0033CC"/>
      <w:u w:val="none"/>
    </w:rPr>
  </w:style>
  <w:style w:type="paragraph" w:customStyle="1" w:styleId="BodyTextRight">
    <w:name w:val="Body Text Right"/>
    <w:basedOn w:val="BodyText"/>
    <w:rsid w:val="007912DB"/>
    <w:pPr>
      <w:spacing w:before="0" w:after="0"/>
      <w:jc w:val="right"/>
    </w:pPr>
  </w:style>
  <w:style w:type="paragraph" w:styleId="Index3">
    <w:name w:val="index 3"/>
    <w:basedOn w:val="ListNumber2"/>
    <w:next w:val="Normal"/>
    <w:semiHidden/>
    <w:rsid w:val="007912DB"/>
    <w:pPr>
      <w:numPr>
        <w:numId w:val="0"/>
      </w:numPr>
      <w:tabs>
        <w:tab w:val="right" w:leader="dot" w:pos="4176"/>
      </w:tabs>
    </w:pPr>
  </w:style>
  <w:style w:type="paragraph" w:styleId="ListNumber2">
    <w:name w:val="List Number 2"/>
    <w:basedOn w:val="List2"/>
    <w:rsid w:val="007912DB"/>
    <w:pPr>
      <w:numPr>
        <w:numId w:val="10"/>
      </w:numPr>
      <w:tabs>
        <w:tab w:val="clear" w:pos="1060"/>
      </w:tabs>
    </w:pPr>
  </w:style>
  <w:style w:type="paragraph" w:customStyle="1" w:styleId="MarginNote">
    <w:name w:val="Margin Note"/>
    <w:basedOn w:val="BodyText"/>
    <w:rsid w:val="00791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2DB"/>
    <w:rPr>
      <w:sz w:val="32"/>
    </w:rPr>
  </w:style>
  <w:style w:type="paragraph" w:customStyle="1" w:styleId="HeadingProcedure">
    <w:name w:val="Heading Procedure"/>
    <w:basedOn w:val="HeadingBase"/>
    <w:next w:val="Normal"/>
    <w:rsid w:val="007912DB"/>
    <w:pPr>
      <w:tabs>
        <w:tab w:val="left" w:pos="0"/>
      </w:tabs>
      <w:spacing w:before="120" w:after="60"/>
    </w:pPr>
    <w:rPr>
      <w:i/>
      <w:color w:val="918585"/>
      <w:sz w:val="22"/>
    </w:rPr>
  </w:style>
  <w:style w:type="paragraph" w:customStyle="1" w:styleId="TableBodyText">
    <w:name w:val="Table Body Text"/>
    <w:basedOn w:val="BodyText"/>
    <w:rsid w:val="007912DB"/>
    <w:pPr>
      <w:spacing w:before="60" w:after="60"/>
    </w:pPr>
  </w:style>
  <w:style w:type="paragraph" w:styleId="ListContinue">
    <w:name w:val="List Continue"/>
    <w:basedOn w:val="List"/>
    <w:rsid w:val="007912DB"/>
    <w:pPr>
      <w:ind w:firstLine="0"/>
    </w:pPr>
  </w:style>
  <w:style w:type="paragraph" w:customStyle="1" w:styleId="ListNote">
    <w:name w:val="List Note"/>
    <w:basedOn w:val="List"/>
    <w:rsid w:val="007912DB"/>
    <w:pPr>
      <w:pBdr>
        <w:top w:val="single" w:sz="6" w:space="2" w:color="918585"/>
        <w:bottom w:val="single" w:sz="6" w:space="2" w:color="918585"/>
      </w:pBdr>
      <w:tabs>
        <w:tab w:val="left" w:pos="1021"/>
      </w:tabs>
      <w:ind w:firstLine="0"/>
    </w:pPr>
  </w:style>
  <w:style w:type="paragraph" w:customStyle="1" w:styleId="Warning">
    <w:name w:val="Warning"/>
    <w:basedOn w:val="BodyText"/>
    <w:rsid w:val="007912DB"/>
    <w:pPr>
      <w:shd w:val="clear" w:color="auto" w:fill="D9D9D9"/>
      <w:tabs>
        <w:tab w:val="left" w:pos="992"/>
      </w:tabs>
      <w:ind w:left="119" w:right="119"/>
    </w:pPr>
    <w:rPr>
      <w:sz w:val="20"/>
    </w:rPr>
  </w:style>
  <w:style w:type="paragraph" w:customStyle="1" w:styleId="MarginIcons">
    <w:name w:val="Margin Icons"/>
    <w:basedOn w:val="BodyText"/>
    <w:rsid w:val="00791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2DB"/>
    <w:rPr>
      <w:rFonts w:ascii="Courier New" w:hAnsi="Courier New"/>
    </w:rPr>
  </w:style>
  <w:style w:type="paragraph" w:customStyle="1" w:styleId="NoteBullet">
    <w:name w:val="Note Bullet"/>
    <w:basedOn w:val="Note"/>
    <w:rsid w:val="007912DB"/>
    <w:pPr>
      <w:tabs>
        <w:tab w:val="clear" w:pos="680"/>
      </w:tabs>
      <w:spacing w:before="60" w:after="60"/>
    </w:pPr>
  </w:style>
  <w:style w:type="paragraph" w:customStyle="1" w:styleId="SubHeading2">
    <w:name w:val="SubHeading2"/>
    <w:basedOn w:val="HeadingBase"/>
    <w:rsid w:val="007912DB"/>
    <w:pPr>
      <w:spacing w:before="240" w:after="60"/>
    </w:pPr>
    <w:rPr>
      <w:sz w:val="20"/>
    </w:rPr>
  </w:style>
  <w:style w:type="paragraph" w:customStyle="1" w:styleId="SubHeading1">
    <w:name w:val="SubHeading1"/>
    <w:basedOn w:val="HeadingBase"/>
    <w:rsid w:val="007912DB"/>
    <w:pPr>
      <w:spacing w:before="240" w:after="60"/>
    </w:pPr>
    <w:rPr>
      <w:color w:val="918585"/>
      <w:sz w:val="22"/>
    </w:rPr>
  </w:style>
  <w:style w:type="paragraph" w:customStyle="1" w:styleId="SideHeading">
    <w:name w:val="Side Heading"/>
    <w:basedOn w:val="HeadingBase"/>
    <w:rsid w:val="00791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2DB"/>
    <w:pPr>
      <w:tabs>
        <w:tab w:val="num" w:pos="360"/>
      </w:tabs>
    </w:pPr>
  </w:style>
  <w:style w:type="paragraph" w:styleId="PlainText">
    <w:name w:val="Plain Text"/>
    <w:basedOn w:val="Normal"/>
    <w:link w:val="PlainTextChar"/>
    <w:rsid w:val="007912DB"/>
    <w:rPr>
      <w:sz w:val="20"/>
    </w:rPr>
  </w:style>
  <w:style w:type="character" w:customStyle="1" w:styleId="PlainTextChar">
    <w:name w:val="Plain Text Char"/>
    <w:basedOn w:val="DefaultParagraphFont"/>
    <w:link w:val="PlainText"/>
    <w:rsid w:val="007912DB"/>
    <w:rPr>
      <w:rFonts w:ascii="Courier New" w:eastAsia="Times New Roman" w:hAnsi="Courier New" w:cs="Times New Roman"/>
      <w:sz w:val="20"/>
      <w:szCs w:val="20"/>
      <w:lang w:eastAsia="en-US"/>
    </w:rPr>
  </w:style>
  <w:style w:type="character" w:customStyle="1" w:styleId="MenuOption">
    <w:name w:val="Menu Option"/>
    <w:basedOn w:val="DefaultParagraphFont"/>
    <w:rsid w:val="007912DB"/>
    <w:rPr>
      <w:b/>
      <w:smallCaps/>
    </w:rPr>
  </w:style>
  <w:style w:type="paragraph" w:customStyle="1" w:styleId="TableListNumber">
    <w:name w:val="Table List Number"/>
    <w:basedOn w:val="ListNumber"/>
    <w:rsid w:val="007912DB"/>
    <w:pPr>
      <w:numPr>
        <w:numId w:val="0"/>
      </w:numPr>
    </w:pPr>
  </w:style>
  <w:style w:type="paragraph" w:styleId="TOC4">
    <w:name w:val="toc 4"/>
    <w:basedOn w:val="TOCBase"/>
    <w:next w:val="Normal"/>
    <w:semiHidden/>
    <w:rsid w:val="007912DB"/>
    <w:pPr>
      <w:tabs>
        <w:tab w:val="right" w:leader="dot" w:pos="9071"/>
      </w:tabs>
      <w:ind w:left="1701"/>
    </w:pPr>
  </w:style>
  <w:style w:type="paragraph" w:customStyle="1" w:styleId="ListAlpha">
    <w:name w:val="List Alpha"/>
    <w:basedOn w:val="List"/>
    <w:rsid w:val="007912DB"/>
    <w:pPr>
      <w:numPr>
        <w:numId w:val="9"/>
      </w:numPr>
    </w:pPr>
  </w:style>
  <w:style w:type="paragraph" w:customStyle="1" w:styleId="ListAlpha2">
    <w:name w:val="List Alpha 2"/>
    <w:basedOn w:val="List2"/>
    <w:rsid w:val="007912DB"/>
    <w:pPr>
      <w:numPr>
        <w:numId w:val="8"/>
      </w:numPr>
    </w:pPr>
  </w:style>
  <w:style w:type="paragraph" w:styleId="List2">
    <w:name w:val="List 2"/>
    <w:basedOn w:val="BodyText"/>
    <w:rsid w:val="007912DB"/>
    <w:pPr>
      <w:tabs>
        <w:tab w:val="left" w:pos="680"/>
      </w:tabs>
      <w:spacing w:before="60" w:after="60"/>
      <w:ind w:left="680" w:hanging="340"/>
    </w:pPr>
  </w:style>
  <w:style w:type="paragraph" w:styleId="List3">
    <w:name w:val="List 3"/>
    <w:basedOn w:val="BodyText"/>
    <w:rsid w:val="007912DB"/>
    <w:pPr>
      <w:tabs>
        <w:tab w:val="left" w:pos="1021"/>
      </w:tabs>
      <w:spacing w:before="60" w:after="60"/>
      <w:ind w:left="1020" w:hanging="340"/>
    </w:pPr>
  </w:style>
  <w:style w:type="paragraph" w:styleId="List4">
    <w:name w:val="List 4"/>
    <w:basedOn w:val="BodyText"/>
    <w:rsid w:val="007912DB"/>
    <w:pPr>
      <w:tabs>
        <w:tab w:val="left" w:pos="1361"/>
      </w:tabs>
      <w:spacing w:before="60" w:after="60"/>
      <w:ind w:left="1361" w:hanging="340"/>
    </w:pPr>
  </w:style>
  <w:style w:type="paragraph" w:styleId="List5">
    <w:name w:val="List 5"/>
    <w:basedOn w:val="BodyText"/>
    <w:rsid w:val="007912DB"/>
    <w:pPr>
      <w:tabs>
        <w:tab w:val="left" w:pos="1701"/>
      </w:tabs>
      <w:spacing w:before="60" w:after="60"/>
      <w:ind w:left="1701" w:hanging="340"/>
    </w:pPr>
  </w:style>
  <w:style w:type="paragraph" w:styleId="ListBullet3">
    <w:name w:val="List Bullet 3"/>
    <w:basedOn w:val="List3"/>
    <w:rsid w:val="007912DB"/>
    <w:pPr>
      <w:numPr>
        <w:numId w:val="14"/>
      </w:numPr>
      <w:tabs>
        <w:tab w:val="clear" w:pos="1021"/>
      </w:tabs>
      <w:ind w:left="1037" w:hanging="357"/>
    </w:pPr>
  </w:style>
  <w:style w:type="paragraph" w:styleId="ListBullet4">
    <w:name w:val="List Bullet 4"/>
    <w:basedOn w:val="List4"/>
    <w:rsid w:val="007912DB"/>
    <w:pPr>
      <w:numPr>
        <w:numId w:val="3"/>
      </w:numPr>
      <w:tabs>
        <w:tab w:val="clear" w:pos="1361"/>
      </w:tabs>
    </w:pPr>
  </w:style>
  <w:style w:type="paragraph" w:styleId="ListBullet5">
    <w:name w:val="List Bullet 5"/>
    <w:basedOn w:val="List5"/>
    <w:rsid w:val="007912DB"/>
    <w:pPr>
      <w:numPr>
        <w:numId w:val="4"/>
      </w:numPr>
    </w:pPr>
  </w:style>
  <w:style w:type="paragraph" w:styleId="ListContinue2">
    <w:name w:val="List Continue 2"/>
    <w:basedOn w:val="List2"/>
    <w:rsid w:val="007912DB"/>
    <w:pPr>
      <w:ind w:firstLine="0"/>
    </w:pPr>
  </w:style>
  <w:style w:type="paragraph" w:styleId="ListContinue3">
    <w:name w:val="List Continue 3"/>
    <w:basedOn w:val="List3"/>
    <w:rsid w:val="007912DB"/>
    <w:pPr>
      <w:ind w:left="1021" w:firstLine="0"/>
    </w:pPr>
  </w:style>
  <w:style w:type="paragraph" w:styleId="ListContinue4">
    <w:name w:val="List Continue 4"/>
    <w:basedOn w:val="List4"/>
    <w:rsid w:val="007912DB"/>
    <w:pPr>
      <w:ind w:firstLine="0"/>
    </w:pPr>
  </w:style>
  <w:style w:type="paragraph" w:styleId="ListContinue5">
    <w:name w:val="List Continue 5"/>
    <w:basedOn w:val="List5"/>
    <w:rsid w:val="007912DB"/>
    <w:pPr>
      <w:ind w:firstLine="0"/>
    </w:pPr>
  </w:style>
  <w:style w:type="paragraph" w:styleId="ListNumber3">
    <w:name w:val="List Number 3"/>
    <w:basedOn w:val="List3"/>
    <w:rsid w:val="007912DB"/>
    <w:pPr>
      <w:numPr>
        <w:numId w:val="5"/>
      </w:numPr>
    </w:pPr>
  </w:style>
  <w:style w:type="paragraph" w:styleId="ListNumber4">
    <w:name w:val="List Number 4"/>
    <w:basedOn w:val="List4"/>
    <w:rsid w:val="007912DB"/>
    <w:pPr>
      <w:numPr>
        <w:numId w:val="6"/>
      </w:numPr>
    </w:pPr>
  </w:style>
  <w:style w:type="paragraph" w:styleId="ListNumber5">
    <w:name w:val="List Number 5"/>
    <w:basedOn w:val="List5"/>
    <w:rsid w:val="007912DB"/>
    <w:pPr>
      <w:numPr>
        <w:numId w:val="7"/>
      </w:numPr>
    </w:pPr>
  </w:style>
  <w:style w:type="paragraph" w:styleId="BlockText">
    <w:name w:val="Block Text"/>
    <w:basedOn w:val="Normal"/>
    <w:rsid w:val="007912DB"/>
    <w:pPr>
      <w:spacing w:after="120"/>
      <w:ind w:left="1440" w:right="1440"/>
    </w:pPr>
  </w:style>
  <w:style w:type="character" w:customStyle="1" w:styleId="Subscript">
    <w:name w:val="Subscript"/>
    <w:basedOn w:val="DefaultParagraphFont"/>
    <w:rsid w:val="007912DB"/>
    <w:rPr>
      <w:sz w:val="16"/>
      <w:vertAlign w:val="subscript"/>
    </w:rPr>
  </w:style>
  <w:style w:type="character" w:customStyle="1" w:styleId="Superscript">
    <w:name w:val="Superscript"/>
    <w:basedOn w:val="DefaultParagraphFont"/>
    <w:rsid w:val="007912DB"/>
    <w:rPr>
      <w:sz w:val="16"/>
      <w:vertAlign w:val="superscript"/>
    </w:rPr>
  </w:style>
  <w:style w:type="character" w:customStyle="1" w:styleId="Symbols">
    <w:name w:val="Symbols"/>
    <w:basedOn w:val="DefaultParagraphFont"/>
    <w:rsid w:val="007912DB"/>
    <w:rPr>
      <w:rFonts w:ascii="Symbol" w:hAnsi="Symbol"/>
    </w:rPr>
  </w:style>
  <w:style w:type="character" w:customStyle="1" w:styleId="MenuOptions">
    <w:name w:val="Menu Options"/>
    <w:basedOn w:val="DefaultParagraphFont"/>
    <w:rsid w:val="007912DB"/>
    <w:rPr>
      <w:rFonts w:ascii="Arial Narrow" w:hAnsi="Arial Narrow"/>
      <w:smallCaps/>
    </w:rPr>
  </w:style>
  <w:style w:type="character" w:customStyle="1" w:styleId="Buttons">
    <w:name w:val="Buttons"/>
    <w:basedOn w:val="DefaultParagraphFont"/>
    <w:rsid w:val="007912DB"/>
    <w:rPr>
      <w:b/>
    </w:rPr>
  </w:style>
  <w:style w:type="character" w:customStyle="1" w:styleId="Underlined">
    <w:name w:val="Underlined"/>
    <w:basedOn w:val="DefaultParagraphFont"/>
    <w:rsid w:val="007912DB"/>
    <w:rPr>
      <w:u w:val="single"/>
    </w:rPr>
  </w:style>
  <w:style w:type="paragraph" w:customStyle="1" w:styleId="TableBodyTextRight">
    <w:name w:val="Table Body Text Right"/>
    <w:basedOn w:val="TableBodyText"/>
    <w:rsid w:val="007912DB"/>
    <w:pPr>
      <w:widowControl w:val="0"/>
      <w:autoSpaceDE w:val="0"/>
      <w:autoSpaceDN w:val="0"/>
      <w:adjustRightInd w:val="0"/>
      <w:jc w:val="right"/>
    </w:pPr>
    <w:rPr>
      <w:rFonts w:cs="Arial"/>
      <w:szCs w:val="18"/>
    </w:rPr>
  </w:style>
  <w:style w:type="paragraph" w:customStyle="1" w:styleId="CopyrightText">
    <w:name w:val="Copyright Text"/>
    <w:basedOn w:val="BodyText"/>
    <w:rsid w:val="007912DB"/>
    <w:rPr>
      <w:sz w:val="18"/>
    </w:rPr>
  </w:style>
  <w:style w:type="paragraph" w:customStyle="1" w:styleId="BodySmallRight">
    <w:name w:val="Body Small Right"/>
    <w:basedOn w:val="BodyTextRight"/>
    <w:rsid w:val="007912DB"/>
    <w:rPr>
      <w:sz w:val="18"/>
      <w:szCs w:val="18"/>
    </w:rPr>
  </w:style>
  <w:style w:type="paragraph" w:customStyle="1" w:styleId="MarginEdition">
    <w:name w:val="Margin Edition"/>
    <w:basedOn w:val="MarginNote"/>
    <w:rsid w:val="007912DB"/>
    <w:pPr>
      <w:spacing w:before="0" w:after="0"/>
    </w:pPr>
    <w:rPr>
      <w:rFonts w:ascii="Times New Roman" w:hAnsi="Times New Roman"/>
      <w:color w:val="999999"/>
    </w:rPr>
  </w:style>
  <w:style w:type="paragraph" w:customStyle="1" w:styleId="Spacer">
    <w:name w:val="Spacer"/>
    <w:basedOn w:val="Normal"/>
    <w:rsid w:val="007912DB"/>
    <w:rPr>
      <w:sz w:val="2"/>
      <w:szCs w:val="2"/>
    </w:rPr>
  </w:style>
  <w:style w:type="character" w:customStyle="1" w:styleId="Small">
    <w:name w:val="Small"/>
    <w:basedOn w:val="DefaultParagraphFont"/>
    <w:rsid w:val="007912DB"/>
    <w:rPr>
      <w:sz w:val="16"/>
    </w:rPr>
  </w:style>
  <w:style w:type="paragraph" w:customStyle="1" w:styleId="WideTable">
    <w:name w:val="Wide Table"/>
    <w:basedOn w:val="Normal"/>
    <w:rsid w:val="007912DB"/>
    <w:pPr>
      <w:ind w:left="-1418"/>
    </w:pPr>
    <w:rPr>
      <w:sz w:val="2"/>
      <w:szCs w:val="2"/>
    </w:rPr>
  </w:style>
  <w:style w:type="character" w:styleId="PageNumber">
    <w:name w:val="page number"/>
    <w:basedOn w:val="DefaultParagraphFont"/>
    <w:rsid w:val="007912DB"/>
  </w:style>
  <w:style w:type="paragraph" w:styleId="Quote">
    <w:name w:val="Quote"/>
    <w:basedOn w:val="Heading1"/>
    <w:link w:val="QuoteChar"/>
    <w:qFormat/>
    <w:rsid w:val="007912DB"/>
    <w:rPr>
      <w:b w:val="0"/>
      <w:sz w:val="72"/>
      <w:szCs w:val="72"/>
      <w:lang w:val="en-NZ"/>
    </w:rPr>
  </w:style>
  <w:style w:type="character" w:customStyle="1" w:styleId="QuoteChar">
    <w:name w:val="Quote Char"/>
    <w:basedOn w:val="DefaultParagraphFont"/>
    <w:link w:val="Quote"/>
    <w:rsid w:val="00791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2DB"/>
    <w:pPr>
      <w:pageBreakBefore/>
    </w:pPr>
  </w:style>
  <w:style w:type="paragraph" w:customStyle="1" w:styleId="Border">
    <w:name w:val="Border"/>
    <w:basedOn w:val="Normal"/>
    <w:qFormat/>
    <w:rsid w:val="00791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2DB"/>
    <w:rPr>
      <w:b/>
      <w:bCs/>
      <w:i/>
      <w:iCs/>
      <w:color w:val="auto"/>
    </w:rPr>
  </w:style>
  <w:style w:type="paragraph" w:styleId="IntenseQuote">
    <w:name w:val="Intense Quote"/>
    <w:basedOn w:val="Normal"/>
    <w:next w:val="Normal"/>
    <w:link w:val="IntenseQuoteChar"/>
    <w:uiPriority w:val="30"/>
    <w:qFormat/>
    <w:rsid w:val="00791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2DB"/>
    <w:rPr>
      <w:smallCaps/>
      <w:color w:val="auto"/>
      <w:u w:val="single"/>
    </w:rPr>
  </w:style>
  <w:style w:type="character" w:styleId="IntenseReference">
    <w:name w:val="Intense Reference"/>
    <w:basedOn w:val="DefaultParagraphFont"/>
    <w:uiPriority w:val="32"/>
    <w:qFormat/>
    <w:rsid w:val="007912DB"/>
    <w:rPr>
      <w:b/>
      <w:bCs/>
      <w:smallCaps/>
      <w:color w:val="auto"/>
      <w:spacing w:val="5"/>
      <w:u w:val="single"/>
    </w:rPr>
  </w:style>
  <w:style w:type="paragraph" w:customStyle="1" w:styleId="2ColumnHeading">
    <w:name w:val="2Column Heading"/>
    <w:basedOn w:val="BodyText"/>
    <w:qFormat/>
    <w:rsid w:val="007912DB"/>
    <w:pPr>
      <w:spacing w:after="60"/>
      <w:ind w:left="-2268"/>
    </w:pPr>
    <w:rPr>
      <w:b/>
    </w:rPr>
  </w:style>
  <w:style w:type="paragraph" w:customStyle="1" w:styleId="Heading1TOC">
    <w:name w:val="Heading1 TOC"/>
    <w:basedOn w:val="Normal"/>
    <w:qFormat/>
    <w:rsid w:val="007912DB"/>
    <w:pPr>
      <w:spacing w:before="240" w:after="120"/>
    </w:pPr>
    <w:rPr>
      <w:rFonts w:ascii="Times New Roman" w:hAnsi="Times New Roman"/>
      <w:b/>
      <w:sz w:val="32"/>
    </w:rPr>
  </w:style>
  <w:style w:type="paragraph" w:customStyle="1" w:styleId="Heading2TOC">
    <w:name w:val="Heading2 TOC"/>
    <w:basedOn w:val="Normal"/>
    <w:qFormat/>
    <w:rsid w:val="007912DB"/>
    <w:pPr>
      <w:spacing w:before="240" w:after="60"/>
    </w:pPr>
    <w:rPr>
      <w:rFonts w:ascii="Times New Roman" w:hAnsi="Times New Roman"/>
      <w:b/>
      <w:sz w:val="28"/>
    </w:rPr>
  </w:style>
  <w:style w:type="character" w:customStyle="1" w:styleId="Underline">
    <w:name w:val="Underline"/>
    <w:basedOn w:val="DefaultParagraphFont"/>
    <w:qFormat/>
    <w:rsid w:val="007912DB"/>
    <w:rPr>
      <w:u w:val="single"/>
    </w:rPr>
  </w:style>
  <w:style w:type="character" w:customStyle="1" w:styleId="BoldandItalics">
    <w:name w:val="Bold and Italics"/>
    <w:qFormat/>
    <w:rsid w:val="007912DB"/>
    <w:rPr>
      <w:b/>
      <w:i/>
      <w:u w:val="none"/>
    </w:rPr>
  </w:style>
  <w:style w:type="paragraph" w:styleId="BalloonText">
    <w:name w:val="Balloon Text"/>
    <w:basedOn w:val="Normal"/>
    <w:link w:val="BalloonTextChar"/>
    <w:rsid w:val="007912DB"/>
    <w:rPr>
      <w:rFonts w:ascii="Tahoma" w:hAnsi="Tahoma" w:cs="Tahoma"/>
      <w:sz w:val="16"/>
      <w:szCs w:val="16"/>
    </w:rPr>
  </w:style>
  <w:style w:type="character" w:customStyle="1" w:styleId="BalloonTextChar">
    <w:name w:val="Balloon Text Char"/>
    <w:basedOn w:val="DefaultParagraphFont"/>
    <w:link w:val="BalloonText"/>
    <w:rsid w:val="00791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2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2DB"/>
    <w:rPr>
      <w:b/>
      <w:color w:val="660033"/>
      <w:spacing w:val="0"/>
    </w:rPr>
  </w:style>
  <w:style w:type="paragraph" w:customStyle="1" w:styleId="Nameditemlist">
    <w:name w:val="Named item list"/>
    <w:basedOn w:val="BodyText"/>
    <w:qFormat/>
    <w:rsid w:val="007912DB"/>
    <w:pPr>
      <w:tabs>
        <w:tab w:val="left" w:pos="2835"/>
      </w:tabs>
      <w:ind w:left="2835" w:hanging="2835"/>
    </w:pPr>
  </w:style>
  <w:style w:type="paragraph" w:customStyle="1" w:styleId="BodyTextnopadding">
    <w:name w:val="Body Text no padding"/>
    <w:basedOn w:val="BodyText"/>
    <w:qFormat/>
    <w:rsid w:val="007912DB"/>
    <w:pPr>
      <w:spacing w:before="0" w:after="0"/>
    </w:pPr>
  </w:style>
  <w:style w:type="paragraph" w:customStyle="1" w:styleId="BodyTextBold">
    <w:name w:val="Body Text Bold"/>
    <w:basedOn w:val="BodyText"/>
    <w:qFormat/>
    <w:rsid w:val="007912DB"/>
    <w:rPr>
      <w:b/>
    </w:rPr>
  </w:style>
  <w:style w:type="character" w:styleId="Hyperlink">
    <w:name w:val="Hyperlink"/>
    <w:basedOn w:val="DefaultParagraphFont"/>
    <w:uiPriority w:val="99"/>
    <w:unhideWhenUsed/>
    <w:rsid w:val="005026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6558</Characters>
  <Application>Microsoft Office Word</Application>
  <DocSecurity>0</DocSecurity>
  <Lines>119</Lines>
  <Paragraphs>57</Paragraphs>
  <ScaleCrop>false</ScaleCrop>
  <Company>Author-it Software Corporation Ltd.</Company>
  <LinksUpToDate>false</LinksUpToDate>
  <CharactersWithSpaces>7535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MEA228 Test and troubleshoot aircraft instrument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