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6A31" w:rsidP="00F26A31">
      <w:pPr>
        <w:pStyle w:val="Title"/>
      </w:pPr>
      <w:r>
        <w:fldChar w:fldCharType="begin"/>
      </w:r>
      <w:r>
        <w:instrText xml:space="preserve"> TITLE   \* MERGEFORMAT </w:instrText>
      </w:r>
      <w:r>
        <w:fldChar w:fldCharType="separate"/>
      </w:r>
      <w:r>
        <w:t>Assessment Requirements for MEA226 Inspect aircraft electronic systems and components</w:t>
      </w:r>
      <w:r>
        <w:fldChar w:fldCharType="end"/>
      </w:r>
    </w:p>
    <w:p w:rsidR="00F26A31" w:rsidP="00F26A31">
      <w:pPr>
        <w:pStyle w:val="Version"/>
        <w:sectPr w:rsidSect="000A74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A74DF" w:rsidP="000A74DF">
      <w:pPr>
        <w:pStyle w:val="SuperHeading"/>
      </w:pPr>
      <w:r w:rsidRPr="000A74DF">
        <w:t>Assessment Requirements for MEA226 Inspect aircraft electronic systems and components</w:t>
      </w:r>
    </w:p>
    <w:p w:rsidR="00000000" w:rsidRPr="000A74DF" w:rsidP="000A74DF">
      <w:pPr>
        <w:pStyle w:val="Heading1"/>
      </w:pPr>
      <w:bookmarkStart w:id="1" w:name="O_997176"/>
      <w:bookmarkEnd w:id="1"/>
      <w:r w:rsidRPr="000A74DF">
        <w:t>Modification History</w:t>
      </w:r>
    </w:p>
    <w:p w:rsidR="00000000" w:rsidRPr="000A74DF" w:rsidP="00F26A31">
      <w:pPr>
        <w:pStyle w:val="BodyText"/>
      </w:pPr>
      <w:r w:rsidRPr="000A74DF">
        <w:t>Release 2. Equivalent to MEA226 Inspect aircraft electronic systems and components with amended prerequisite codes.</w:t>
      </w:r>
    </w:p>
    <w:p w:rsidR="00000000" w:rsidRPr="000A74DF" w:rsidP="000A74DF">
      <w:pPr>
        <w:pStyle w:val="Heading1"/>
      </w:pPr>
      <w:bookmarkStart w:id="2" w:name="O_997175"/>
      <w:bookmarkEnd w:id="2"/>
      <w:r w:rsidRPr="000A74DF">
        <w:t>Performance Evidence</w:t>
      </w:r>
    </w:p>
    <w:p w:rsidR="00000000" w:rsidRPr="000A74DF" w:rsidP="00F26A31">
      <w:pPr>
        <w:pStyle w:val="BodyText"/>
      </w:pPr>
      <w:r w:rsidRPr="000A74DF">
        <w:t>Evidence required to demonstrate competency in this unit must be relevant to and satisfy all of the requirements of the elements and performance criteria under the specified conditions of assessment, and must include:</w:t>
      </w:r>
    </w:p>
    <w:p w:rsidR="00000000" w:rsidRPr="000A74DF" w:rsidP="000A74DF">
      <w:pPr>
        <w:pStyle w:val="ListBullet"/>
      </w:pPr>
      <w:r w:rsidRPr="000A74DF">
        <w:t>applying</w:t>
      </w:r>
      <w:r w:rsidRPr="000A74DF">
        <w:t xml:space="preserve"> relevant WHS practices</w:t>
      </w:r>
    </w:p>
    <w:p w:rsidR="00000000" w:rsidRPr="000A74DF" w:rsidP="000A74DF">
      <w:pPr>
        <w:pStyle w:val="ListBullet"/>
      </w:pPr>
      <w:r w:rsidRPr="000A74DF">
        <w:t>using approved maintenance documentation and aircraft publications relating to the avionic system being maintained</w:t>
      </w:r>
    </w:p>
    <w:p w:rsidR="00000000" w:rsidRPr="000A74DF" w:rsidP="000A74DF">
      <w:pPr>
        <w:pStyle w:val="ListBullet"/>
      </w:pPr>
      <w:r w:rsidRPr="000A74DF">
        <w:t>recognition of system and component defects/external damage, correct installation, connection of plugs, terminations,</w:t>
      </w:r>
      <w:r w:rsidRPr="000A74DF">
        <w:t xml:space="preserve"> and attaching hardware (including cabling/harnesses) and security in:</w:t>
      </w:r>
    </w:p>
    <w:p w:rsidR="00000000" w:rsidRPr="000A74DF" w:rsidP="000A74DF">
      <w:pPr>
        <w:pStyle w:val="ListBullet2"/>
      </w:pPr>
      <w:r w:rsidRPr="000A74DF">
        <w:t>multi-function display systems (interface units, display generators and display units), i.e. HUD, EICAS, FMS, ACARS, EFIS and ECAM</w:t>
      </w:r>
    </w:p>
    <w:p w:rsidR="00000000" w:rsidRPr="000A74DF" w:rsidP="000A74DF">
      <w:pPr>
        <w:pStyle w:val="ListBullet2"/>
      </w:pPr>
      <w:r w:rsidRPr="000A74DF">
        <w:t xml:space="preserve">integrated modular avionics (where applicable to the </w:t>
      </w:r>
      <w:r w:rsidRPr="000A74DF">
        <w:t>enterprise)</w:t>
      </w:r>
    </w:p>
    <w:p w:rsidR="00000000" w:rsidRPr="000A74DF" w:rsidP="000A74DF">
      <w:pPr>
        <w:pStyle w:val="ListBullet2"/>
      </w:pPr>
      <w:r w:rsidRPr="000A74DF">
        <w:t>INS and IRS</w:t>
      </w:r>
    </w:p>
    <w:p w:rsidR="00000000" w:rsidRPr="000A74DF" w:rsidP="000A74DF">
      <w:pPr>
        <w:pStyle w:val="ListBullet2"/>
      </w:pPr>
      <w:r w:rsidRPr="000A74DF">
        <w:t>external communications systems:</w:t>
      </w:r>
    </w:p>
    <w:p w:rsidR="00000000" w:rsidRPr="000A74DF" w:rsidP="000A74DF">
      <w:pPr>
        <w:pStyle w:val="ListBullet3"/>
      </w:pPr>
      <w:r w:rsidRPr="000A74DF">
        <w:t>HF</w:t>
      </w:r>
    </w:p>
    <w:p w:rsidR="00000000" w:rsidRPr="000A74DF" w:rsidP="000A74DF">
      <w:pPr>
        <w:pStyle w:val="ListBullet3"/>
      </w:pPr>
      <w:r w:rsidRPr="000A74DF">
        <w:t>UHF</w:t>
      </w:r>
    </w:p>
    <w:p w:rsidR="00000000" w:rsidRPr="000A74DF" w:rsidP="000A74DF">
      <w:pPr>
        <w:pStyle w:val="ListBullet3"/>
      </w:pPr>
      <w:r w:rsidRPr="000A74DF">
        <w:t>VHF</w:t>
      </w:r>
    </w:p>
    <w:p w:rsidR="00000000" w:rsidRPr="000A74DF" w:rsidP="000A74DF">
      <w:pPr>
        <w:pStyle w:val="ListBullet3"/>
      </w:pPr>
      <w:r w:rsidRPr="000A74DF">
        <w:t>SATCOM</w:t>
      </w:r>
    </w:p>
    <w:p w:rsidR="00000000" w:rsidRPr="000A74DF" w:rsidP="000A74DF">
      <w:pPr>
        <w:pStyle w:val="ListBullet3"/>
      </w:pPr>
      <w:r w:rsidRPr="000A74DF">
        <w:t>ELT</w:t>
      </w:r>
    </w:p>
    <w:p w:rsidR="00000000" w:rsidRPr="000A74DF" w:rsidP="000A74DF">
      <w:pPr>
        <w:pStyle w:val="ListBullet2"/>
      </w:pPr>
      <w:r w:rsidRPr="000A74DF">
        <w:t>internal communications systems:</w:t>
      </w:r>
    </w:p>
    <w:p w:rsidR="00000000" w:rsidRPr="000A74DF" w:rsidP="000A74DF">
      <w:pPr>
        <w:pStyle w:val="ListBullet3"/>
      </w:pPr>
      <w:r w:rsidRPr="000A74DF">
        <w:t>intercommunication</w:t>
      </w:r>
    </w:p>
    <w:p w:rsidR="00000000" w:rsidRPr="000A74DF" w:rsidP="000A74DF">
      <w:pPr>
        <w:pStyle w:val="ListBullet3"/>
      </w:pPr>
      <w:r w:rsidRPr="000A74DF">
        <w:t>cabin intercommunication data systems</w:t>
      </w:r>
    </w:p>
    <w:p w:rsidR="00000000" w:rsidRPr="000A74DF" w:rsidP="000A74DF">
      <w:pPr>
        <w:pStyle w:val="ListBullet3"/>
      </w:pPr>
      <w:r w:rsidRPr="000A74DF">
        <w:t>cabin network services</w:t>
      </w:r>
    </w:p>
    <w:p w:rsidR="00000000" w:rsidRPr="000A74DF" w:rsidP="000A74DF">
      <w:pPr>
        <w:pStyle w:val="ListBullet3"/>
      </w:pPr>
      <w:r w:rsidRPr="000A74DF">
        <w:t>CVR</w:t>
      </w:r>
    </w:p>
    <w:p w:rsidR="00000000" w:rsidRPr="000A74DF" w:rsidP="000A74DF">
      <w:pPr>
        <w:pStyle w:val="ListBullet2"/>
      </w:pPr>
      <w:r w:rsidRPr="000A74DF">
        <w:t>information</w:t>
      </w:r>
      <w:r w:rsidRPr="000A74DF">
        <w:t xml:space="preserve"> systems, such as air traffic and information management systems, and network server systems (where applicable to the enterprise)</w:t>
      </w:r>
    </w:p>
    <w:p w:rsidR="00000000" w:rsidRPr="000A74DF" w:rsidP="000A74DF">
      <w:pPr>
        <w:pStyle w:val="ListBullet2"/>
      </w:pPr>
      <w:r w:rsidRPr="000A74DF">
        <w:t>RF navigation systems:</w:t>
      </w:r>
    </w:p>
    <w:p w:rsidR="00000000" w:rsidRPr="000A74DF" w:rsidP="000A74DF">
      <w:pPr>
        <w:pStyle w:val="ListBullet3"/>
      </w:pPr>
      <w:r w:rsidRPr="000A74DF">
        <w:t>ILS</w:t>
      </w:r>
    </w:p>
    <w:p w:rsidR="00000000" w:rsidRPr="000A74DF" w:rsidP="000A74DF">
      <w:pPr>
        <w:pStyle w:val="ListBullet3"/>
      </w:pPr>
      <w:r w:rsidRPr="000A74DF">
        <w:t>VOR</w:t>
      </w:r>
    </w:p>
    <w:p w:rsidR="00000000" w:rsidRPr="000A74DF" w:rsidP="000A74DF">
      <w:pPr>
        <w:pStyle w:val="ListBullet3"/>
      </w:pPr>
      <w:r w:rsidRPr="000A74DF">
        <w:t>ADF</w:t>
      </w:r>
    </w:p>
    <w:p w:rsidR="00000000" w:rsidRPr="000A74DF" w:rsidP="000A74DF">
      <w:pPr>
        <w:pStyle w:val="ListBullet3"/>
      </w:pPr>
      <w:r w:rsidRPr="000A74DF">
        <w:t>GNS</w:t>
      </w:r>
    </w:p>
    <w:p w:rsidR="00000000" w:rsidRPr="000A74DF" w:rsidP="000A74DF">
      <w:pPr>
        <w:pStyle w:val="ListBullet2"/>
      </w:pPr>
      <w:r w:rsidRPr="000A74DF">
        <w:t>pulse systems that are applicable to the enterprise, including:</w:t>
      </w:r>
    </w:p>
    <w:p w:rsidR="00000000" w:rsidRPr="000A74DF" w:rsidP="000A74DF">
      <w:pPr>
        <w:pStyle w:val="ListBullet3"/>
      </w:pPr>
      <w:r w:rsidRPr="000A74DF">
        <w:t>primary radar (navigation/weather) components and interface</w:t>
      </w:r>
    </w:p>
    <w:p w:rsidR="00000000" w:rsidRPr="000A74DF" w:rsidP="000A74DF">
      <w:pPr>
        <w:pStyle w:val="ListBullet3"/>
      </w:pPr>
      <w:r w:rsidRPr="000A74DF">
        <w:t>ACAS components and interface</w:t>
      </w:r>
    </w:p>
    <w:p w:rsidR="00000000" w:rsidRPr="000A74DF" w:rsidP="000A74DF">
      <w:pPr>
        <w:pStyle w:val="ListBullet3"/>
      </w:pPr>
      <w:r w:rsidRPr="000A74DF">
        <w:t>radio altimeter components and interface</w:t>
      </w:r>
    </w:p>
    <w:p w:rsidR="00000000" w:rsidRPr="000A74DF" w:rsidP="000A74DF">
      <w:pPr>
        <w:pStyle w:val="ListBullet3"/>
      </w:pPr>
      <w:r w:rsidRPr="000A74DF">
        <w:t>DME components and interface</w:t>
      </w:r>
    </w:p>
    <w:p w:rsidR="00000000" w:rsidRPr="000A74DF" w:rsidP="000A74DF">
      <w:pPr>
        <w:pStyle w:val="ListBullet3"/>
      </w:pPr>
      <w:r w:rsidRPr="000A74DF">
        <w:t>ATC transponders</w:t>
      </w:r>
    </w:p>
    <w:p w:rsidR="00000000" w:rsidRPr="000A74DF" w:rsidP="000A74DF">
      <w:pPr>
        <w:pStyle w:val="ListBullet3"/>
      </w:pPr>
      <w:r w:rsidRPr="000A74DF">
        <w:t>ADS-B</w:t>
      </w:r>
    </w:p>
    <w:p w:rsidR="00000000" w:rsidRPr="000A74DF" w:rsidP="00F26A31">
      <w:pPr>
        <w:pStyle w:val="BodyText"/>
      </w:pPr>
      <w:r w:rsidRPr="000A74DF">
        <w:t xml:space="preserve">It is essential that inspection procedures, cleanliness requirements and </w:t>
      </w:r>
      <w:r w:rsidRPr="000A74DF">
        <w:t>safety precautions applicable to the electrical system being maintained are fully observed, understood and complied with. Ability to interpret inspection procedures and specifications (allowable limits) and apply them in practice (including the timely invo</w:t>
      </w:r>
      <w:r w:rsidRPr="000A74DF">
        <w:t xml:space="preserve">lvement of supervisors or other trades) is critical. </w:t>
      </w:r>
    </w:p>
    <w:p w:rsidR="00F26A31" w:rsidP="00F26A31">
      <w:pPr>
        <w:pStyle w:val="BodyText"/>
      </w:pPr>
      <w:r w:rsidRPr="000A74DF">
        <w:t>Evidence of transferability of skills and knowledge related to inspection is essential. This is to be demonstrated through application across a range of electronic systems and components listed in the A</w:t>
      </w:r>
      <w:r w:rsidRPr="000A74DF">
        <w:t xml:space="preserve">ssessment Conditions. </w:t>
      </w:r>
    </w:p>
    <w:p w:rsidR="00000000" w:rsidRPr="000A74DF" w:rsidP="000A74DF">
      <w:pPr>
        <w:pStyle w:val="Heading1"/>
      </w:pPr>
      <w:bookmarkStart w:id="3" w:name="O_997174"/>
      <w:bookmarkEnd w:id="3"/>
      <w:r w:rsidRPr="000A74DF">
        <w:t>Knowledge Evidence</w:t>
      </w:r>
    </w:p>
    <w:p w:rsidR="00000000" w:rsidRPr="000A74DF" w:rsidP="00F26A31">
      <w:pPr>
        <w:pStyle w:val="BodyText"/>
      </w:pPr>
      <w:r w:rsidRPr="000A74DF">
        <w:t>Evidence required to demonstrate competency in this unit must be relevant to and satisfy all of the requirements of the elements and performance criteria and include knowledge of:</w:t>
      </w:r>
    </w:p>
    <w:p w:rsidR="00000000" w:rsidRPr="000A74DF" w:rsidP="000A74DF">
      <w:pPr>
        <w:pStyle w:val="ListBullet"/>
      </w:pPr>
      <w:r w:rsidRPr="000A74DF">
        <w:t>component attachment methods and connection of hardware</w:t>
      </w:r>
    </w:p>
    <w:p w:rsidR="00000000" w:rsidRPr="000A74DF" w:rsidP="000A74DF">
      <w:pPr>
        <w:pStyle w:val="ListBullet"/>
      </w:pPr>
      <w:r w:rsidRPr="000A74DF">
        <w:t>the basic layout (block diagram level) and operation of:</w:t>
      </w:r>
    </w:p>
    <w:p w:rsidR="00000000" w:rsidRPr="000A74DF" w:rsidP="000A74DF">
      <w:pPr>
        <w:pStyle w:val="ListBullet2"/>
      </w:pPr>
      <w:r w:rsidRPr="000A74DF">
        <w:t>multi-function display systems (interface units, display generators and display units), i.e. HUD, ICAS, FMS, ACARS, EFIS and ECAM</w:t>
      </w:r>
    </w:p>
    <w:p w:rsidR="00000000" w:rsidRPr="000A74DF" w:rsidP="000A74DF">
      <w:pPr>
        <w:pStyle w:val="ListBullet2"/>
      </w:pPr>
      <w:r w:rsidRPr="000A74DF">
        <w:t>integrated m</w:t>
      </w:r>
      <w:r w:rsidRPr="000A74DF">
        <w:t>odular avionics</w:t>
      </w:r>
    </w:p>
    <w:p w:rsidR="00000000" w:rsidRPr="000A74DF" w:rsidP="000A74DF">
      <w:pPr>
        <w:pStyle w:val="ListBullet2"/>
      </w:pPr>
      <w:r w:rsidRPr="000A74DF">
        <w:t>INS and IRS</w:t>
      </w:r>
    </w:p>
    <w:p w:rsidR="00000000" w:rsidRPr="000A74DF" w:rsidP="000A74DF">
      <w:pPr>
        <w:pStyle w:val="ListBullet2"/>
      </w:pPr>
      <w:r w:rsidRPr="000A74DF">
        <w:t>external communications systems:</w:t>
      </w:r>
    </w:p>
    <w:p w:rsidR="00000000" w:rsidRPr="000A74DF" w:rsidP="000A74DF">
      <w:pPr>
        <w:pStyle w:val="ListBullet3"/>
      </w:pPr>
      <w:r w:rsidRPr="000A74DF">
        <w:t>HF</w:t>
      </w:r>
    </w:p>
    <w:p w:rsidR="00000000" w:rsidRPr="000A74DF" w:rsidP="000A74DF">
      <w:pPr>
        <w:pStyle w:val="ListBullet3"/>
      </w:pPr>
      <w:r w:rsidRPr="000A74DF">
        <w:t>UHF</w:t>
      </w:r>
    </w:p>
    <w:p w:rsidR="00000000" w:rsidRPr="000A74DF" w:rsidP="000A74DF">
      <w:pPr>
        <w:pStyle w:val="ListBullet3"/>
      </w:pPr>
      <w:r w:rsidRPr="000A74DF">
        <w:t>VHF</w:t>
      </w:r>
    </w:p>
    <w:p w:rsidR="00000000" w:rsidRPr="000A74DF" w:rsidP="000A74DF">
      <w:pPr>
        <w:pStyle w:val="ListBullet3"/>
      </w:pPr>
      <w:r w:rsidRPr="000A74DF">
        <w:t>SATCOM</w:t>
      </w:r>
    </w:p>
    <w:p w:rsidR="00000000" w:rsidRPr="000A74DF" w:rsidP="000A74DF">
      <w:pPr>
        <w:pStyle w:val="ListBullet3"/>
      </w:pPr>
      <w:r w:rsidRPr="000A74DF">
        <w:t>ELT</w:t>
      </w:r>
    </w:p>
    <w:p w:rsidR="00000000" w:rsidRPr="000A74DF" w:rsidP="000A74DF">
      <w:pPr>
        <w:pStyle w:val="ListBullet2"/>
      </w:pPr>
      <w:r w:rsidRPr="000A74DF">
        <w:t>internal communications systems:</w:t>
      </w:r>
    </w:p>
    <w:p w:rsidR="00000000" w:rsidRPr="000A74DF" w:rsidP="000A74DF">
      <w:pPr>
        <w:pStyle w:val="ListBullet3"/>
      </w:pPr>
      <w:r w:rsidRPr="000A74DF">
        <w:t>intercommunication</w:t>
      </w:r>
    </w:p>
    <w:p w:rsidR="00000000" w:rsidRPr="000A74DF" w:rsidP="000A74DF">
      <w:pPr>
        <w:pStyle w:val="ListBullet3"/>
      </w:pPr>
      <w:r w:rsidRPr="000A74DF">
        <w:t>cabin intercommunication data systems</w:t>
      </w:r>
    </w:p>
    <w:p w:rsidR="00000000" w:rsidRPr="000A74DF" w:rsidP="000A74DF">
      <w:pPr>
        <w:pStyle w:val="ListBullet3"/>
      </w:pPr>
      <w:r w:rsidRPr="000A74DF">
        <w:t>cabin network services</w:t>
      </w:r>
    </w:p>
    <w:p w:rsidR="00000000" w:rsidRPr="000A74DF" w:rsidP="000A74DF">
      <w:pPr>
        <w:pStyle w:val="ListBullet3"/>
      </w:pPr>
      <w:r w:rsidRPr="000A74DF">
        <w:t>CVR</w:t>
      </w:r>
    </w:p>
    <w:p w:rsidR="00000000" w:rsidRPr="000A74DF" w:rsidP="000A74DF">
      <w:pPr>
        <w:pStyle w:val="ListBullet2"/>
      </w:pPr>
      <w:r w:rsidRPr="000A74DF">
        <w:t>information systems, such as air traffic and information management systems, and network server systems</w:t>
      </w:r>
    </w:p>
    <w:p w:rsidR="00000000" w:rsidRPr="000A74DF" w:rsidP="000A74DF">
      <w:pPr>
        <w:pStyle w:val="ListBullet2"/>
      </w:pPr>
      <w:r w:rsidRPr="000A74DF">
        <w:t>RF navigation systems:</w:t>
      </w:r>
    </w:p>
    <w:p w:rsidR="00000000" w:rsidRPr="000A74DF" w:rsidP="000A74DF">
      <w:pPr>
        <w:pStyle w:val="ListBullet3"/>
      </w:pPr>
      <w:r w:rsidRPr="000A74DF">
        <w:t>ILS</w:t>
      </w:r>
    </w:p>
    <w:p w:rsidR="00000000" w:rsidRPr="000A74DF" w:rsidP="000A74DF">
      <w:pPr>
        <w:pStyle w:val="ListBullet3"/>
      </w:pPr>
      <w:r w:rsidRPr="000A74DF">
        <w:t>VOR</w:t>
      </w:r>
    </w:p>
    <w:p w:rsidR="00000000" w:rsidRPr="000A74DF" w:rsidP="000A74DF">
      <w:pPr>
        <w:pStyle w:val="ListBullet3"/>
      </w:pPr>
      <w:r w:rsidRPr="000A74DF">
        <w:t>ADF</w:t>
      </w:r>
    </w:p>
    <w:p w:rsidR="00000000" w:rsidRPr="000A74DF" w:rsidP="000A74DF">
      <w:pPr>
        <w:pStyle w:val="ListBullet3"/>
      </w:pPr>
      <w:r w:rsidRPr="000A74DF">
        <w:t>GNS</w:t>
      </w:r>
    </w:p>
    <w:p w:rsidR="00000000" w:rsidRPr="000A74DF" w:rsidP="000A74DF">
      <w:pPr>
        <w:pStyle w:val="ListBullet2"/>
      </w:pPr>
      <w:r w:rsidRPr="000A74DF">
        <w:t>primary radar (navigation/weather) components and interface</w:t>
      </w:r>
    </w:p>
    <w:p w:rsidR="00000000" w:rsidRPr="000A74DF" w:rsidP="000A74DF">
      <w:pPr>
        <w:pStyle w:val="ListBullet2"/>
      </w:pPr>
      <w:r w:rsidRPr="000A74DF">
        <w:t>ACAS components and interface</w:t>
      </w:r>
    </w:p>
    <w:p w:rsidR="00000000" w:rsidRPr="000A74DF" w:rsidP="000A74DF">
      <w:pPr>
        <w:pStyle w:val="ListBullet2"/>
      </w:pPr>
      <w:r w:rsidRPr="000A74DF">
        <w:t>radio altimeter components and interface</w:t>
      </w:r>
    </w:p>
    <w:p w:rsidR="00000000" w:rsidRPr="000A74DF" w:rsidP="000A74DF">
      <w:pPr>
        <w:pStyle w:val="ListBullet2"/>
      </w:pPr>
      <w:r w:rsidRPr="000A74DF">
        <w:t>DME components and interface</w:t>
      </w:r>
    </w:p>
    <w:p w:rsidR="00000000" w:rsidRPr="000A74DF" w:rsidP="000A74DF">
      <w:pPr>
        <w:pStyle w:val="ListBullet2"/>
      </w:pPr>
      <w:r w:rsidRPr="000A74DF">
        <w:t>ATC transponders</w:t>
      </w:r>
    </w:p>
    <w:p w:rsidR="00000000" w:rsidRPr="000A74DF" w:rsidP="000A74DF">
      <w:pPr>
        <w:pStyle w:val="ListBullet2"/>
      </w:pPr>
      <w:r w:rsidRPr="000A74DF">
        <w:t>ADS-B.</w:t>
      </w:r>
    </w:p>
    <w:p w:rsidR="00000000" w:rsidRPr="000A74DF" w:rsidP="000A74DF">
      <w:pPr>
        <w:pStyle w:val="ListBullet"/>
      </w:pPr>
      <w:r w:rsidRPr="000A74DF">
        <w:t>relevant WHS practices</w:t>
      </w:r>
    </w:p>
    <w:p w:rsidR="00000000" w:rsidRPr="000A74DF" w:rsidP="000A74DF">
      <w:pPr>
        <w:pStyle w:val="ListBullet"/>
      </w:pPr>
      <w:r w:rsidRPr="000A74DF">
        <w:t>maintenance requirements</w:t>
      </w:r>
    </w:p>
    <w:p w:rsidR="00000000" w:rsidRPr="000A74DF" w:rsidP="000A74DF">
      <w:pPr>
        <w:pStyle w:val="ListBullet"/>
      </w:pPr>
      <w:r w:rsidRPr="000A74DF">
        <w:t>relevant maintenance manuals</w:t>
      </w:r>
    </w:p>
    <w:p w:rsidR="00000000" w:rsidRPr="000A74DF" w:rsidP="000A74DF">
      <w:pPr>
        <w:pStyle w:val="ListBullet"/>
      </w:pPr>
      <w:r w:rsidRPr="000A74DF">
        <w:t>relevant regulatory requirements and standard procedures.</w:t>
      </w:r>
    </w:p>
    <w:p w:rsidR="00000000" w:rsidRPr="000A74DF" w:rsidP="000A74DF">
      <w:pPr>
        <w:pStyle w:val="AllowPageBreak"/>
      </w:pPr>
    </w:p>
    <w:p w:rsidR="00000000" w:rsidRPr="000A74DF" w:rsidP="000A74DF">
      <w:pPr>
        <w:pStyle w:val="Heading1"/>
      </w:pPr>
      <w:bookmarkStart w:id="4" w:name="O_997173"/>
      <w:bookmarkEnd w:id="4"/>
      <w:r w:rsidRPr="000A74DF">
        <w:t>Assessment Conditions</w:t>
      </w:r>
    </w:p>
    <w:p w:rsidR="00000000" w:rsidRPr="000A74DF" w:rsidP="000A74DF">
      <w:pPr>
        <w:pStyle w:val="ListBullet"/>
      </w:pPr>
      <w:r w:rsidRPr="000A74DF">
        <w:t xml:space="preserve">Competency should be assessed in the workplace or simulated workplace using tools and equipment specified in the maintenance manuals. It is also expected that applicable general and special purpose tools, and test and ground support </w:t>
      </w:r>
      <w:r w:rsidRPr="000A74DF">
        <w:t>equipment would be used where appropriate. The work plan should take account of applicable safety and quality requirements in accordance with the industry and regulatory standards.</w:t>
      </w:r>
    </w:p>
    <w:p w:rsidR="00000000" w:rsidRPr="000A74DF" w:rsidP="000A74DF">
      <w:pPr>
        <w:pStyle w:val="ListBullet"/>
      </w:pPr>
      <w:r w:rsidRPr="000A74DF">
        <w:t>The following conditions of assessment represent the requirements of the Re</w:t>
      </w:r>
      <w:r w:rsidRPr="000A74DF">
        <w:t>gulators (ADF and CASA) and maintenance stakeholders and must be rigorously observed.</w:t>
      </w:r>
    </w:p>
    <w:p w:rsidR="00000000" w:rsidRPr="000A74DF" w:rsidP="000A74DF">
      <w:pPr>
        <w:pStyle w:val="ListBullet"/>
      </w:pPr>
      <w:r w:rsidRPr="000A74DF">
        <w:t>A person cannot be assessed as competent until it can be demonstrated to the satisfaction of the workplace assessor that the relevant elements and performance criteria of</w:t>
      </w:r>
      <w:r w:rsidRPr="000A74DF">
        <w:t xml:space="preserve"> the unit of competency are being achieved under routine supervision on each type of system listed in the following groups and on at least one (1) component for each listed system type:</w:t>
      </w:r>
    </w:p>
    <w:p w:rsidR="00000000" w:rsidRPr="000A74DF" w:rsidP="000A74DF">
      <w:pPr>
        <w:pStyle w:val="ListBullet2"/>
      </w:pPr>
      <w:r w:rsidRPr="000A74DF">
        <w:t>electronic instrument displays – EFIS, EICAS, FMS, ECAM and HUD (wher</w:t>
      </w:r>
      <w:r w:rsidRPr="000A74DF">
        <w:t>e applicable to the enterprise)</w:t>
      </w:r>
    </w:p>
    <w:p w:rsidR="00000000" w:rsidRPr="000A74DF" w:rsidP="000A74DF">
      <w:pPr>
        <w:pStyle w:val="ListBullet2"/>
      </w:pPr>
      <w:r w:rsidRPr="000A74DF">
        <w:t>instrument navigation systems – INS, IRS, compasses and AHRS</w:t>
      </w:r>
    </w:p>
    <w:p w:rsidR="00000000" w:rsidRPr="000A74DF" w:rsidP="000A74DF">
      <w:pPr>
        <w:pStyle w:val="ListBullet2"/>
      </w:pPr>
      <w:r w:rsidRPr="000A74DF">
        <w:t>communication systems – HF, VHF, UHF, SATCOM, intercom, data and cabin network services, ELT and CVR</w:t>
      </w:r>
    </w:p>
    <w:p w:rsidR="00000000" w:rsidRPr="000A74DF" w:rsidP="000A74DF">
      <w:pPr>
        <w:pStyle w:val="ListBullet2"/>
      </w:pPr>
      <w:r w:rsidRPr="000A74DF">
        <w:t>radio navigation systems – ADF, VOR, ILS and GNS</w:t>
      </w:r>
    </w:p>
    <w:p w:rsidR="00000000" w:rsidRPr="000A74DF" w:rsidP="000A74DF">
      <w:pPr>
        <w:pStyle w:val="ListBullet2"/>
      </w:pPr>
      <w:r w:rsidRPr="000A74DF">
        <w:t>pulse operate</w:t>
      </w:r>
      <w:r w:rsidRPr="000A74DF">
        <w:t>d systems – weather radar, navigation radar, ATC transponder, ADS-B, RADALT, DME, doppler and ACAS (where applicable to the enterprise)</w:t>
      </w:r>
    </w:p>
    <w:p w:rsidR="00000000" w:rsidRPr="000A74DF" w:rsidP="000A74DF">
      <w:pPr>
        <w:pStyle w:val="ListBullet2"/>
      </w:pPr>
      <w:r w:rsidRPr="000A74DF">
        <w:t>integrated modular avionics (where applicable to the enterprise)</w:t>
      </w:r>
    </w:p>
    <w:p w:rsidR="00000000" w:rsidRPr="000A74DF" w:rsidP="000A74DF">
      <w:pPr>
        <w:pStyle w:val="ListBullet2"/>
      </w:pPr>
      <w:r w:rsidRPr="000A74DF">
        <w:t>information systems –</w:t>
      </w:r>
      <w:r w:rsidRPr="000A74DF">
        <w:t xml:space="preserve"> air traffic and information management, network servers (where applicable to the enterprise).</w:t>
      </w:r>
    </w:p>
    <w:p w:rsidR="00000000" w:rsidRPr="000A74DF" w:rsidP="000A74DF">
      <w:pPr>
        <w:pStyle w:val="ListBullet"/>
      </w:pPr>
      <w:r w:rsidRPr="000A74DF">
        <w:t xml:space="preserve">This shall be established via the records in the Log of Industrial Experience and Achievement or, where appropriate, an equivalent Industry Evidence Guide (for </w:t>
      </w:r>
      <w:r w:rsidRPr="000A74DF">
        <w:t>details refer to the Companion Volume Assessment Guidelines).</w:t>
      </w:r>
    </w:p>
    <w:p w:rsidR="00000000" w:rsidRPr="000A74DF" w:rsidP="000A74DF">
      <w:pPr>
        <w:pStyle w:val="ListBullet"/>
      </w:pPr>
      <w:r w:rsidRPr="000A74DF">
        <w:t>Assessors must satisfy National Vocational Education and Training Regulator (NVR)/Australian Quality Training Framework (AQTF) assessor requirements.</w:t>
      </w:r>
    </w:p>
    <w:p w:rsidR="00000000" w:rsidRPr="000A74DF" w:rsidP="000A74DF">
      <w:pPr>
        <w:pStyle w:val="ListBullet"/>
      </w:pPr>
      <w:r w:rsidRPr="000A74DF">
        <w:t>Where the unit is to be used for CASA licens</w:t>
      </w:r>
      <w:r w:rsidRPr="000A74DF">
        <w:t>ing purposes the Assessor must also meet the criteria specified in the CASR Part 147 Manual of Standards.</w:t>
      </w:r>
    </w:p>
    <w:p w:rsidR="00000000" w:rsidRPr="000A74DF" w:rsidP="000A74DF">
      <w:pPr>
        <w:pStyle w:val="ListBullet"/>
      </w:pPr>
      <w:r w:rsidRPr="000A74DF">
        <w:t>Individuals being assessed who have already attained any of MEA214 Inspect, test and troubleshoot aircraft basic communication and radio navigation sy</w:t>
      </w:r>
      <w:r w:rsidRPr="000A74DF">
        <w:t>stems and components, MEA215 Inspect, test and troubleshoot advanced aircraft communications systems and components, MEA216 Inspect, test and troubleshoot instrument landing systems and components, MEA220 Inspect, test and troubleshoot aircraft primary rad</w:t>
      </w:r>
      <w:r w:rsidRPr="000A74DF">
        <w:t>ar systems and components, and MEA221 Inspect, test and troubleshoot aircraft secondary radar systems and components, MEA233 Inspect, test and troubleshoot aircraft inertial navigation and reference systems and components, and MEA234 Inspect, test and trou</w:t>
      </w:r>
      <w:r w:rsidRPr="000A74DF">
        <w:t>bleshoot aircraft global navigation systems and components, will have covered a significant proportion of the Performance Criteria for Element 1 and will have covered Range of Conditions variables applicable to the unit. The Log of Industrial Experience an</w:t>
      </w:r>
      <w:r w:rsidRPr="000A74DF">
        <w:t>d Achievement records relating to MEA214 Inspect, test and troubleshoot aircraft basic communication and radio navigation systems and components, MEA215 Inspect, test and troubleshoot advanced aircraft communications systems and components, MEA216 Inspect,</w:t>
      </w:r>
      <w:r w:rsidRPr="000A74DF">
        <w:t xml:space="preserve"> test and troubleshoot instrument landing systems and components, MEA220 Inspect, test and troubleshoot aircraft primary radar systems and components, MEA221 Inspect, test and troubleshoot aircraft secondary radar systems and components, MEA233C Inspect, t</w:t>
      </w:r>
      <w:r w:rsidRPr="000A74DF">
        <w:t>est and troubleshoot aircraft inertial navigation and reference systems and components, MEA234 Inspect, test and troubleshoot aircraft global navigation systems and components,</w:t>
      </w:r>
    </w:p>
    <w:p w:rsidR="00000000" w:rsidRPr="000A74DF" w:rsidP="000A74DF">
      <w:pPr>
        <w:pStyle w:val="ListBullet"/>
      </w:pPr>
      <w:r w:rsidRPr="000A74DF">
        <w:t>MEA276 Maintain basic aircraft communication and radio navigation systems and c</w:t>
      </w:r>
      <w:r w:rsidRPr="000A74DF">
        <w:t>omponents, MEA278 Inspect, test and troubleshoot instrument display systems and components, and MEA297 Maintain basic avionic systems and components, may be accepted as also meeting the evidence requirements for this unit in the applicable areas.</w:t>
      </w:r>
    </w:p>
    <w:p w:rsidR="00000000" w:rsidRPr="000A74DF" w:rsidP="000A74DF">
      <w:pPr>
        <w:pStyle w:val="AllowPageBreak"/>
      </w:pPr>
    </w:p>
    <w:p w:rsidR="00000000" w:rsidRPr="000A74DF" w:rsidP="000A74DF">
      <w:pPr>
        <w:pStyle w:val="Heading1"/>
      </w:pPr>
      <w:bookmarkStart w:id="5" w:name="O_997188"/>
      <w:bookmarkEnd w:id="5"/>
      <w:r w:rsidRPr="000A74DF">
        <w:t>Links</w:t>
      </w:r>
    </w:p>
    <w:p w:rsidR="00000000" w:rsidRPr="000A74DF" w:rsidP="00F26A31">
      <w:pPr>
        <w:pStyle w:val="BodyText"/>
      </w:pPr>
      <w:r w:rsidRPr="000A74DF">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A33E0">
        <w:rPr>
          <w:rStyle w:val="Hyperlink"/>
        </w:rPr>
        <w:t>https://vetnet.gov.au/Pages/TrainingDocs.aspx?q=ce216c9c-04d5-4b3b-9bcf-4e81d0950371</w:t>
      </w:r>
      <w:r>
        <w:fldChar w:fldCharType="end"/>
      </w:r>
    </w:p>
    <w:p w:rsidR="00000000" w:rsidRPr="000A74DF" w:rsidP="000A74DF"/>
    <w:sectPr w:rsidSect="000A74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4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4DF" w:rsidRPr="00F26A31" w:rsidP="00F26A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4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A31">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4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A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74DF" w:rsidRPr="00F26A31" w:rsidP="00F26A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4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A31">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E045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5477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AAA8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74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74DF"/>
    <w:pPr>
      <w:spacing w:before="360" w:after="60"/>
      <w:outlineLvl w:val="0"/>
    </w:pPr>
    <w:rPr>
      <w:sz w:val="32"/>
    </w:rPr>
  </w:style>
  <w:style w:type="paragraph" w:styleId="Heading2">
    <w:name w:val="heading 2"/>
    <w:basedOn w:val="HeadingBase"/>
    <w:next w:val="BodyText"/>
    <w:link w:val="Heading2Char"/>
    <w:qFormat/>
    <w:rsid w:val="000A74DF"/>
    <w:pPr>
      <w:keepLines/>
      <w:spacing w:before="240" w:after="120"/>
      <w:outlineLvl w:val="1"/>
    </w:pPr>
    <w:rPr>
      <w:sz w:val="28"/>
      <w:szCs w:val="40"/>
    </w:rPr>
  </w:style>
  <w:style w:type="paragraph" w:styleId="Heading3">
    <w:name w:val="heading 3"/>
    <w:basedOn w:val="HeadingBase"/>
    <w:next w:val="BodyText"/>
    <w:link w:val="Heading3Char"/>
    <w:qFormat/>
    <w:rsid w:val="000A74DF"/>
    <w:pPr>
      <w:spacing w:before="180" w:after="120"/>
      <w:outlineLvl w:val="2"/>
    </w:pPr>
    <w:rPr>
      <w:spacing w:val="-10"/>
      <w:kern w:val="32"/>
    </w:rPr>
  </w:style>
  <w:style w:type="paragraph" w:styleId="Heading4">
    <w:name w:val="heading 4"/>
    <w:basedOn w:val="HeadingBase"/>
    <w:next w:val="BodyText"/>
    <w:link w:val="Heading4Char"/>
    <w:qFormat/>
    <w:rsid w:val="000A74DF"/>
    <w:pPr>
      <w:spacing w:before="160" w:after="120"/>
      <w:outlineLvl w:val="3"/>
    </w:pPr>
    <w:rPr>
      <w:sz w:val="22"/>
    </w:rPr>
  </w:style>
  <w:style w:type="paragraph" w:styleId="Heading5">
    <w:name w:val="heading 5"/>
    <w:basedOn w:val="HeadingBase"/>
    <w:next w:val="Normal"/>
    <w:link w:val="Heading5Char"/>
    <w:qFormat/>
    <w:rsid w:val="000A74DF"/>
    <w:pPr>
      <w:spacing w:before="80"/>
      <w:outlineLvl w:val="4"/>
    </w:pPr>
    <w:rPr>
      <w:color w:val="918585"/>
      <w:sz w:val="20"/>
    </w:rPr>
  </w:style>
  <w:style w:type="paragraph" w:styleId="Heading6">
    <w:name w:val="heading 6"/>
    <w:basedOn w:val="HeadingBase"/>
    <w:next w:val="Normal"/>
    <w:link w:val="Heading6Char"/>
    <w:qFormat/>
    <w:rsid w:val="000A74DF"/>
    <w:pPr>
      <w:spacing w:before="60"/>
      <w:outlineLvl w:val="5"/>
    </w:pPr>
    <w:rPr>
      <w:color w:val="918585"/>
      <w:sz w:val="20"/>
    </w:rPr>
  </w:style>
  <w:style w:type="paragraph" w:styleId="Heading7">
    <w:name w:val="heading 7"/>
    <w:basedOn w:val="Normal"/>
    <w:next w:val="Normal"/>
    <w:link w:val="Heading7Char"/>
    <w:qFormat/>
    <w:rsid w:val="000A74DF"/>
    <w:pPr>
      <w:ind w:left="720"/>
      <w:outlineLvl w:val="6"/>
    </w:pPr>
    <w:rPr>
      <w:i/>
    </w:rPr>
  </w:style>
  <w:style w:type="paragraph" w:styleId="Heading8">
    <w:name w:val="heading 8"/>
    <w:basedOn w:val="Normal"/>
    <w:next w:val="Normal"/>
    <w:link w:val="Heading8Char"/>
    <w:qFormat/>
    <w:rsid w:val="000A74DF"/>
    <w:pPr>
      <w:ind w:left="720"/>
      <w:outlineLvl w:val="7"/>
    </w:pPr>
    <w:rPr>
      <w:i/>
    </w:rPr>
  </w:style>
  <w:style w:type="paragraph" w:styleId="Heading9">
    <w:name w:val="heading 9"/>
    <w:basedOn w:val="Normal"/>
    <w:next w:val="Normal"/>
    <w:link w:val="Heading9Char"/>
    <w:qFormat/>
    <w:rsid w:val="000A74DF"/>
    <w:pPr>
      <w:ind w:left="720"/>
      <w:outlineLvl w:val="8"/>
    </w:pPr>
    <w:rPr>
      <w:i/>
    </w:rPr>
  </w:style>
  <w:style w:type="character" w:default="1" w:styleId="DefaultParagraphFont">
    <w:name w:val="Default Paragraph Font"/>
    <w:uiPriority w:val="1"/>
    <w:unhideWhenUsed/>
    <w:rsid w:val="000A74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74DF"/>
  </w:style>
  <w:style w:type="character" w:customStyle="1" w:styleId="Heading1Char">
    <w:name w:val="Heading 1 Char"/>
    <w:basedOn w:val="DefaultParagraphFont"/>
    <w:link w:val="Heading1"/>
    <w:rsid w:val="000A74DF"/>
    <w:rPr>
      <w:rFonts w:ascii="Times New Roman" w:eastAsia="Times New Roman" w:hAnsi="Times New Roman" w:cs="Times New Roman"/>
      <w:b/>
      <w:sz w:val="32"/>
      <w:szCs w:val="20"/>
      <w:lang w:eastAsia="en-US"/>
    </w:rPr>
  </w:style>
  <w:style w:type="paragraph" w:styleId="BodyText">
    <w:name w:val="Body Text"/>
    <w:basedOn w:val="Normal"/>
    <w:link w:val="BodyTextChar"/>
    <w:rsid w:val="000A74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74DF"/>
    <w:rPr>
      <w:rFonts w:ascii="Times New Roman" w:eastAsia="Times New Roman" w:hAnsi="Times New Roman" w:cs="Times New Roman"/>
      <w:sz w:val="24"/>
      <w:lang w:eastAsia="en-US"/>
    </w:rPr>
  </w:style>
  <w:style w:type="paragraph" w:styleId="ListBullet">
    <w:name w:val="List Bullet"/>
    <w:basedOn w:val="List"/>
    <w:rsid w:val="000A74DF"/>
    <w:pPr>
      <w:numPr>
        <w:numId w:val="13"/>
      </w:numPr>
      <w:tabs>
        <w:tab w:val="clear" w:pos="340"/>
      </w:tabs>
      <w:spacing w:before="40" w:after="40"/>
    </w:pPr>
  </w:style>
  <w:style w:type="paragraph" w:styleId="ListBullet2">
    <w:name w:val="List Bullet 2"/>
    <w:basedOn w:val="List2"/>
    <w:rsid w:val="000A74DF"/>
    <w:pPr>
      <w:numPr>
        <w:numId w:val="14"/>
      </w:numPr>
      <w:tabs>
        <w:tab w:val="clear" w:pos="680"/>
      </w:tabs>
    </w:pPr>
  </w:style>
  <w:style w:type="paragraph" w:customStyle="1" w:styleId="SuperHeading">
    <w:name w:val="SuperHeading"/>
    <w:basedOn w:val="Normal"/>
    <w:rsid w:val="000A74DF"/>
    <w:pPr>
      <w:spacing w:before="240" w:after="120"/>
      <w:outlineLvl w:val="0"/>
    </w:pPr>
    <w:rPr>
      <w:rFonts w:ascii="Times New Roman" w:hAnsi="Times New Roman"/>
      <w:b/>
      <w:sz w:val="32"/>
    </w:rPr>
  </w:style>
  <w:style w:type="paragraph" w:customStyle="1" w:styleId="AllowPageBreak">
    <w:name w:val="AllowPageBreak"/>
    <w:rsid w:val="000A74D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A74DF"/>
    <w:pPr>
      <w:numPr>
        <w:numId w:val="3"/>
      </w:numPr>
      <w:tabs>
        <w:tab w:val="clear" w:pos="1021"/>
      </w:tabs>
      <w:ind w:left="1037" w:hanging="357"/>
    </w:pPr>
  </w:style>
  <w:style w:type="character" w:customStyle="1" w:styleId="Heading2Char">
    <w:name w:val="Heading 2 Char"/>
    <w:basedOn w:val="DefaultParagraphFont"/>
    <w:link w:val="Heading2"/>
    <w:rsid w:val="000A74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74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74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74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74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74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74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74DF"/>
    <w:rPr>
      <w:rFonts w:ascii="Courier New" w:eastAsia="Times New Roman" w:hAnsi="Courier New" w:cs="Times New Roman"/>
      <w:i/>
      <w:szCs w:val="20"/>
      <w:lang w:eastAsia="en-US"/>
    </w:rPr>
  </w:style>
  <w:style w:type="paragraph" w:customStyle="1" w:styleId="HeadingBase">
    <w:name w:val="Heading Base"/>
    <w:rsid w:val="000A74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74DF"/>
    <w:pPr>
      <w:tabs>
        <w:tab w:val="right" w:leader="dot" w:pos="9072"/>
      </w:tabs>
      <w:ind w:left="567"/>
    </w:pPr>
    <w:rPr>
      <w:szCs w:val="22"/>
    </w:rPr>
  </w:style>
  <w:style w:type="paragraph" w:customStyle="1" w:styleId="TOCBase">
    <w:name w:val="TOC Base"/>
    <w:rsid w:val="000A74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74DF"/>
    <w:pPr>
      <w:tabs>
        <w:tab w:val="right" w:leader="dot" w:pos="9072"/>
      </w:tabs>
      <w:spacing w:before="40" w:after="40"/>
      <w:ind w:left="284"/>
    </w:pPr>
    <w:rPr>
      <w:rFonts w:ascii="Times New Roman" w:hAnsi="Times New Roman"/>
    </w:rPr>
  </w:style>
  <w:style w:type="paragraph" w:styleId="TOC1">
    <w:name w:val="toc 1"/>
    <w:basedOn w:val="TOCBase"/>
    <w:next w:val="Normal"/>
    <w:rsid w:val="000A74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74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74DF"/>
    <w:rPr>
      <w:rFonts w:ascii="Times New Roman" w:eastAsia="Times New Roman" w:hAnsi="Times New Roman" w:cs="Times New Roman"/>
      <w:sz w:val="16"/>
      <w:lang w:eastAsia="en-US"/>
    </w:rPr>
  </w:style>
  <w:style w:type="paragraph" w:styleId="Title">
    <w:name w:val="Title"/>
    <w:basedOn w:val="HeadingBase"/>
    <w:link w:val="TitleChar"/>
    <w:qFormat/>
    <w:rsid w:val="000A74DF"/>
    <w:pPr>
      <w:spacing w:before="5040"/>
      <w:jc w:val="center"/>
    </w:pPr>
    <w:rPr>
      <w:sz w:val="48"/>
      <w:szCs w:val="72"/>
      <w:lang w:val="en-US"/>
    </w:rPr>
  </w:style>
  <w:style w:type="character" w:customStyle="1" w:styleId="TitleChar">
    <w:name w:val="Title Char"/>
    <w:basedOn w:val="DefaultParagraphFont"/>
    <w:link w:val="Title"/>
    <w:rsid w:val="000A74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74DF"/>
    <w:pPr>
      <w:tabs>
        <w:tab w:val="left" w:pos="3600"/>
        <w:tab w:val="left" w:pos="3958"/>
      </w:tabs>
    </w:pPr>
  </w:style>
  <w:style w:type="paragraph" w:styleId="List">
    <w:name w:val="List"/>
    <w:basedOn w:val="BodyText"/>
    <w:next w:val="BodyText"/>
    <w:rsid w:val="000A74DF"/>
    <w:pPr>
      <w:tabs>
        <w:tab w:val="left" w:pos="340"/>
      </w:tabs>
      <w:spacing w:before="60" w:after="60"/>
      <w:ind w:left="340" w:hanging="340"/>
    </w:pPr>
  </w:style>
  <w:style w:type="paragraph" w:customStyle="1" w:styleId="Note">
    <w:name w:val="Note"/>
    <w:basedOn w:val="BodyText"/>
    <w:rsid w:val="000A74D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A74DF"/>
    <w:rPr>
      <w:b/>
      <w:spacing w:val="0"/>
    </w:rPr>
  </w:style>
  <w:style w:type="paragraph" w:customStyle="1" w:styleId="SuperTitle">
    <w:name w:val="SuperTitle"/>
    <w:basedOn w:val="Title"/>
    <w:rsid w:val="000A74DF"/>
    <w:pPr>
      <w:framePr w:wrap="auto" w:hAnchor="text" w:y="6049"/>
    </w:pPr>
    <w:rPr>
      <w:color w:val="000000"/>
      <w:sz w:val="40"/>
    </w:rPr>
  </w:style>
  <w:style w:type="paragraph" w:customStyle="1" w:styleId="TOCTitle">
    <w:name w:val="TOCTitle"/>
    <w:basedOn w:val="Heading1"/>
    <w:rsid w:val="000A74DF"/>
    <w:pPr>
      <w:spacing w:after="240"/>
      <w:jc w:val="center"/>
      <w:outlineLvl w:val="9"/>
    </w:pPr>
    <w:rPr>
      <w:caps/>
    </w:rPr>
  </w:style>
  <w:style w:type="paragraph" w:customStyle="1" w:styleId="Version">
    <w:name w:val="Version"/>
    <w:rsid w:val="000A74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74DF"/>
    <w:pPr>
      <w:keepNext w:val="0"/>
      <w:tabs>
        <w:tab w:val="right" w:pos="4176"/>
      </w:tabs>
      <w:ind w:left="198" w:hanging="198"/>
    </w:pPr>
    <w:rPr>
      <w:rFonts w:ascii="Garamond" w:hAnsi="Garamond"/>
    </w:rPr>
  </w:style>
  <w:style w:type="paragraph" w:styleId="IndexHeading">
    <w:name w:val="index heading"/>
    <w:basedOn w:val="Normal"/>
    <w:next w:val="Index1"/>
    <w:semiHidden/>
    <w:rsid w:val="000A74DF"/>
    <w:pPr>
      <w:spacing w:before="120" w:after="120"/>
    </w:pPr>
    <w:rPr>
      <w:rFonts w:ascii="Arial" w:hAnsi="Arial"/>
      <w:b/>
      <w:color w:val="918585"/>
      <w:sz w:val="24"/>
    </w:rPr>
  </w:style>
  <w:style w:type="paragraph" w:styleId="Header">
    <w:name w:val="header"/>
    <w:basedOn w:val="Normal"/>
    <w:link w:val="HeaderChar"/>
    <w:rsid w:val="000A74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74DF"/>
    <w:rPr>
      <w:rFonts w:ascii="Times New Roman" w:eastAsia="Times New Roman" w:hAnsi="Times New Roman" w:cs="Times New Roman"/>
      <w:sz w:val="16"/>
      <w:szCs w:val="20"/>
      <w:lang w:val="en-GB" w:eastAsia="en-US"/>
    </w:rPr>
  </w:style>
  <w:style w:type="paragraph" w:customStyle="1" w:styleId="Chapter">
    <w:name w:val="Chapter"/>
    <w:basedOn w:val="Normal"/>
    <w:rsid w:val="000A74DF"/>
    <w:pPr>
      <w:spacing w:before="240"/>
    </w:pPr>
    <w:rPr>
      <w:rFonts w:ascii="Times New Roman" w:hAnsi="Times New Roman"/>
      <w:smallCaps/>
      <w:spacing w:val="80"/>
      <w:sz w:val="28"/>
    </w:rPr>
  </w:style>
  <w:style w:type="paragraph" w:customStyle="1" w:styleId="InChapter">
    <w:name w:val="InChapter"/>
    <w:basedOn w:val="Heading3"/>
    <w:rsid w:val="000A74DF"/>
    <w:pPr>
      <w:spacing w:after="240"/>
      <w:outlineLvl w:val="9"/>
    </w:pPr>
    <w:rPr>
      <w:noProof/>
    </w:rPr>
  </w:style>
  <w:style w:type="paragraph" w:styleId="Index2">
    <w:name w:val="index 2"/>
    <w:basedOn w:val="Normal"/>
    <w:next w:val="Normal"/>
    <w:semiHidden/>
    <w:rsid w:val="000A74DF"/>
    <w:pPr>
      <w:tabs>
        <w:tab w:val="right" w:pos="4176"/>
      </w:tabs>
      <w:ind w:left="568" w:hanging="284"/>
    </w:pPr>
    <w:rPr>
      <w:rFonts w:ascii="Garamond" w:hAnsi="Garamond"/>
    </w:rPr>
  </w:style>
  <w:style w:type="paragraph" w:customStyle="1" w:styleId="Byline">
    <w:name w:val="Byline"/>
    <w:rsid w:val="000A74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74DF"/>
    <w:pPr>
      <w:tabs>
        <w:tab w:val="clear" w:pos="3600"/>
        <w:tab w:val="clear" w:pos="3958"/>
      </w:tabs>
      <w:jc w:val="right"/>
    </w:pPr>
  </w:style>
  <w:style w:type="character" w:styleId="Emphasis">
    <w:name w:val="Emphasis"/>
    <w:basedOn w:val="DefaultParagraphFont"/>
    <w:qFormat/>
    <w:rsid w:val="000A74DF"/>
    <w:rPr>
      <w:i/>
    </w:rPr>
  </w:style>
  <w:style w:type="paragraph" w:styleId="Caption">
    <w:name w:val="caption"/>
    <w:basedOn w:val="BodyText"/>
    <w:next w:val="Normal"/>
    <w:qFormat/>
    <w:rsid w:val="000A74DF"/>
    <w:pPr>
      <w:framePr w:w="2268" w:hSpace="181" w:vSpace="181" w:wrap="around" w:vAnchor="text" w:hAnchor="page" w:x="1135" w:y="285" w:anchorLock="1"/>
    </w:pPr>
    <w:rPr>
      <w:i/>
    </w:rPr>
  </w:style>
  <w:style w:type="paragraph" w:customStyle="1" w:styleId="MiniTOCTitle">
    <w:name w:val="MiniTOCTitle"/>
    <w:basedOn w:val="Heading4"/>
    <w:rsid w:val="000A74DF"/>
    <w:pPr>
      <w:spacing w:before="240"/>
      <w:outlineLvl w:val="9"/>
    </w:pPr>
    <w:rPr>
      <w:noProof/>
      <w:sz w:val="24"/>
    </w:rPr>
  </w:style>
  <w:style w:type="paragraph" w:customStyle="1" w:styleId="MiniTOCItem">
    <w:name w:val="MiniTOCItem"/>
    <w:basedOn w:val="ListBullet"/>
    <w:rsid w:val="000A74DF"/>
    <w:pPr>
      <w:numPr>
        <w:numId w:val="0"/>
      </w:numPr>
      <w:tabs>
        <w:tab w:val="right" w:leader="dot" w:pos="6521"/>
      </w:tabs>
      <w:spacing w:before="0" w:after="0"/>
    </w:pPr>
  </w:style>
  <w:style w:type="paragraph" w:customStyle="1" w:styleId="TOFTitle">
    <w:name w:val="TOFTitle"/>
    <w:basedOn w:val="TOCTitle"/>
    <w:rsid w:val="000A74DF"/>
  </w:style>
  <w:style w:type="paragraph" w:styleId="TableofFigures">
    <w:name w:val="table of figures"/>
    <w:basedOn w:val="Normal"/>
    <w:next w:val="Normal"/>
    <w:semiHidden/>
    <w:rsid w:val="000A74DF"/>
    <w:pPr>
      <w:tabs>
        <w:tab w:val="right" w:leader="dot" w:pos="9072"/>
      </w:tabs>
      <w:ind w:left="970" w:hanging="403"/>
    </w:pPr>
    <w:rPr>
      <w:rFonts w:ascii="Times New Roman" w:hAnsi="Times New Roman"/>
      <w:b/>
    </w:rPr>
  </w:style>
  <w:style w:type="paragraph" w:styleId="ListNumber">
    <w:name w:val="List Number"/>
    <w:basedOn w:val="List"/>
    <w:rsid w:val="000A74DF"/>
    <w:pPr>
      <w:numPr>
        <w:numId w:val="16"/>
      </w:numPr>
      <w:tabs>
        <w:tab w:val="clear" w:pos="340"/>
      </w:tabs>
    </w:pPr>
  </w:style>
  <w:style w:type="character" w:customStyle="1" w:styleId="WingdingSymbols">
    <w:name w:val="Wingding Symbols"/>
    <w:rsid w:val="000A74DF"/>
    <w:rPr>
      <w:rFonts w:ascii="Wingdings" w:hAnsi="Wingdings"/>
    </w:rPr>
  </w:style>
  <w:style w:type="paragraph" w:customStyle="1" w:styleId="TableHeading">
    <w:name w:val="Table Heading"/>
    <w:basedOn w:val="HeadingBase"/>
    <w:rsid w:val="000A74DF"/>
    <w:pPr>
      <w:keepLines/>
      <w:pBdr>
        <w:bottom w:val="single" w:sz="6" w:space="1" w:color="918585"/>
      </w:pBdr>
      <w:spacing w:before="240"/>
    </w:pPr>
  </w:style>
  <w:style w:type="character" w:customStyle="1" w:styleId="HotSpot">
    <w:name w:val="HotSpot"/>
    <w:rsid w:val="000A74DF"/>
    <w:rPr>
      <w:color w:val="0033CC"/>
      <w:u w:val="none"/>
    </w:rPr>
  </w:style>
  <w:style w:type="paragraph" w:customStyle="1" w:styleId="BodyTextRight">
    <w:name w:val="Body Text Right"/>
    <w:basedOn w:val="BodyText"/>
    <w:rsid w:val="000A74DF"/>
    <w:pPr>
      <w:spacing w:before="0" w:after="0"/>
      <w:jc w:val="right"/>
    </w:pPr>
  </w:style>
  <w:style w:type="paragraph" w:styleId="Index3">
    <w:name w:val="index 3"/>
    <w:basedOn w:val="ListNumber2"/>
    <w:next w:val="Normal"/>
    <w:semiHidden/>
    <w:rsid w:val="000A74DF"/>
    <w:pPr>
      <w:numPr>
        <w:numId w:val="0"/>
      </w:numPr>
      <w:tabs>
        <w:tab w:val="right" w:leader="dot" w:pos="4176"/>
      </w:tabs>
    </w:pPr>
  </w:style>
  <w:style w:type="paragraph" w:styleId="ListNumber2">
    <w:name w:val="List Number 2"/>
    <w:basedOn w:val="List2"/>
    <w:rsid w:val="000A74DF"/>
    <w:pPr>
      <w:numPr>
        <w:numId w:val="11"/>
      </w:numPr>
      <w:tabs>
        <w:tab w:val="clear" w:pos="1060"/>
      </w:tabs>
    </w:pPr>
  </w:style>
  <w:style w:type="paragraph" w:customStyle="1" w:styleId="MarginNote">
    <w:name w:val="Margin Note"/>
    <w:basedOn w:val="BodyText"/>
    <w:rsid w:val="000A74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74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74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74DF"/>
    <w:rPr>
      <w:sz w:val="32"/>
    </w:rPr>
  </w:style>
  <w:style w:type="paragraph" w:customStyle="1" w:styleId="HeadingProcedure">
    <w:name w:val="Heading Procedure"/>
    <w:basedOn w:val="HeadingBase"/>
    <w:next w:val="Normal"/>
    <w:rsid w:val="000A74DF"/>
    <w:pPr>
      <w:tabs>
        <w:tab w:val="left" w:pos="0"/>
      </w:tabs>
      <w:spacing w:before="120" w:after="60"/>
    </w:pPr>
    <w:rPr>
      <w:i/>
      <w:color w:val="918585"/>
      <w:sz w:val="22"/>
    </w:rPr>
  </w:style>
  <w:style w:type="paragraph" w:customStyle="1" w:styleId="TableBodyText">
    <w:name w:val="Table Body Text"/>
    <w:basedOn w:val="BodyText"/>
    <w:rsid w:val="000A74DF"/>
    <w:pPr>
      <w:spacing w:before="60" w:after="60"/>
    </w:pPr>
  </w:style>
  <w:style w:type="paragraph" w:styleId="ListContinue">
    <w:name w:val="List Continue"/>
    <w:basedOn w:val="List"/>
    <w:rsid w:val="000A74DF"/>
    <w:pPr>
      <w:ind w:firstLine="0"/>
    </w:pPr>
  </w:style>
  <w:style w:type="paragraph" w:customStyle="1" w:styleId="ListNote">
    <w:name w:val="List Note"/>
    <w:basedOn w:val="List"/>
    <w:rsid w:val="000A74DF"/>
    <w:pPr>
      <w:pBdr>
        <w:top w:val="single" w:sz="6" w:space="2" w:color="918585"/>
        <w:bottom w:val="single" w:sz="6" w:space="2" w:color="918585"/>
      </w:pBdr>
      <w:tabs>
        <w:tab w:val="left" w:pos="1021"/>
      </w:tabs>
      <w:ind w:firstLine="0"/>
    </w:pPr>
  </w:style>
  <w:style w:type="paragraph" w:customStyle="1" w:styleId="Warning">
    <w:name w:val="Warning"/>
    <w:basedOn w:val="BodyText"/>
    <w:rsid w:val="000A74DF"/>
    <w:pPr>
      <w:shd w:val="clear" w:color="auto" w:fill="D9D9D9"/>
      <w:tabs>
        <w:tab w:val="left" w:pos="992"/>
      </w:tabs>
      <w:ind w:left="119" w:right="119"/>
    </w:pPr>
    <w:rPr>
      <w:sz w:val="20"/>
    </w:rPr>
  </w:style>
  <w:style w:type="paragraph" w:customStyle="1" w:styleId="MarginIcons">
    <w:name w:val="Margin Icons"/>
    <w:basedOn w:val="BodyText"/>
    <w:rsid w:val="000A74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74DF"/>
    <w:rPr>
      <w:rFonts w:ascii="Courier New" w:hAnsi="Courier New"/>
    </w:rPr>
  </w:style>
  <w:style w:type="paragraph" w:customStyle="1" w:styleId="NoteBullet">
    <w:name w:val="Note Bullet"/>
    <w:basedOn w:val="Note"/>
    <w:rsid w:val="000A74DF"/>
    <w:pPr>
      <w:tabs>
        <w:tab w:val="clear" w:pos="680"/>
      </w:tabs>
      <w:spacing w:before="60" w:after="60"/>
    </w:pPr>
  </w:style>
  <w:style w:type="paragraph" w:customStyle="1" w:styleId="SubHeading2">
    <w:name w:val="SubHeading2"/>
    <w:basedOn w:val="HeadingBase"/>
    <w:rsid w:val="000A74DF"/>
    <w:pPr>
      <w:spacing w:before="240" w:after="60"/>
    </w:pPr>
    <w:rPr>
      <w:sz w:val="20"/>
    </w:rPr>
  </w:style>
  <w:style w:type="paragraph" w:customStyle="1" w:styleId="SubHeading1">
    <w:name w:val="SubHeading1"/>
    <w:basedOn w:val="HeadingBase"/>
    <w:rsid w:val="000A74DF"/>
    <w:pPr>
      <w:spacing w:before="240" w:after="60"/>
    </w:pPr>
    <w:rPr>
      <w:color w:val="918585"/>
      <w:sz w:val="22"/>
    </w:rPr>
  </w:style>
  <w:style w:type="paragraph" w:customStyle="1" w:styleId="SideHeading">
    <w:name w:val="Side Heading"/>
    <w:basedOn w:val="HeadingBase"/>
    <w:rsid w:val="000A74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74DF"/>
    <w:pPr>
      <w:numPr>
        <w:numId w:val="12"/>
      </w:numPr>
    </w:pPr>
  </w:style>
  <w:style w:type="paragraph" w:styleId="PlainText">
    <w:name w:val="Plain Text"/>
    <w:basedOn w:val="Normal"/>
    <w:link w:val="PlainTextChar"/>
    <w:rsid w:val="000A74DF"/>
    <w:rPr>
      <w:sz w:val="20"/>
    </w:rPr>
  </w:style>
  <w:style w:type="character" w:customStyle="1" w:styleId="PlainTextChar">
    <w:name w:val="Plain Text Char"/>
    <w:basedOn w:val="DefaultParagraphFont"/>
    <w:link w:val="PlainText"/>
    <w:rsid w:val="000A74DF"/>
    <w:rPr>
      <w:rFonts w:ascii="Courier New" w:eastAsia="Times New Roman" w:hAnsi="Courier New" w:cs="Times New Roman"/>
      <w:sz w:val="20"/>
      <w:szCs w:val="20"/>
      <w:lang w:eastAsia="en-US"/>
    </w:rPr>
  </w:style>
  <w:style w:type="character" w:customStyle="1" w:styleId="MenuOption">
    <w:name w:val="Menu Option"/>
    <w:basedOn w:val="DefaultParagraphFont"/>
    <w:rsid w:val="000A74DF"/>
    <w:rPr>
      <w:b/>
      <w:smallCaps/>
    </w:rPr>
  </w:style>
  <w:style w:type="paragraph" w:customStyle="1" w:styleId="TableListNumber">
    <w:name w:val="Table List Number"/>
    <w:basedOn w:val="ListNumber"/>
    <w:rsid w:val="000A74DF"/>
    <w:pPr>
      <w:numPr>
        <w:numId w:val="0"/>
      </w:numPr>
    </w:pPr>
  </w:style>
  <w:style w:type="paragraph" w:styleId="TOC4">
    <w:name w:val="toc 4"/>
    <w:basedOn w:val="TOCBase"/>
    <w:next w:val="Normal"/>
    <w:semiHidden/>
    <w:rsid w:val="000A74DF"/>
    <w:pPr>
      <w:tabs>
        <w:tab w:val="right" w:leader="dot" w:pos="9071"/>
      </w:tabs>
      <w:ind w:left="1701"/>
    </w:pPr>
  </w:style>
  <w:style w:type="paragraph" w:customStyle="1" w:styleId="ListAlpha">
    <w:name w:val="List Alpha"/>
    <w:basedOn w:val="List"/>
    <w:rsid w:val="000A74DF"/>
    <w:pPr>
      <w:numPr>
        <w:numId w:val="10"/>
      </w:numPr>
    </w:pPr>
  </w:style>
  <w:style w:type="paragraph" w:customStyle="1" w:styleId="ListAlpha2">
    <w:name w:val="List Alpha 2"/>
    <w:basedOn w:val="List2"/>
    <w:rsid w:val="000A74DF"/>
    <w:pPr>
      <w:numPr>
        <w:numId w:val="9"/>
      </w:numPr>
    </w:pPr>
  </w:style>
  <w:style w:type="paragraph" w:styleId="List2">
    <w:name w:val="List 2"/>
    <w:basedOn w:val="BodyText"/>
    <w:rsid w:val="000A74DF"/>
    <w:pPr>
      <w:tabs>
        <w:tab w:val="left" w:pos="680"/>
      </w:tabs>
      <w:spacing w:before="60" w:after="60"/>
      <w:ind w:left="680" w:hanging="340"/>
    </w:pPr>
  </w:style>
  <w:style w:type="paragraph" w:styleId="List3">
    <w:name w:val="List 3"/>
    <w:basedOn w:val="BodyText"/>
    <w:rsid w:val="000A74DF"/>
    <w:pPr>
      <w:tabs>
        <w:tab w:val="left" w:pos="1021"/>
      </w:tabs>
      <w:spacing w:before="60" w:after="60"/>
      <w:ind w:left="1020" w:hanging="340"/>
    </w:pPr>
  </w:style>
  <w:style w:type="paragraph" w:styleId="List4">
    <w:name w:val="List 4"/>
    <w:basedOn w:val="BodyText"/>
    <w:rsid w:val="000A74DF"/>
    <w:pPr>
      <w:tabs>
        <w:tab w:val="left" w:pos="1361"/>
      </w:tabs>
      <w:spacing w:before="60" w:after="60"/>
      <w:ind w:left="1361" w:hanging="340"/>
    </w:pPr>
  </w:style>
  <w:style w:type="paragraph" w:styleId="List5">
    <w:name w:val="List 5"/>
    <w:basedOn w:val="BodyText"/>
    <w:rsid w:val="000A74DF"/>
    <w:pPr>
      <w:tabs>
        <w:tab w:val="left" w:pos="1701"/>
      </w:tabs>
      <w:spacing w:before="60" w:after="60"/>
      <w:ind w:left="1701" w:hanging="340"/>
    </w:pPr>
  </w:style>
  <w:style w:type="paragraph" w:styleId="ListBullet4">
    <w:name w:val="List Bullet 4"/>
    <w:basedOn w:val="List4"/>
    <w:rsid w:val="000A74DF"/>
    <w:pPr>
      <w:numPr>
        <w:numId w:val="4"/>
      </w:numPr>
      <w:tabs>
        <w:tab w:val="clear" w:pos="1361"/>
      </w:tabs>
    </w:pPr>
  </w:style>
  <w:style w:type="paragraph" w:styleId="ListBullet5">
    <w:name w:val="List Bullet 5"/>
    <w:basedOn w:val="List5"/>
    <w:rsid w:val="000A74DF"/>
    <w:pPr>
      <w:numPr>
        <w:numId w:val="5"/>
      </w:numPr>
    </w:pPr>
  </w:style>
  <w:style w:type="paragraph" w:styleId="ListContinue2">
    <w:name w:val="List Continue 2"/>
    <w:basedOn w:val="List2"/>
    <w:rsid w:val="000A74DF"/>
    <w:pPr>
      <w:ind w:firstLine="0"/>
    </w:pPr>
  </w:style>
  <w:style w:type="paragraph" w:styleId="ListContinue3">
    <w:name w:val="List Continue 3"/>
    <w:basedOn w:val="List3"/>
    <w:rsid w:val="000A74DF"/>
    <w:pPr>
      <w:ind w:left="1021" w:firstLine="0"/>
    </w:pPr>
  </w:style>
  <w:style w:type="paragraph" w:styleId="ListContinue4">
    <w:name w:val="List Continue 4"/>
    <w:basedOn w:val="List4"/>
    <w:rsid w:val="000A74DF"/>
    <w:pPr>
      <w:ind w:firstLine="0"/>
    </w:pPr>
  </w:style>
  <w:style w:type="paragraph" w:styleId="ListContinue5">
    <w:name w:val="List Continue 5"/>
    <w:basedOn w:val="List5"/>
    <w:rsid w:val="000A74DF"/>
    <w:pPr>
      <w:ind w:firstLine="0"/>
    </w:pPr>
  </w:style>
  <w:style w:type="paragraph" w:styleId="ListNumber3">
    <w:name w:val="List Number 3"/>
    <w:basedOn w:val="List3"/>
    <w:rsid w:val="000A74DF"/>
    <w:pPr>
      <w:numPr>
        <w:numId w:val="6"/>
      </w:numPr>
    </w:pPr>
  </w:style>
  <w:style w:type="paragraph" w:styleId="ListNumber4">
    <w:name w:val="List Number 4"/>
    <w:basedOn w:val="List4"/>
    <w:rsid w:val="000A74DF"/>
    <w:pPr>
      <w:numPr>
        <w:numId w:val="7"/>
      </w:numPr>
    </w:pPr>
  </w:style>
  <w:style w:type="paragraph" w:styleId="ListNumber5">
    <w:name w:val="List Number 5"/>
    <w:basedOn w:val="List5"/>
    <w:rsid w:val="000A74DF"/>
    <w:pPr>
      <w:numPr>
        <w:numId w:val="8"/>
      </w:numPr>
    </w:pPr>
  </w:style>
  <w:style w:type="paragraph" w:styleId="BlockText">
    <w:name w:val="Block Text"/>
    <w:basedOn w:val="Normal"/>
    <w:rsid w:val="000A74DF"/>
    <w:pPr>
      <w:spacing w:after="120"/>
      <w:ind w:left="1440" w:right="1440"/>
    </w:pPr>
  </w:style>
  <w:style w:type="character" w:customStyle="1" w:styleId="Subscript">
    <w:name w:val="Subscript"/>
    <w:basedOn w:val="DefaultParagraphFont"/>
    <w:rsid w:val="000A74DF"/>
    <w:rPr>
      <w:sz w:val="16"/>
      <w:vertAlign w:val="subscript"/>
    </w:rPr>
  </w:style>
  <w:style w:type="character" w:customStyle="1" w:styleId="Superscript">
    <w:name w:val="Superscript"/>
    <w:basedOn w:val="DefaultParagraphFont"/>
    <w:rsid w:val="000A74DF"/>
    <w:rPr>
      <w:sz w:val="16"/>
      <w:vertAlign w:val="superscript"/>
    </w:rPr>
  </w:style>
  <w:style w:type="character" w:customStyle="1" w:styleId="Symbols">
    <w:name w:val="Symbols"/>
    <w:basedOn w:val="DefaultParagraphFont"/>
    <w:rsid w:val="000A74DF"/>
    <w:rPr>
      <w:rFonts w:ascii="Symbol" w:hAnsi="Symbol"/>
    </w:rPr>
  </w:style>
  <w:style w:type="character" w:customStyle="1" w:styleId="MenuOptions">
    <w:name w:val="Menu Options"/>
    <w:basedOn w:val="DefaultParagraphFont"/>
    <w:rsid w:val="000A74DF"/>
    <w:rPr>
      <w:rFonts w:ascii="Arial Narrow" w:hAnsi="Arial Narrow"/>
      <w:smallCaps/>
    </w:rPr>
  </w:style>
  <w:style w:type="character" w:customStyle="1" w:styleId="Buttons">
    <w:name w:val="Buttons"/>
    <w:basedOn w:val="DefaultParagraphFont"/>
    <w:rsid w:val="000A74DF"/>
    <w:rPr>
      <w:b/>
    </w:rPr>
  </w:style>
  <w:style w:type="character" w:customStyle="1" w:styleId="Underlined">
    <w:name w:val="Underlined"/>
    <w:basedOn w:val="DefaultParagraphFont"/>
    <w:rsid w:val="000A74DF"/>
    <w:rPr>
      <w:u w:val="single"/>
    </w:rPr>
  </w:style>
  <w:style w:type="paragraph" w:customStyle="1" w:styleId="TableBodyTextRight">
    <w:name w:val="Table Body Text Right"/>
    <w:basedOn w:val="TableBodyText"/>
    <w:rsid w:val="000A74DF"/>
    <w:pPr>
      <w:widowControl w:val="0"/>
      <w:autoSpaceDE w:val="0"/>
      <w:autoSpaceDN w:val="0"/>
      <w:adjustRightInd w:val="0"/>
      <w:jc w:val="right"/>
    </w:pPr>
    <w:rPr>
      <w:rFonts w:cs="Arial"/>
      <w:szCs w:val="18"/>
    </w:rPr>
  </w:style>
  <w:style w:type="paragraph" w:customStyle="1" w:styleId="CopyrightText">
    <w:name w:val="Copyright Text"/>
    <w:basedOn w:val="BodyText"/>
    <w:rsid w:val="000A74DF"/>
    <w:rPr>
      <w:sz w:val="18"/>
    </w:rPr>
  </w:style>
  <w:style w:type="paragraph" w:customStyle="1" w:styleId="BodySmallRight">
    <w:name w:val="Body Small Right"/>
    <w:basedOn w:val="BodyTextRight"/>
    <w:rsid w:val="000A74DF"/>
    <w:rPr>
      <w:sz w:val="18"/>
      <w:szCs w:val="18"/>
    </w:rPr>
  </w:style>
  <w:style w:type="paragraph" w:customStyle="1" w:styleId="MarginEdition">
    <w:name w:val="Margin Edition"/>
    <w:basedOn w:val="MarginNote"/>
    <w:rsid w:val="000A74DF"/>
    <w:pPr>
      <w:spacing w:before="0" w:after="0"/>
    </w:pPr>
    <w:rPr>
      <w:rFonts w:ascii="Times New Roman" w:hAnsi="Times New Roman"/>
      <w:color w:val="999999"/>
    </w:rPr>
  </w:style>
  <w:style w:type="paragraph" w:customStyle="1" w:styleId="Spacer">
    <w:name w:val="Spacer"/>
    <w:basedOn w:val="Normal"/>
    <w:rsid w:val="000A74DF"/>
    <w:rPr>
      <w:sz w:val="2"/>
      <w:szCs w:val="2"/>
    </w:rPr>
  </w:style>
  <w:style w:type="character" w:customStyle="1" w:styleId="Small">
    <w:name w:val="Small"/>
    <w:basedOn w:val="DefaultParagraphFont"/>
    <w:rsid w:val="000A74DF"/>
    <w:rPr>
      <w:sz w:val="16"/>
    </w:rPr>
  </w:style>
  <w:style w:type="paragraph" w:customStyle="1" w:styleId="WideTable">
    <w:name w:val="Wide Table"/>
    <w:basedOn w:val="Normal"/>
    <w:rsid w:val="000A74DF"/>
    <w:pPr>
      <w:ind w:left="-1418"/>
    </w:pPr>
    <w:rPr>
      <w:sz w:val="2"/>
      <w:szCs w:val="2"/>
    </w:rPr>
  </w:style>
  <w:style w:type="character" w:styleId="PageNumber">
    <w:name w:val="page number"/>
    <w:basedOn w:val="DefaultParagraphFont"/>
    <w:rsid w:val="000A74DF"/>
  </w:style>
  <w:style w:type="paragraph" w:styleId="Quote">
    <w:name w:val="Quote"/>
    <w:basedOn w:val="Heading1"/>
    <w:link w:val="QuoteChar"/>
    <w:qFormat/>
    <w:rsid w:val="000A74DF"/>
    <w:rPr>
      <w:b w:val="0"/>
      <w:sz w:val="72"/>
      <w:szCs w:val="72"/>
      <w:lang w:val="en-NZ"/>
    </w:rPr>
  </w:style>
  <w:style w:type="character" w:customStyle="1" w:styleId="QuoteChar">
    <w:name w:val="Quote Char"/>
    <w:basedOn w:val="DefaultParagraphFont"/>
    <w:link w:val="Quote"/>
    <w:rsid w:val="000A74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74DF"/>
    <w:pPr>
      <w:pageBreakBefore/>
    </w:pPr>
  </w:style>
  <w:style w:type="paragraph" w:customStyle="1" w:styleId="Border">
    <w:name w:val="Border"/>
    <w:basedOn w:val="Normal"/>
    <w:qFormat/>
    <w:rsid w:val="000A74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74DF"/>
    <w:rPr>
      <w:b/>
      <w:bCs/>
      <w:i/>
      <w:iCs/>
      <w:color w:val="auto"/>
    </w:rPr>
  </w:style>
  <w:style w:type="paragraph" w:styleId="IntenseQuote">
    <w:name w:val="Intense Quote"/>
    <w:basedOn w:val="Normal"/>
    <w:next w:val="Normal"/>
    <w:link w:val="IntenseQuoteChar"/>
    <w:uiPriority w:val="30"/>
    <w:qFormat/>
    <w:rsid w:val="000A74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74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74DF"/>
    <w:rPr>
      <w:smallCaps/>
      <w:color w:val="auto"/>
      <w:u w:val="single"/>
    </w:rPr>
  </w:style>
  <w:style w:type="character" w:styleId="IntenseReference">
    <w:name w:val="Intense Reference"/>
    <w:basedOn w:val="DefaultParagraphFont"/>
    <w:uiPriority w:val="32"/>
    <w:qFormat/>
    <w:rsid w:val="000A74DF"/>
    <w:rPr>
      <w:b/>
      <w:bCs/>
      <w:smallCaps/>
      <w:color w:val="auto"/>
      <w:spacing w:val="5"/>
      <w:u w:val="single"/>
    </w:rPr>
  </w:style>
  <w:style w:type="paragraph" w:customStyle="1" w:styleId="2ColumnHeading">
    <w:name w:val="2Column Heading"/>
    <w:basedOn w:val="BodyText"/>
    <w:qFormat/>
    <w:rsid w:val="000A74DF"/>
    <w:pPr>
      <w:spacing w:after="60"/>
      <w:ind w:left="-2268"/>
    </w:pPr>
    <w:rPr>
      <w:b/>
    </w:rPr>
  </w:style>
  <w:style w:type="paragraph" w:customStyle="1" w:styleId="Heading1TOC">
    <w:name w:val="Heading1 TOC"/>
    <w:basedOn w:val="Normal"/>
    <w:qFormat/>
    <w:rsid w:val="000A74DF"/>
    <w:pPr>
      <w:spacing w:before="240" w:after="120"/>
    </w:pPr>
    <w:rPr>
      <w:rFonts w:ascii="Times New Roman" w:hAnsi="Times New Roman"/>
      <w:b/>
      <w:sz w:val="32"/>
    </w:rPr>
  </w:style>
  <w:style w:type="paragraph" w:customStyle="1" w:styleId="Heading2TOC">
    <w:name w:val="Heading2 TOC"/>
    <w:basedOn w:val="Normal"/>
    <w:qFormat/>
    <w:rsid w:val="000A74DF"/>
    <w:pPr>
      <w:spacing w:before="240" w:after="60"/>
    </w:pPr>
    <w:rPr>
      <w:rFonts w:ascii="Times New Roman" w:hAnsi="Times New Roman"/>
      <w:b/>
      <w:sz w:val="28"/>
    </w:rPr>
  </w:style>
  <w:style w:type="character" w:customStyle="1" w:styleId="Underline">
    <w:name w:val="Underline"/>
    <w:basedOn w:val="DefaultParagraphFont"/>
    <w:qFormat/>
    <w:rsid w:val="000A74DF"/>
    <w:rPr>
      <w:u w:val="single"/>
    </w:rPr>
  </w:style>
  <w:style w:type="character" w:customStyle="1" w:styleId="BoldandItalics">
    <w:name w:val="Bold and Italics"/>
    <w:qFormat/>
    <w:rsid w:val="000A74DF"/>
    <w:rPr>
      <w:b/>
      <w:i/>
      <w:u w:val="none"/>
    </w:rPr>
  </w:style>
  <w:style w:type="paragraph" w:styleId="BalloonText">
    <w:name w:val="Balloon Text"/>
    <w:basedOn w:val="Normal"/>
    <w:link w:val="BalloonTextChar"/>
    <w:rsid w:val="000A74DF"/>
    <w:rPr>
      <w:rFonts w:ascii="Tahoma" w:hAnsi="Tahoma" w:cs="Tahoma"/>
      <w:sz w:val="16"/>
      <w:szCs w:val="16"/>
    </w:rPr>
  </w:style>
  <w:style w:type="character" w:customStyle="1" w:styleId="BalloonTextChar">
    <w:name w:val="Balloon Text Char"/>
    <w:basedOn w:val="DefaultParagraphFont"/>
    <w:link w:val="BalloonText"/>
    <w:rsid w:val="000A74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74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74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74DF"/>
    <w:rPr>
      <w:b/>
      <w:color w:val="660033"/>
      <w:spacing w:val="0"/>
    </w:rPr>
  </w:style>
  <w:style w:type="paragraph" w:customStyle="1" w:styleId="Nameditemlist">
    <w:name w:val="Named item list"/>
    <w:basedOn w:val="BodyText"/>
    <w:qFormat/>
    <w:rsid w:val="000A74DF"/>
    <w:pPr>
      <w:tabs>
        <w:tab w:val="left" w:pos="2835"/>
      </w:tabs>
      <w:ind w:left="2835" w:hanging="2835"/>
    </w:pPr>
  </w:style>
  <w:style w:type="paragraph" w:customStyle="1" w:styleId="BodyTextnopadding">
    <w:name w:val="Body Text no padding"/>
    <w:basedOn w:val="BodyText"/>
    <w:qFormat/>
    <w:rsid w:val="000A74DF"/>
    <w:pPr>
      <w:spacing w:before="0" w:after="0"/>
    </w:pPr>
  </w:style>
  <w:style w:type="paragraph" w:customStyle="1" w:styleId="BodyTextBold">
    <w:name w:val="Body Text Bold"/>
    <w:basedOn w:val="BodyText"/>
    <w:qFormat/>
    <w:rsid w:val="000A74DF"/>
    <w:rPr>
      <w:b/>
    </w:rPr>
  </w:style>
  <w:style w:type="character" w:styleId="Hyperlink">
    <w:name w:val="Hyperlink"/>
    <w:basedOn w:val="DefaultParagraphFont"/>
    <w:uiPriority w:val="99"/>
    <w:unhideWhenUsed/>
    <w:rsid w:val="00F26A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1033</Words>
  <Characters>6767</Characters>
  <Application>Microsoft Office Word</Application>
  <DocSecurity>0</DocSecurity>
  <Lines>157</Lines>
  <Paragraphs>105</Paragraphs>
  <ScaleCrop>false</ScaleCrop>
  <Company>Author-it Software Corporation Ltd.</Company>
  <LinksUpToDate>false</LinksUpToDate>
  <CharactersWithSpaces>7695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MEA226 Inspect aircraft electronic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2022-11-22T01:53:00Z</dcterms:created>
  <dcterms:modified xsi:type="dcterms:W3CDTF">2022-11-22T01:53:00Z</dcterms:modified>
</cp:coreProperties>
</file>