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1C3" w:rsidP="002141C3">
      <w:pPr>
        <w:pStyle w:val="Title"/>
      </w:pPr>
      <w:r>
        <w:fldChar w:fldCharType="begin"/>
      </w:r>
      <w:r>
        <w:instrText xml:space="preserve"> TITLE   \* MERGEFORMAT </w:instrText>
      </w:r>
      <w:r>
        <w:fldChar w:fldCharType="separate"/>
      </w:r>
      <w:r>
        <w:t>Assessment Requirements for MEA224 Inspect aircraft instrument systems and components</w:t>
      </w:r>
      <w:r>
        <w:fldChar w:fldCharType="end"/>
      </w:r>
    </w:p>
    <w:p w:rsidR="002141C3" w:rsidP="002141C3">
      <w:pPr>
        <w:pStyle w:val="Version"/>
        <w:sectPr w:rsidSect="004A56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5681" w:rsidP="004A5681">
      <w:pPr>
        <w:pStyle w:val="SuperHeading"/>
      </w:pPr>
      <w:r w:rsidRPr="004A5681">
        <w:t>Assessment Requirements for MEA224 Inspect aircraft instrument systems and components</w:t>
      </w:r>
    </w:p>
    <w:p w:rsidR="00000000" w:rsidRPr="004A5681" w:rsidP="004A5681">
      <w:pPr>
        <w:pStyle w:val="Heading1"/>
      </w:pPr>
      <w:bookmarkStart w:id="1" w:name="O_997078"/>
      <w:bookmarkEnd w:id="1"/>
      <w:r w:rsidRPr="004A5681">
        <w:t>Modification History</w:t>
      </w:r>
    </w:p>
    <w:p w:rsidR="00000000" w:rsidRPr="004A5681" w:rsidP="002141C3">
      <w:pPr>
        <w:pStyle w:val="BodyText"/>
      </w:pPr>
      <w:r w:rsidRPr="004A5681">
        <w:t>Release 2. Equivalent to MEA224 Inspect aircraft instrument systems and components with amended prerequisite codes.</w:t>
      </w:r>
    </w:p>
    <w:p w:rsidR="00000000" w:rsidRPr="004A5681" w:rsidP="004A5681">
      <w:pPr>
        <w:pStyle w:val="Heading1"/>
      </w:pPr>
      <w:bookmarkStart w:id="2" w:name="O_997077"/>
      <w:bookmarkEnd w:id="2"/>
      <w:r w:rsidRPr="004A5681">
        <w:t>Performance Evidence</w:t>
      </w:r>
    </w:p>
    <w:p w:rsidR="00000000" w:rsidRPr="004A5681" w:rsidP="004A5681">
      <w:pPr>
        <w:pStyle w:val="ListBullet"/>
      </w:pPr>
      <w:r w:rsidRPr="004A5681">
        <w:t>Evidence required to demonstrate competency in this unit must be relevant to and satisfy all of the requirements of the elements and performance criteria under the specified conditions of assessment, and must include:</w:t>
      </w:r>
    </w:p>
    <w:p w:rsidR="00000000" w:rsidRPr="004A5681" w:rsidP="004A5681">
      <w:pPr>
        <w:pStyle w:val="ListBullet"/>
      </w:pPr>
      <w:r w:rsidRPr="004A5681">
        <w:t>applying</w:t>
      </w:r>
      <w:r w:rsidRPr="004A5681">
        <w:t xml:space="preserve"> relevant WHS practices </w:t>
      </w:r>
    </w:p>
    <w:p w:rsidR="00000000" w:rsidRPr="004A5681" w:rsidP="004A5681">
      <w:pPr>
        <w:pStyle w:val="ListBullet"/>
      </w:pPr>
      <w:r w:rsidRPr="004A5681">
        <w:t xml:space="preserve">using approved maintenance documentation and aircraft publications relating to the instrument system being maintained </w:t>
      </w:r>
    </w:p>
    <w:p w:rsidR="00000000" w:rsidRPr="004A5681" w:rsidP="004A5681">
      <w:pPr>
        <w:pStyle w:val="ListBullet"/>
      </w:pPr>
      <w:r w:rsidRPr="004A5681">
        <w:t>recognition of system and component defects/external damage, correct installation, connection of plugs, terminat</w:t>
      </w:r>
      <w:r w:rsidRPr="004A5681">
        <w:t>ions, and attaching hardware (including cabling/harnesses) and security in:</w:t>
      </w:r>
    </w:p>
    <w:p w:rsidR="00000000" w:rsidRPr="004A5681" w:rsidP="004A5681">
      <w:pPr>
        <w:pStyle w:val="ListBullet2"/>
      </w:pPr>
      <w:r w:rsidRPr="004A5681">
        <w:t>pitot/static systems and associated instruments and systems</w:t>
      </w:r>
    </w:p>
    <w:p w:rsidR="00000000" w:rsidRPr="004A5681" w:rsidP="004A5681">
      <w:pPr>
        <w:pStyle w:val="ListBullet2"/>
      </w:pPr>
      <w:r w:rsidRPr="004A5681">
        <w:t>flight instruments</w:t>
      </w:r>
    </w:p>
    <w:p w:rsidR="00000000" w:rsidRPr="004A5681" w:rsidP="004A5681">
      <w:pPr>
        <w:pStyle w:val="ListBullet2"/>
      </w:pPr>
      <w:r w:rsidRPr="004A5681">
        <w:t>GPWS and FDR</w:t>
      </w:r>
    </w:p>
    <w:p w:rsidR="00000000" w:rsidRPr="004A5681" w:rsidP="004A5681">
      <w:pPr>
        <w:pStyle w:val="ListBullet2"/>
      </w:pPr>
      <w:r w:rsidRPr="004A5681">
        <w:t>stall warning, angle of attack and stall avoidance systems</w:t>
      </w:r>
    </w:p>
    <w:p w:rsidR="00000000" w:rsidRPr="004A5681" w:rsidP="004A5681">
      <w:pPr>
        <w:pStyle w:val="ListBullet2"/>
      </w:pPr>
      <w:r w:rsidRPr="004A5681">
        <w:t>navigation systems (compasse</w:t>
      </w:r>
      <w:r w:rsidRPr="004A5681">
        <w:t xml:space="preserve">s and AHRS) </w:t>
      </w:r>
    </w:p>
    <w:p w:rsidR="00000000" w:rsidRPr="004A5681" w:rsidP="004A5681">
      <w:pPr>
        <w:pStyle w:val="ListBullet"/>
      </w:pPr>
      <w:r w:rsidRPr="004A5681">
        <w:t>pressure measurement, position indicators, engine/auxiliary system indication systems, including fuel quantity and flow.</w:t>
      </w:r>
    </w:p>
    <w:p w:rsidR="00000000" w:rsidRPr="004A5681" w:rsidP="002141C3">
      <w:pPr>
        <w:pStyle w:val="BodyText"/>
      </w:pPr>
      <w:r w:rsidRPr="004A5681">
        <w:t>It is essential that inspection procedures, cleanliness requir</w:t>
      </w:r>
      <w:r w:rsidRPr="004A5681">
        <w:t xml:space="preserve">ements and safety precautions applicable to the instrument system being maintained are fully observed, understood and complied with. Ability to interpret inspection procedures and specifications (allowable limits) and apply them in practice (including the </w:t>
      </w:r>
      <w:r w:rsidRPr="004A5681">
        <w:t xml:space="preserve">timely involvement of supervisors or other trades) is critical. </w:t>
      </w:r>
    </w:p>
    <w:p w:rsidR="00000000" w:rsidRPr="004A5681" w:rsidP="002141C3">
      <w:pPr>
        <w:pStyle w:val="BodyText"/>
      </w:pPr>
      <w:r w:rsidRPr="004A5681">
        <w:t>Evidence of transferability of skills and knowledge related to inspection is essential. This is to be demonstrated through application across a range of aircraft instrument systems and compon</w:t>
      </w:r>
      <w:r w:rsidRPr="004A5681">
        <w:t>ents listed in the Assessment Conditions.</w:t>
      </w:r>
    </w:p>
    <w:p w:rsidR="00000000" w:rsidRPr="004A5681" w:rsidP="004A5681">
      <w:pPr>
        <w:pStyle w:val="Heading1"/>
      </w:pPr>
      <w:bookmarkStart w:id="3" w:name="O_997076"/>
      <w:bookmarkEnd w:id="3"/>
      <w:r w:rsidRPr="004A5681">
        <w:t>Knowledge Evidence</w:t>
      </w:r>
    </w:p>
    <w:p w:rsidR="00000000" w:rsidRPr="004A5681" w:rsidP="002141C3">
      <w:pPr>
        <w:pStyle w:val="BodyText"/>
      </w:pPr>
      <w:r w:rsidRPr="004A5681">
        <w:t>Evidence required to demonstrate competency in this unit must be relevant to and satisfy all of the requirements of the elements and performance criteria and include knowledge of</w:t>
      </w:r>
      <w:r w:rsidRPr="004A5681">
        <w:t>:</w:t>
      </w:r>
    </w:p>
    <w:p w:rsidR="00000000" w:rsidRPr="004A5681" w:rsidP="004A5681">
      <w:pPr>
        <w:pStyle w:val="ListBullet"/>
      </w:pPr>
      <w:r w:rsidRPr="004A5681">
        <w:t>component attachment methods</w:t>
      </w:r>
    </w:p>
    <w:p w:rsidR="00000000" w:rsidRPr="004A5681" w:rsidP="004A5681">
      <w:pPr>
        <w:pStyle w:val="ListBullet"/>
      </w:pPr>
      <w:r w:rsidRPr="004A5681">
        <w:t>connection of hardware</w:t>
      </w:r>
    </w:p>
    <w:p w:rsidR="00000000" w:rsidRPr="004A5681" w:rsidP="004A5681">
      <w:pPr>
        <w:pStyle w:val="ListBullet"/>
      </w:pPr>
      <w:r w:rsidRPr="004A5681">
        <w:t xml:space="preserve">instrument system maintenance requirements </w:t>
      </w:r>
    </w:p>
    <w:p w:rsidR="00000000" w:rsidRPr="004A5681" w:rsidP="004A5681">
      <w:pPr>
        <w:pStyle w:val="ListBullet"/>
      </w:pPr>
      <w:r w:rsidRPr="004A5681">
        <w:t>the basic layout (block diagram level), function and operation of:</w:t>
      </w:r>
    </w:p>
    <w:p w:rsidR="00000000" w:rsidRPr="004A5681" w:rsidP="004A5681">
      <w:pPr>
        <w:pStyle w:val="ListBullet2"/>
      </w:pPr>
      <w:r w:rsidRPr="004A5681">
        <w:t>flight instruments, including:</w:t>
      </w:r>
    </w:p>
    <w:p w:rsidR="00000000" w:rsidRPr="004A5681" w:rsidP="004A5681">
      <w:pPr>
        <w:pStyle w:val="ListBullet3"/>
      </w:pPr>
      <w:r w:rsidRPr="004A5681">
        <w:t>ASIs</w:t>
      </w:r>
    </w:p>
    <w:p w:rsidR="00000000" w:rsidRPr="004A5681" w:rsidP="004A5681">
      <w:pPr>
        <w:pStyle w:val="ListBullet3"/>
      </w:pPr>
      <w:r w:rsidRPr="004A5681">
        <w:t>VSIs</w:t>
      </w:r>
    </w:p>
    <w:p w:rsidR="00000000" w:rsidRPr="004A5681" w:rsidP="004A5681">
      <w:pPr>
        <w:pStyle w:val="ListBullet3"/>
      </w:pPr>
      <w:r w:rsidRPr="004A5681">
        <w:t>air data systems and components</w:t>
      </w:r>
    </w:p>
    <w:p w:rsidR="00000000" w:rsidRPr="004A5681" w:rsidP="004A5681">
      <w:pPr>
        <w:pStyle w:val="ListBullet3"/>
      </w:pPr>
      <w:r w:rsidRPr="004A5681">
        <w:t>machmeters</w:t>
      </w:r>
    </w:p>
    <w:p w:rsidR="00000000" w:rsidRPr="004A5681" w:rsidP="004A5681">
      <w:pPr>
        <w:pStyle w:val="ListBullet3"/>
      </w:pPr>
      <w:r w:rsidRPr="004A5681">
        <w:t>altimeters, including servo and encoding altimeters</w:t>
      </w:r>
    </w:p>
    <w:p w:rsidR="00000000" w:rsidRPr="004A5681" w:rsidP="004A5681">
      <w:pPr>
        <w:pStyle w:val="ListBullet3"/>
      </w:pPr>
      <w:r w:rsidRPr="004A5681">
        <w:t>turn and slip indicators</w:t>
      </w:r>
    </w:p>
    <w:p w:rsidR="00000000" w:rsidRPr="004A5681" w:rsidP="004A5681">
      <w:pPr>
        <w:pStyle w:val="ListBullet3"/>
      </w:pPr>
      <w:r w:rsidRPr="004A5681">
        <w:t>AHs</w:t>
      </w:r>
    </w:p>
    <w:p w:rsidR="00000000" w:rsidRPr="004A5681" w:rsidP="004A5681">
      <w:pPr>
        <w:pStyle w:val="ListBullet3"/>
      </w:pPr>
      <w:r w:rsidRPr="004A5681">
        <w:t>DGs</w:t>
      </w:r>
    </w:p>
    <w:p w:rsidR="00000000" w:rsidRPr="004A5681" w:rsidP="004A5681">
      <w:pPr>
        <w:pStyle w:val="ListBullet3"/>
      </w:pPr>
      <w:r w:rsidRPr="004A5681">
        <w:t>angle of attack and stall warning/avoidance systems</w:t>
      </w:r>
    </w:p>
    <w:p w:rsidR="00000000" w:rsidRPr="004A5681" w:rsidP="004A5681">
      <w:pPr>
        <w:pStyle w:val="ListBullet2"/>
      </w:pPr>
      <w:r w:rsidRPr="004A5681">
        <w:t>pitot/static systems</w:t>
      </w:r>
    </w:p>
    <w:p w:rsidR="00000000" w:rsidRPr="004A5681" w:rsidP="004A5681">
      <w:pPr>
        <w:pStyle w:val="ListBullet2"/>
      </w:pPr>
      <w:r w:rsidRPr="004A5681">
        <w:t>navigation systems:</w:t>
      </w:r>
    </w:p>
    <w:p w:rsidR="00000000" w:rsidRPr="004A5681" w:rsidP="004A5681">
      <w:pPr>
        <w:pStyle w:val="ListBullet3"/>
      </w:pPr>
      <w:r w:rsidRPr="004A5681">
        <w:t>direct reading compasses</w:t>
      </w:r>
    </w:p>
    <w:p w:rsidR="00000000" w:rsidRPr="004A5681" w:rsidP="004A5681">
      <w:pPr>
        <w:pStyle w:val="ListBullet3"/>
      </w:pPr>
      <w:r w:rsidRPr="004A5681">
        <w:t>gyro compasses</w:t>
      </w:r>
    </w:p>
    <w:p w:rsidR="00000000" w:rsidRPr="004A5681" w:rsidP="004A5681">
      <w:pPr>
        <w:pStyle w:val="ListBullet3"/>
      </w:pPr>
      <w:r w:rsidRPr="004A5681">
        <w:t>AHRS</w:t>
      </w:r>
    </w:p>
    <w:p w:rsidR="00000000" w:rsidRPr="004A5681" w:rsidP="004A5681">
      <w:pPr>
        <w:pStyle w:val="ListBullet2"/>
      </w:pPr>
      <w:r w:rsidRPr="004A5681">
        <w:t xml:space="preserve">GPWS </w:t>
      </w:r>
    </w:p>
    <w:p w:rsidR="00000000" w:rsidRPr="004A5681" w:rsidP="004A5681">
      <w:pPr>
        <w:pStyle w:val="ListBullet2"/>
      </w:pPr>
      <w:r w:rsidRPr="004A5681">
        <w:t>turbine engine instruments, including:</w:t>
      </w:r>
    </w:p>
    <w:p w:rsidR="00000000" w:rsidRPr="004A5681" w:rsidP="004A5681">
      <w:pPr>
        <w:pStyle w:val="ListBullet3"/>
      </w:pPr>
      <w:r w:rsidRPr="004A5681">
        <w:t>temperature and pressure, including thermocouples, sensors and transmitters</w:t>
      </w:r>
    </w:p>
    <w:p w:rsidR="00000000" w:rsidRPr="004A5681" w:rsidP="004A5681">
      <w:pPr>
        <w:pStyle w:val="ListBullet3"/>
      </w:pPr>
      <w:r w:rsidRPr="004A5681">
        <w:t>speed, including mechanical and electric tachometers</w:t>
      </w:r>
    </w:p>
    <w:p w:rsidR="00000000" w:rsidRPr="004A5681" w:rsidP="004A5681">
      <w:pPr>
        <w:pStyle w:val="ListBullet3"/>
      </w:pPr>
      <w:r w:rsidRPr="004A5681">
        <w:t>thrust, including fan, propeller and jet</w:t>
      </w:r>
    </w:p>
    <w:p w:rsidR="00000000" w:rsidRPr="004A5681" w:rsidP="004A5681">
      <w:pPr>
        <w:pStyle w:val="ListBullet3"/>
      </w:pPr>
      <w:r w:rsidRPr="004A5681">
        <w:t>torque</w:t>
      </w:r>
    </w:p>
    <w:p w:rsidR="00000000" w:rsidRPr="004A5681" w:rsidP="004A5681">
      <w:pPr>
        <w:pStyle w:val="ListBullet3"/>
      </w:pPr>
      <w:r w:rsidRPr="004A5681">
        <w:t>fuel flow</w:t>
      </w:r>
    </w:p>
    <w:p w:rsidR="00000000" w:rsidRPr="004A5681" w:rsidP="004A5681">
      <w:pPr>
        <w:pStyle w:val="ListBullet3"/>
      </w:pPr>
      <w:r w:rsidRPr="004A5681">
        <w:t>vibration</w:t>
      </w:r>
    </w:p>
    <w:p w:rsidR="00000000" w:rsidRPr="004A5681" w:rsidP="004A5681">
      <w:pPr>
        <w:pStyle w:val="ListBullet2"/>
      </w:pPr>
      <w:r w:rsidRPr="004A5681">
        <w:t>auxiliary transmit</w:t>
      </w:r>
      <w:r w:rsidRPr="004A5681">
        <w:t>ter/indicator measuring systems, including:</w:t>
      </w:r>
    </w:p>
    <w:p w:rsidR="00000000" w:rsidRPr="004A5681" w:rsidP="004A5681">
      <w:pPr>
        <w:pStyle w:val="ListBullet3"/>
      </w:pPr>
      <w:r w:rsidRPr="004A5681">
        <w:t>hydraulic pressure and temperature</w:t>
      </w:r>
    </w:p>
    <w:p w:rsidR="00000000" w:rsidRPr="004A5681" w:rsidP="004A5681">
      <w:pPr>
        <w:pStyle w:val="ListBullet3"/>
      </w:pPr>
      <w:r w:rsidRPr="004A5681">
        <w:t>pneumatic pressure</w:t>
      </w:r>
    </w:p>
    <w:p w:rsidR="00000000" w:rsidRPr="004A5681" w:rsidP="004A5681">
      <w:pPr>
        <w:pStyle w:val="ListBullet3"/>
      </w:pPr>
      <w:r w:rsidRPr="004A5681">
        <w:t>transmission oil pressure and temperature</w:t>
      </w:r>
    </w:p>
    <w:p w:rsidR="00000000" w:rsidRPr="004A5681" w:rsidP="004A5681">
      <w:pPr>
        <w:pStyle w:val="ListBullet3"/>
      </w:pPr>
      <w:r w:rsidRPr="004A5681">
        <w:t>fuel remaining/used</w:t>
      </w:r>
    </w:p>
    <w:p w:rsidR="00000000" w:rsidRPr="004A5681" w:rsidP="004A5681">
      <w:pPr>
        <w:pStyle w:val="ListBullet3"/>
      </w:pPr>
      <w:r w:rsidRPr="004A5681">
        <w:t>fuel quantity indication</w:t>
      </w:r>
    </w:p>
    <w:p w:rsidR="00000000" w:rsidRPr="004A5681" w:rsidP="004A5681">
      <w:pPr>
        <w:pStyle w:val="ListBullet3"/>
      </w:pPr>
      <w:r w:rsidRPr="004A5681">
        <w:t>component position (e.g. doors, flaps, speed brakes and landing gear)</w:t>
      </w:r>
    </w:p>
    <w:p w:rsidR="00000000" w:rsidRPr="004A5681" w:rsidP="004A5681">
      <w:pPr>
        <w:pStyle w:val="ListBullet2"/>
      </w:pPr>
      <w:r w:rsidRPr="004A5681">
        <w:t>FDR systems</w:t>
      </w:r>
    </w:p>
    <w:p w:rsidR="00000000" w:rsidRPr="004A5681" w:rsidP="004A5681">
      <w:pPr>
        <w:pStyle w:val="ListBullet"/>
      </w:pPr>
      <w:r w:rsidRPr="004A5681">
        <w:t>relevant WHS practices</w:t>
      </w:r>
    </w:p>
    <w:p w:rsidR="00000000" w:rsidRPr="004A5681" w:rsidP="004A5681">
      <w:pPr>
        <w:pStyle w:val="ListBullet"/>
      </w:pPr>
      <w:r w:rsidRPr="004A5681">
        <w:t>instrument system maintenance requirements</w:t>
      </w:r>
    </w:p>
    <w:p w:rsidR="00000000" w:rsidRPr="004A5681" w:rsidP="004A5681">
      <w:pPr>
        <w:pStyle w:val="ListBullet"/>
      </w:pPr>
      <w:r w:rsidRPr="004A5681">
        <w:t>relevant maintenance manuals</w:t>
      </w:r>
    </w:p>
    <w:p w:rsidR="00000000" w:rsidRPr="004A5681" w:rsidP="004A5681">
      <w:pPr>
        <w:pStyle w:val="ListBullet"/>
      </w:pPr>
      <w:r w:rsidRPr="004A5681">
        <w:t>relevant regulatory requirements and standard procedures.</w:t>
      </w:r>
    </w:p>
    <w:p w:rsidR="00000000" w:rsidRPr="004A5681" w:rsidP="004A5681">
      <w:pPr>
        <w:pStyle w:val="AllowPageBreak"/>
      </w:pPr>
    </w:p>
    <w:p w:rsidR="00000000" w:rsidRPr="004A5681" w:rsidP="004A5681">
      <w:pPr>
        <w:pStyle w:val="Heading1"/>
      </w:pPr>
      <w:bookmarkStart w:id="4" w:name="O_997075"/>
      <w:bookmarkEnd w:id="4"/>
      <w:r w:rsidRPr="004A5681">
        <w:t>Assessment Conditions</w:t>
      </w:r>
    </w:p>
    <w:p w:rsidR="00000000" w:rsidRPr="004A5681" w:rsidP="004A5681">
      <w:pPr>
        <w:pStyle w:val="ListBullet"/>
      </w:pPr>
      <w:r w:rsidRPr="004A5681">
        <w:t>Competency should be assessed in the workplace or simulated workplace using tools and equipment specified in the maintenance manuals. It is also expected that applicable general and special purpose tools, and test and ground support equipment would be used</w:t>
      </w:r>
      <w:r w:rsidRPr="004A5681">
        <w:t xml:space="preserve"> where appropriate. The work plan should take account of applicable safety and quality requirements in accordance with the industry and regulatory standards.</w:t>
      </w:r>
    </w:p>
    <w:p w:rsidR="00000000" w:rsidRPr="004A5681" w:rsidP="004A5681">
      <w:pPr>
        <w:pStyle w:val="ListBullet"/>
      </w:pPr>
      <w:r w:rsidRPr="004A5681">
        <w:t>The following conditions of assessment represent the requirements of the Regulators (ADF and CASA)</w:t>
      </w:r>
      <w:r w:rsidRPr="004A5681">
        <w:t xml:space="preserve"> and maintenance stakeholders and must be rigorously observed.</w:t>
      </w:r>
    </w:p>
    <w:p w:rsidR="00000000" w:rsidRPr="004A5681" w:rsidP="004A5681">
      <w:pPr>
        <w:pStyle w:val="ListBullet"/>
      </w:pPr>
      <w:r w:rsidRPr="004A5681">
        <w:t>A person cannot be assessed as competent until it can be demonstrated to the satisfaction of the workplace assessor that the relevant elements and performance criteria of the unit of competency</w:t>
      </w:r>
      <w:r w:rsidRPr="004A5681">
        <w:t xml:space="preserve"> are being achieved under routine supervision on a system and at least (1) one major system component/line replacement unit (LRU) from each of the following groups:</w:t>
      </w:r>
    </w:p>
    <w:p w:rsidR="00000000" w:rsidRPr="004A5681" w:rsidP="004A5681">
      <w:pPr>
        <w:pStyle w:val="ListBullet2"/>
      </w:pPr>
      <w:r w:rsidRPr="004A5681">
        <w:t>flight instruments, including pitot/static systems, ASIs, VSIs, altimeters, altitude alert</w:t>
      </w:r>
      <w:r w:rsidRPr="004A5681">
        <w:t>ing and reporting, turn and bank and slip/turn coordinators, DGs and AHs (air and electrically driven)</w:t>
      </w:r>
    </w:p>
    <w:p w:rsidR="00000000" w:rsidRPr="004A5681" w:rsidP="004A5681">
      <w:pPr>
        <w:pStyle w:val="ListBullet2"/>
      </w:pPr>
      <w:r w:rsidRPr="004A5681">
        <w:t>machmeters, air data systems, angle of attack, stall warning and avoidance systems</w:t>
      </w:r>
    </w:p>
    <w:p w:rsidR="00000000" w:rsidRPr="004A5681" w:rsidP="004A5681">
      <w:pPr>
        <w:pStyle w:val="ListBullet2"/>
      </w:pPr>
      <w:r w:rsidRPr="004A5681">
        <w:t>FDRs</w:t>
      </w:r>
    </w:p>
    <w:p w:rsidR="00000000" w:rsidRPr="004A5681" w:rsidP="004A5681">
      <w:pPr>
        <w:pStyle w:val="ListBullet2"/>
      </w:pPr>
      <w:r w:rsidRPr="004A5681">
        <w:t>engine indication systems</w:t>
      </w:r>
    </w:p>
    <w:p w:rsidR="00000000" w:rsidRPr="004A5681" w:rsidP="004A5681">
      <w:pPr>
        <w:pStyle w:val="ListBullet2"/>
      </w:pPr>
      <w:r w:rsidRPr="004A5681">
        <w:t>magnetic compasses and AHRS</w:t>
      </w:r>
    </w:p>
    <w:p w:rsidR="00000000" w:rsidRPr="004A5681" w:rsidP="004A5681">
      <w:pPr>
        <w:pStyle w:val="ListBullet2"/>
      </w:pPr>
      <w:r w:rsidRPr="004A5681">
        <w:t>miscellaneo</w:t>
      </w:r>
      <w:r w:rsidRPr="004A5681">
        <w:t>us instrument systems, including pressure measurement, fuel quantity, fuel flow, position indication, voltage and frequency, current and power</w:t>
      </w:r>
    </w:p>
    <w:p w:rsidR="00000000" w:rsidRPr="004A5681" w:rsidP="004A5681">
      <w:pPr>
        <w:pStyle w:val="ListBullet2"/>
      </w:pPr>
      <w:r w:rsidRPr="004A5681">
        <w:t>GPWS.</w:t>
      </w:r>
    </w:p>
    <w:p w:rsidR="00000000" w:rsidRPr="004A5681" w:rsidP="004A5681">
      <w:pPr>
        <w:pStyle w:val="ListBullet"/>
      </w:pPr>
      <w:r w:rsidRPr="004A5681">
        <w:t>This shall be established via the records in the Log of Industrial Experience and Achievement or, where ap</w:t>
      </w:r>
      <w:r w:rsidRPr="004A5681">
        <w:t>propriate, an equivalent Industry Evidence Guide (for details refer to the Companion Volume Assessment Guidelines).</w:t>
      </w:r>
    </w:p>
    <w:p w:rsidR="00000000" w:rsidRPr="004A5681" w:rsidP="004A5681">
      <w:pPr>
        <w:pStyle w:val="ListBullet"/>
      </w:pPr>
      <w:r w:rsidRPr="004A5681">
        <w:t>Assessors must satisfy the requirements of the National Vocational Education and Training Regulator (Australian Skills Quality Authority, or</w:t>
      </w:r>
      <w:r w:rsidRPr="004A5681">
        <w:t xml:space="preserve"> its successors).</w:t>
      </w:r>
    </w:p>
    <w:p w:rsidR="00000000" w:rsidRPr="004A5681" w:rsidP="004A5681">
      <w:pPr>
        <w:pStyle w:val="ListBullet"/>
      </w:pPr>
      <w:r w:rsidRPr="004A5681">
        <w:t>Where the unit is to be used for CASA licensing purposes the Assessor must also meet the criteria specified in the CASR Part 147 Manual of Standards.</w:t>
      </w:r>
    </w:p>
    <w:p w:rsidR="00000000" w:rsidRPr="004A5681" w:rsidP="004A5681">
      <w:pPr>
        <w:pStyle w:val="ListBullet"/>
      </w:pPr>
      <w:r w:rsidRPr="004A5681">
        <w:t>Individuals being assessed who have already attained MEA213 Inspect,</w:t>
      </w:r>
      <w:r w:rsidRPr="004A5681">
        <w:t xml:space="preserve"> test and troubleshoot advanced aircraft instrument systems and components, will have covered a significant proportion of the Performance Criteria for Element 1 and will have covered many of the Range of Conditions variables. The Log of Industrial Experien</w:t>
      </w:r>
      <w:r w:rsidRPr="004A5681">
        <w:t xml:space="preserve">ce and Achievement records relating to MEA213 Inspect, test and troubleshoot advanced aircraft instrument systems and components, may be accepted as also meeting the evidence requirements for this unit in the applicable areas. </w:t>
      </w:r>
    </w:p>
    <w:p w:rsidR="00000000" w:rsidRPr="004A5681" w:rsidP="004A5681">
      <w:pPr>
        <w:pStyle w:val="ListBullet"/>
      </w:pPr>
      <w:r w:rsidRPr="004A5681">
        <w:t>The relationship between MEA</w:t>
      </w:r>
      <w:r w:rsidRPr="004A5681">
        <w:t>213 Inspect, test and troubleshoot advanced aircraft instrument systems and components, and MEA212 Inspect, test and troubleshoot basic aircraft instrument systems and components may also be taken into account where MEA212 Inspect, test and troubleshoot ba</w:t>
      </w:r>
      <w:r w:rsidRPr="004A5681">
        <w:t>sic aircraft instrument systems and components has been attained, but not MEA213 Inspect, test and troubleshoot advanced aircraft instrument systems and components. Advice in MEA212 Inspect, test and troubleshoot basic aircraft instrument systems and compo</w:t>
      </w:r>
      <w:r w:rsidRPr="004A5681">
        <w:t>nents regarding the coverage of MEA275 Maintain basic light aircraft instrument systems and components, may also be taken into consideration where applicable.</w:t>
      </w:r>
    </w:p>
    <w:p w:rsidR="00000000" w:rsidRPr="004A5681" w:rsidP="004A5681">
      <w:pPr>
        <w:pStyle w:val="AllowPageBreak"/>
      </w:pPr>
    </w:p>
    <w:p w:rsidR="00000000" w:rsidRPr="004A5681" w:rsidP="004A5681">
      <w:pPr>
        <w:pStyle w:val="Heading1"/>
      </w:pPr>
      <w:bookmarkStart w:id="5" w:name="O_997099"/>
      <w:bookmarkEnd w:id="5"/>
      <w:r w:rsidRPr="004A5681">
        <w:t>Links</w:t>
      </w:r>
    </w:p>
    <w:p w:rsidR="00000000" w:rsidRPr="004A5681" w:rsidP="002141C3">
      <w:pPr>
        <w:pStyle w:val="BodyText"/>
      </w:pPr>
      <w:r w:rsidRPr="004A568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03A6">
        <w:rPr>
          <w:rStyle w:val="Hyperlink"/>
        </w:rPr>
        <w:t>https://vetnet.gov.au/Pages/TrainingDocs.aspx?q=ce216c9c-04d5-4b3b-9bcf-4e81d0950371</w:t>
      </w:r>
      <w:r>
        <w:fldChar w:fldCharType="end"/>
      </w:r>
    </w:p>
    <w:p w:rsidR="00000000" w:rsidRPr="004A5681" w:rsidP="004A5681"/>
    <w:sectPr w:rsidSect="004A56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81" w:rsidRPr="002141C3" w:rsidP="00214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C3" w:rsidP="004A5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1C3" w:rsidP="004A56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41C3" w:rsidP="004A5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681" w:rsidRPr="002141C3" w:rsidP="002141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C3" w:rsidRPr="002D2AF8" w:rsidP="004A5681">
    <w:pPr>
      <w:pStyle w:val="Header"/>
      <w:framePr w:wrap="around"/>
    </w:pPr>
    <w:r>
      <w:fldChar w:fldCharType="begin"/>
    </w:r>
    <w:r>
      <w:instrText xml:space="preserve"> TITLE   \* MERGEFORMAT </w:instrText>
    </w:r>
    <w:r>
      <w:fldChar w:fldCharType="separate"/>
    </w:r>
    <w:r>
      <w:t>Assessment Requirements for MEA224 Inspect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141C3" w:rsidP="004A5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C8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AC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1E3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681"/>
    <w:pPr>
      <w:spacing w:before="360" w:after="60"/>
      <w:outlineLvl w:val="0"/>
    </w:pPr>
    <w:rPr>
      <w:sz w:val="32"/>
    </w:rPr>
  </w:style>
  <w:style w:type="paragraph" w:styleId="Heading2">
    <w:name w:val="heading 2"/>
    <w:basedOn w:val="HeadingBase"/>
    <w:next w:val="BodyText"/>
    <w:link w:val="Heading2Char"/>
    <w:qFormat/>
    <w:rsid w:val="004A5681"/>
    <w:pPr>
      <w:keepLines/>
      <w:spacing w:before="240" w:after="120"/>
      <w:outlineLvl w:val="1"/>
    </w:pPr>
    <w:rPr>
      <w:sz w:val="28"/>
      <w:szCs w:val="40"/>
    </w:rPr>
  </w:style>
  <w:style w:type="paragraph" w:styleId="Heading3">
    <w:name w:val="heading 3"/>
    <w:basedOn w:val="HeadingBase"/>
    <w:next w:val="BodyText"/>
    <w:link w:val="Heading3Char"/>
    <w:qFormat/>
    <w:rsid w:val="004A5681"/>
    <w:pPr>
      <w:spacing w:before="180" w:after="120"/>
      <w:outlineLvl w:val="2"/>
    </w:pPr>
    <w:rPr>
      <w:spacing w:val="-10"/>
      <w:kern w:val="32"/>
    </w:rPr>
  </w:style>
  <w:style w:type="paragraph" w:styleId="Heading4">
    <w:name w:val="heading 4"/>
    <w:basedOn w:val="HeadingBase"/>
    <w:next w:val="BodyText"/>
    <w:link w:val="Heading4Char"/>
    <w:qFormat/>
    <w:rsid w:val="004A5681"/>
    <w:pPr>
      <w:spacing w:before="160" w:after="120"/>
      <w:outlineLvl w:val="3"/>
    </w:pPr>
    <w:rPr>
      <w:sz w:val="22"/>
    </w:rPr>
  </w:style>
  <w:style w:type="paragraph" w:styleId="Heading5">
    <w:name w:val="heading 5"/>
    <w:basedOn w:val="HeadingBase"/>
    <w:next w:val="Normal"/>
    <w:link w:val="Heading5Char"/>
    <w:qFormat/>
    <w:rsid w:val="004A5681"/>
    <w:pPr>
      <w:spacing w:before="80"/>
      <w:outlineLvl w:val="4"/>
    </w:pPr>
    <w:rPr>
      <w:color w:val="918585"/>
      <w:sz w:val="20"/>
    </w:rPr>
  </w:style>
  <w:style w:type="paragraph" w:styleId="Heading6">
    <w:name w:val="heading 6"/>
    <w:basedOn w:val="HeadingBase"/>
    <w:next w:val="Normal"/>
    <w:link w:val="Heading6Char"/>
    <w:qFormat/>
    <w:rsid w:val="004A5681"/>
    <w:pPr>
      <w:spacing w:before="60"/>
      <w:outlineLvl w:val="5"/>
    </w:pPr>
    <w:rPr>
      <w:color w:val="918585"/>
      <w:sz w:val="20"/>
    </w:rPr>
  </w:style>
  <w:style w:type="paragraph" w:styleId="Heading7">
    <w:name w:val="heading 7"/>
    <w:basedOn w:val="Normal"/>
    <w:next w:val="Normal"/>
    <w:link w:val="Heading7Char"/>
    <w:qFormat/>
    <w:rsid w:val="004A5681"/>
    <w:pPr>
      <w:ind w:left="720"/>
      <w:outlineLvl w:val="6"/>
    </w:pPr>
    <w:rPr>
      <w:i/>
    </w:rPr>
  </w:style>
  <w:style w:type="paragraph" w:styleId="Heading8">
    <w:name w:val="heading 8"/>
    <w:basedOn w:val="Normal"/>
    <w:next w:val="Normal"/>
    <w:link w:val="Heading8Char"/>
    <w:qFormat/>
    <w:rsid w:val="004A5681"/>
    <w:pPr>
      <w:ind w:left="720"/>
      <w:outlineLvl w:val="7"/>
    </w:pPr>
    <w:rPr>
      <w:i/>
    </w:rPr>
  </w:style>
  <w:style w:type="paragraph" w:styleId="Heading9">
    <w:name w:val="heading 9"/>
    <w:basedOn w:val="Normal"/>
    <w:next w:val="Normal"/>
    <w:link w:val="Heading9Char"/>
    <w:qFormat/>
    <w:rsid w:val="004A5681"/>
    <w:pPr>
      <w:ind w:left="720"/>
      <w:outlineLvl w:val="8"/>
    </w:pPr>
    <w:rPr>
      <w:i/>
    </w:rPr>
  </w:style>
  <w:style w:type="character" w:default="1" w:styleId="DefaultParagraphFont">
    <w:name w:val="Default Paragraph Font"/>
    <w:uiPriority w:val="1"/>
    <w:unhideWhenUsed/>
    <w:rsid w:val="004A5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681"/>
  </w:style>
  <w:style w:type="character" w:customStyle="1" w:styleId="Heading1Char">
    <w:name w:val="Heading 1 Char"/>
    <w:basedOn w:val="DefaultParagraphFont"/>
    <w:link w:val="Heading1"/>
    <w:rsid w:val="004A5681"/>
    <w:rPr>
      <w:rFonts w:ascii="Times New Roman" w:eastAsia="Times New Roman" w:hAnsi="Times New Roman" w:cs="Times New Roman"/>
      <w:b/>
      <w:sz w:val="32"/>
      <w:szCs w:val="20"/>
      <w:lang w:eastAsia="en-US"/>
    </w:rPr>
  </w:style>
  <w:style w:type="paragraph" w:styleId="BodyText">
    <w:name w:val="Body Text"/>
    <w:basedOn w:val="Normal"/>
    <w:link w:val="BodyTextChar"/>
    <w:rsid w:val="004A56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681"/>
    <w:rPr>
      <w:rFonts w:ascii="Times New Roman" w:eastAsia="Times New Roman" w:hAnsi="Times New Roman" w:cs="Times New Roman"/>
      <w:sz w:val="24"/>
      <w:lang w:eastAsia="en-US"/>
    </w:rPr>
  </w:style>
  <w:style w:type="paragraph" w:styleId="ListBullet">
    <w:name w:val="List Bullet"/>
    <w:basedOn w:val="List"/>
    <w:rsid w:val="004A5681"/>
    <w:pPr>
      <w:numPr>
        <w:numId w:val="13"/>
      </w:numPr>
      <w:tabs>
        <w:tab w:val="clear" w:pos="340"/>
      </w:tabs>
      <w:spacing w:before="40" w:after="40"/>
    </w:pPr>
  </w:style>
  <w:style w:type="paragraph" w:styleId="ListBullet2">
    <w:name w:val="List Bullet 2"/>
    <w:basedOn w:val="List2"/>
    <w:rsid w:val="004A5681"/>
    <w:pPr>
      <w:numPr>
        <w:numId w:val="14"/>
      </w:numPr>
      <w:tabs>
        <w:tab w:val="clear" w:pos="680"/>
      </w:tabs>
    </w:pPr>
  </w:style>
  <w:style w:type="paragraph" w:customStyle="1" w:styleId="SuperHeading">
    <w:name w:val="SuperHeading"/>
    <w:basedOn w:val="Normal"/>
    <w:rsid w:val="004A5681"/>
    <w:pPr>
      <w:spacing w:before="240" w:after="120"/>
      <w:outlineLvl w:val="0"/>
    </w:pPr>
    <w:rPr>
      <w:rFonts w:ascii="Times New Roman" w:hAnsi="Times New Roman"/>
      <w:b/>
      <w:sz w:val="32"/>
    </w:rPr>
  </w:style>
  <w:style w:type="paragraph" w:customStyle="1" w:styleId="AllowPageBreak">
    <w:name w:val="AllowPageBreak"/>
    <w:rsid w:val="004A56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5681"/>
    <w:pPr>
      <w:numPr>
        <w:numId w:val="3"/>
      </w:numPr>
      <w:tabs>
        <w:tab w:val="clear" w:pos="1021"/>
      </w:tabs>
      <w:ind w:left="1037" w:hanging="357"/>
    </w:pPr>
  </w:style>
  <w:style w:type="character" w:customStyle="1" w:styleId="Heading2Char">
    <w:name w:val="Heading 2 Char"/>
    <w:basedOn w:val="DefaultParagraphFont"/>
    <w:link w:val="Heading2"/>
    <w:rsid w:val="004A5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681"/>
    <w:rPr>
      <w:rFonts w:ascii="Courier New" w:eastAsia="Times New Roman" w:hAnsi="Courier New" w:cs="Times New Roman"/>
      <w:i/>
      <w:szCs w:val="20"/>
      <w:lang w:eastAsia="en-US"/>
    </w:rPr>
  </w:style>
  <w:style w:type="paragraph" w:customStyle="1" w:styleId="HeadingBase">
    <w:name w:val="Heading Base"/>
    <w:rsid w:val="004A5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681"/>
    <w:pPr>
      <w:tabs>
        <w:tab w:val="right" w:leader="dot" w:pos="9072"/>
      </w:tabs>
      <w:ind w:left="567"/>
    </w:pPr>
    <w:rPr>
      <w:szCs w:val="22"/>
    </w:rPr>
  </w:style>
  <w:style w:type="paragraph" w:customStyle="1" w:styleId="TOCBase">
    <w:name w:val="TOC Base"/>
    <w:rsid w:val="004A5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681"/>
    <w:pPr>
      <w:tabs>
        <w:tab w:val="right" w:leader="dot" w:pos="9072"/>
      </w:tabs>
      <w:spacing w:before="40" w:after="40"/>
      <w:ind w:left="284"/>
    </w:pPr>
    <w:rPr>
      <w:rFonts w:ascii="Times New Roman" w:hAnsi="Times New Roman"/>
    </w:rPr>
  </w:style>
  <w:style w:type="paragraph" w:styleId="TOC1">
    <w:name w:val="toc 1"/>
    <w:basedOn w:val="TOCBase"/>
    <w:next w:val="Normal"/>
    <w:rsid w:val="004A5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681"/>
    <w:rPr>
      <w:rFonts w:ascii="Times New Roman" w:eastAsia="Times New Roman" w:hAnsi="Times New Roman" w:cs="Times New Roman"/>
      <w:sz w:val="16"/>
      <w:lang w:eastAsia="en-US"/>
    </w:rPr>
  </w:style>
  <w:style w:type="paragraph" w:styleId="Title">
    <w:name w:val="Title"/>
    <w:basedOn w:val="HeadingBase"/>
    <w:link w:val="TitleChar"/>
    <w:qFormat/>
    <w:rsid w:val="004A5681"/>
    <w:pPr>
      <w:spacing w:before="5040"/>
      <w:jc w:val="center"/>
    </w:pPr>
    <w:rPr>
      <w:sz w:val="48"/>
      <w:szCs w:val="72"/>
      <w:lang w:val="en-US"/>
    </w:rPr>
  </w:style>
  <w:style w:type="character" w:customStyle="1" w:styleId="TitleChar">
    <w:name w:val="Title Char"/>
    <w:basedOn w:val="DefaultParagraphFont"/>
    <w:link w:val="Title"/>
    <w:rsid w:val="004A5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681"/>
    <w:pPr>
      <w:tabs>
        <w:tab w:val="left" w:pos="3600"/>
        <w:tab w:val="left" w:pos="3958"/>
      </w:tabs>
    </w:pPr>
  </w:style>
  <w:style w:type="paragraph" w:styleId="List">
    <w:name w:val="List"/>
    <w:basedOn w:val="BodyText"/>
    <w:next w:val="BodyText"/>
    <w:rsid w:val="004A5681"/>
    <w:pPr>
      <w:tabs>
        <w:tab w:val="left" w:pos="340"/>
      </w:tabs>
      <w:spacing w:before="60" w:after="60"/>
      <w:ind w:left="340" w:hanging="340"/>
    </w:pPr>
  </w:style>
  <w:style w:type="paragraph" w:customStyle="1" w:styleId="Note">
    <w:name w:val="Note"/>
    <w:basedOn w:val="BodyText"/>
    <w:rsid w:val="004A56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5681"/>
    <w:rPr>
      <w:b/>
      <w:spacing w:val="0"/>
    </w:rPr>
  </w:style>
  <w:style w:type="paragraph" w:customStyle="1" w:styleId="SuperTitle">
    <w:name w:val="SuperTitle"/>
    <w:basedOn w:val="Title"/>
    <w:rsid w:val="004A5681"/>
    <w:pPr>
      <w:framePr w:wrap="auto" w:hAnchor="text" w:y="6049"/>
    </w:pPr>
    <w:rPr>
      <w:color w:val="000000"/>
      <w:sz w:val="40"/>
    </w:rPr>
  </w:style>
  <w:style w:type="paragraph" w:customStyle="1" w:styleId="TOCTitle">
    <w:name w:val="TOCTitle"/>
    <w:basedOn w:val="Heading1"/>
    <w:rsid w:val="004A5681"/>
    <w:pPr>
      <w:spacing w:after="240"/>
      <w:jc w:val="center"/>
      <w:outlineLvl w:val="9"/>
    </w:pPr>
    <w:rPr>
      <w:caps/>
    </w:rPr>
  </w:style>
  <w:style w:type="paragraph" w:customStyle="1" w:styleId="Version">
    <w:name w:val="Version"/>
    <w:rsid w:val="004A5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681"/>
    <w:pPr>
      <w:keepNext w:val="0"/>
      <w:tabs>
        <w:tab w:val="right" w:pos="4176"/>
      </w:tabs>
      <w:ind w:left="198" w:hanging="198"/>
    </w:pPr>
    <w:rPr>
      <w:rFonts w:ascii="Garamond" w:hAnsi="Garamond"/>
    </w:rPr>
  </w:style>
  <w:style w:type="paragraph" w:styleId="IndexHeading">
    <w:name w:val="index heading"/>
    <w:basedOn w:val="Normal"/>
    <w:next w:val="Index1"/>
    <w:semiHidden/>
    <w:rsid w:val="004A5681"/>
    <w:pPr>
      <w:spacing w:before="120" w:after="120"/>
    </w:pPr>
    <w:rPr>
      <w:rFonts w:ascii="Arial" w:hAnsi="Arial"/>
      <w:b/>
      <w:color w:val="918585"/>
      <w:sz w:val="24"/>
    </w:rPr>
  </w:style>
  <w:style w:type="paragraph" w:styleId="Header">
    <w:name w:val="header"/>
    <w:basedOn w:val="Normal"/>
    <w:link w:val="HeaderChar"/>
    <w:rsid w:val="004A5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681"/>
    <w:rPr>
      <w:rFonts w:ascii="Times New Roman" w:eastAsia="Times New Roman" w:hAnsi="Times New Roman" w:cs="Times New Roman"/>
      <w:sz w:val="16"/>
      <w:szCs w:val="20"/>
      <w:lang w:val="en-GB" w:eastAsia="en-US"/>
    </w:rPr>
  </w:style>
  <w:style w:type="paragraph" w:customStyle="1" w:styleId="Chapter">
    <w:name w:val="Chapter"/>
    <w:basedOn w:val="Normal"/>
    <w:rsid w:val="004A5681"/>
    <w:pPr>
      <w:spacing w:before="240"/>
    </w:pPr>
    <w:rPr>
      <w:rFonts w:ascii="Times New Roman" w:hAnsi="Times New Roman"/>
      <w:smallCaps/>
      <w:spacing w:val="80"/>
      <w:sz w:val="28"/>
    </w:rPr>
  </w:style>
  <w:style w:type="paragraph" w:customStyle="1" w:styleId="InChapter">
    <w:name w:val="InChapter"/>
    <w:basedOn w:val="Heading3"/>
    <w:rsid w:val="004A5681"/>
    <w:pPr>
      <w:spacing w:after="240"/>
      <w:outlineLvl w:val="9"/>
    </w:pPr>
    <w:rPr>
      <w:noProof/>
    </w:rPr>
  </w:style>
  <w:style w:type="paragraph" w:styleId="Index2">
    <w:name w:val="index 2"/>
    <w:basedOn w:val="Normal"/>
    <w:next w:val="Normal"/>
    <w:semiHidden/>
    <w:rsid w:val="004A5681"/>
    <w:pPr>
      <w:tabs>
        <w:tab w:val="right" w:pos="4176"/>
      </w:tabs>
      <w:ind w:left="568" w:hanging="284"/>
    </w:pPr>
    <w:rPr>
      <w:rFonts w:ascii="Garamond" w:hAnsi="Garamond"/>
    </w:rPr>
  </w:style>
  <w:style w:type="paragraph" w:customStyle="1" w:styleId="Byline">
    <w:name w:val="Byline"/>
    <w:rsid w:val="004A5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681"/>
    <w:pPr>
      <w:tabs>
        <w:tab w:val="clear" w:pos="3600"/>
        <w:tab w:val="clear" w:pos="3958"/>
      </w:tabs>
      <w:jc w:val="right"/>
    </w:pPr>
  </w:style>
  <w:style w:type="character" w:styleId="Emphasis">
    <w:name w:val="Emphasis"/>
    <w:basedOn w:val="DefaultParagraphFont"/>
    <w:qFormat/>
    <w:rsid w:val="004A5681"/>
    <w:rPr>
      <w:i/>
    </w:rPr>
  </w:style>
  <w:style w:type="paragraph" w:styleId="Caption">
    <w:name w:val="caption"/>
    <w:basedOn w:val="BodyText"/>
    <w:next w:val="Normal"/>
    <w:qFormat/>
    <w:rsid w:val="004A5681"/>
    <w:pPr>
      <w:framePr w:w="2268" w:hSpace="181" w:vSpace="181" w:wrap="around" w:vAnchor="text" w:hAnchor="page" w:x="1135" w:y="285" w:anchorLock="1"/>
    </w:pPr>
    <w:rPr>
      <w:i/>
    </w:rPr>
  </w:style>
  <w:style w:type="paragraph" w:customStyle="1" w:styleId="MiniTOCTitle">
    <w:name w:val="MiniTOCTitle"/>
    <w:basedOn w:val="Heading4"/>
    <w:rsid w:val="004A5681"/>
    <w:pPr>
      <w:spacing w:before="240"/>
      <w:outlineLvl w:val="9"/>
    </w:pPr>
    <w:rPr>
      <w:noProof/>
      <w:sz w:val="24"/>
    </w:rPr>
  </w:style>
  <w:style w:type="paragraph" w:customStyle="1" w:styleId="MiniTOCItem">
    <w:name w:val="MiniTOCItem"/>
    <w:basedOn w:val="ListBullet"/>
    <w:rsid w:val="004A5681"/>
    <w:pPr>
      <w:numPr>
        <w:numId w:val="0"/>
      </w:numPr>
      <w:tabs>
        <w:tab w:val="right" w:leader="dot" w:pos="6521"/>
      </w:tabs>
      <w:spacing w:before="0" w:after="0"/>
    </w:pPr>
  </w:style>
  <w:style w:type="paragraph" w:customStyle="1" w:styleId="TOFTitle">
    <w:name w:val="TOFTitle"/>
    <w:basedOn w:val="TOCTitle"/>
    <w:rsid w:val="004A5681"/>
  </w:style>
  <w:style w:type="paragraph" w:styleId="TableofFigures">
    <w:name w:val="table of figures"/>
    <w:basedOn w:val="Normal"/>
    <w:next w:val="Normal"/>
    <w:semiHidden/>
    <w:rsid w:val="004A5681"/>
    <w:pPr>
      <w:tabs>
        <w:tab w:val="right" w:leader="dot" w:pos="9072"/>
      </w:tabs>
      <w:ind w:left="970" w:hanging="403"/>
    </w:pPr>
    <w:rPr>
      <w:rFonts w:ascii="Times New Roman" w:hAnsi="Times New Roman"/>
      <w:b/>
    </w:rPr>
  </w:style>
  <w:style w:type="paragraph" w:styleId="ListNumber">
    <w:name w:val="List Number"/>
    <w:basedOn w:val="List"/>
    <w:rsid w:val="004A5681"/>
    <w:pPr>
      <w:numPr>
        <w:numId w:val="16"/>
      </w:numPr>
      <w:tabs>
        <w:tab w:val="clear" w:pos="340"/>
      </w:tabs>
    </w:pPr>
  </w:style>
  <w:style w:type="character" w:customStyle="1" w:styleId="WingdingSymbols">
    <w:name w:val="Wingding Symbols"/>
    <w:rsid w:val="004A5681"/>
    <w:rPr>
      <w:rFonts w:ascii="Wingdings" w:hAnsi="Wingdings"/>
    </w:rPr>
  </w:style>
  <w:style w:type="paragraph" w:customStyle="1" w:styleId="TableHeading">
    <w:name w:val="Table Heading"/>
    <w:basedOn w:val="HeadingBase"/>
    <w:rsid w:val="004A5681"/>
    <w:pPr>
      <w:keepLines/>
      <w:pBdr>
        <w:bottom w:val="single" w:sz="6" w:space="1" w:color="918585"/>
      </w:pBdr>
      <w:spacing w:before="240"/>
    </w:pPr>
  </w:style>
  <w:style w:type="character" w:customStyle="1" w:styleId="HotSpot">
    <w:name w:val="HotSpot"/>
    <w:rsid w:val="004A5681"/>
    <w:rPr>
      <w:color w:val="0033CC"/>
      <w:u w:val="none"/>
    </w:rPr>
  </w:style>
  <w:style w:type="paragraph" w:customStyle="1" w:styleId="BodyTextRight">
    <w:name w:val="Body Text Right"/>
    <w:basedOn w:val="BodyText"/>
    <w:rsid w:val="004A5681"/>
    <w:pPr>
      <w:spacing w:before="0" w:after="0"/>
      <w:jc w:val="right"/>
    </w:pPr>
  </w:style>
  <w:style w:type="paragraph" w:styleId="Index3">
    <w:name w:val="index 3"/>
    <w:basedOn w:val="ListNumber2"/>
    <w:next w:val="Normal"/>
    <w:semiHidden/>
    <w:rsid w:val="004A5681"/>
    <w:pPr>
      <w:numPr>
        <w:numId w:val="0"/>
      </w:numPr>
      <w:tabs>
        <w:tab w:val="right" w:leader="dot" w:pos="4176"/>
      </w:tabs>
    </w:pPr>
  </w:style>
  <w:style w:type="paragraph" w:styleId="ListNumber2">
    <w:name w:val="List Number 2"/>
    <w:basedOn w:val="List2"/>
    <w:rsid w:val="004A5681"/>
    <w:pPr>
      <w:numPr>
        <w:numId w:val="11"/>
      </w:numPr>
      <w:tabs>
        <w:tab w:val="clear" w:pos="1060"/>
      </w:tabs>
    </w:pPr>
  </w:style>
  <w:style w:type="paragraph" w:customStyle="1" w:styleId="MarginNote">
    <w:name w:val="Margin Note"/>
    <w:basedOn w:val="BodyText"/>
    <w:rsid w:val="004A5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681"/>
    <w:rPr>
      <w:sz w:val="32"/>
    </w:rPr>
  </w:style>
  <w:style w:type="paragraph" w:customStyle="1" w:styleId="HeadingProcedure">
    <w:name w:val="Heading Procedure"/>
    <w:basedOn w:val="HeadingBase"/>
    <w:next w:val="Normal"/>
    <w:rsid w:val="004A5681"/>
    <w:pPr>
      <w:tabs>
        <w:tab w:val="left" w:pos="0"/>
      </w:tabs>
      <w:spacing w:before="120" w:after="60"/>
    </w:pPr>
    <w:rPr>
      <w:i/>
      <w:color w:val="918585"/>
      <w:sz w:val="22"/>
    </w:rPr>
  </w:style>
  <w:style w:type="paragraph" w:customStyle="1" w:styleId="TableBodyText">
    <w:name w:val="Table Body Text"/>
    <w:basedOn w:val="BodyText"/>
    <w:rsid w:val="004A5681"/>
    <w:pPr>
      <w:spacing w:before="60" w:after="60"/>
    </w:pPr>
  </w:style>
  <w:style w:type="paragraph" w:styleId="ListContinue">
    <w:name w:val="List Continue"/>
    <w:basedOn w:val="List"/>
    <w:rsid w:val="004A5681"/>
    <w:pPr>
      <w:ind w:firstLine="0"/>
    </w:pPr>
  </w:style>
  <w:style w:type="paragraph" w:customStyle="1" w:styleId="ListNote">
    <w:name w:val="List Note"/>
    <w:basedOn w:val="List"/>
    <w:rsid w:val="004A5681"/>
    <w:pPr>
      <w:pBdr>
        <w:top w:val="single" w:sz="6" w:space="2" w:color="918585"/>
        <w:bottom w:val="single" w:sz="6" w:space="2" w:color="918585"/>
      </w:pBdr>
      <w:tabs>
        <w:tab w:val="left" w:pos="1021"/>
      </w:tabs>
      <w:ind w:firstLine="0"/>
    </w:pPr>
  </w:style>
  <w:style w:type="paragraph" w:customStyle="1" w:styleId="Warning">
    <w:name w:val="Warning"/>
    <w:basedOn w:val="BodyText"/>
    <w:rsid w:val="004A5681"/>
    <w:pPr>
      <w:shd w:val="clear" w:color="auto" w:fill="D9D9D9"/>
      <w:tabs>
        <w:tab w:val="left" w:pos="992"/>
      </w:tabs>
      <w:ind w:left="119" w:right="119"/>
    </w:pPr>
    <w:rPr>
      <w:sz w:val="20"/>
    </w:rPr>
  </w:style>
  <w:style w:type="paragraph" w:customStyle="1" w:styleId="MarginIcons">
    <w:name w:val="Margin Icons"/>
    <w:basedOn w:val="BodyText"/>
    <w:rsid w:val="004A5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681"/>
    <w:rPr>
      <w:rFonts w:ascii="Courier New" w:hAnsi="Courier New"/>
    </w:rPr>
  </w:style>
  <w:style w:type="paragraph" w:customStyle="1" w:styleId="NoteBullet">
    <w:name w:val="Note Bullet"/>
    <w:basedOn w:val="Note"/>
    <w:rsid w:val="004A5681"/>
    <w:pPr>
      <w:tabs>
        <w:tab w:val="clear" w:pos="680"/>
      </w:tabs>
      <w:spacing w:before="60" w:after="60"/>
    </w:pPr>
  </w:style>
  <w:style w:type="paragraph" w:customStyle="1" w:styleId="SubHeading2">
    <w:name w:val="SubHeading2"/>
    <w:basedOn w:val="HeadingBase"/>
    <w:rsid w:val="004A5681"/>
    <w:pPr>
      <w:spacing w:before="240" w:after="60"/>
    </w:pPr>
    <w:rPr>
      <w:sz w:val="20"/>
    </w:rPr>
  </w:style>
  <w:style w:type="paragraph" w:customStyle="1" w:styleId="SubHeading1">
    <w:name w:val="SubHeading1"/>
    <w:basedOn w:val="HeadingBase"/>
    <w:rsid w:val="004A5681"/>
    <w:pPr>
      <w:spacing w:before="240" w:after="60"/>
    </w:pPr>
    <w:rPr>
      <w:color w:val="918585"/>
      <w:sz w:val="22"/>
    </w:rPr>
  </w:style>
  <w:style w:type="paragraph" w:customStyle="1" w:styleId="SideHeading">
    <w:name w:val="Side Heading"/>
    <w:basedOn w:val="HeadingBase"/>
    <w:rsid w:val="004A5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681"/>
    <w:pPr>
      <w:numPr>
        <w:numId w:val="12"/>
      </w:numPr>
    </w:pPr>
  </w:style>
  <w:style w:type="paragraph" w:styleId="PlainText">
    <w:name w:val="Plain Text"/>
    <w:basedOn w:val="Normal"/>
    <w:link w:val="PlainTextChar"/>
    <w:rsid w:val="004A5681"/>
    <w:rPr>
      <w:sz w:val="20"/>
    </w:rPr>
  </w:style>
  <w:style w:type="character" w:customStyle="1" w:styleId="PlainTextChar">
    <w:name w:val="Plain Text Char"/>
    <w:basedOn w:val="DefaultParagraphFont"/>
    <w:link w:val="PlainText"/>
    <w:rsid w:val="004A5681"/>
    <w:rPr>
      <w:rFonts w:ascii="Courier New" w:eastAsia="Times New Roman" w:hAnsi="Courier New" w:cs="Times New Roman"/>
      <w:sz w:val="20"/>
      <w:szCs w:val="20"/>
      <w:lang w:eastAsia="en-US"/>
    </w:rPr>
  </w:style>
  <w:style w:type="character" w:customStyle="1" w:styleId="MenuOption">
    <w:name w:val="Menu Option"/>
    <w:basedOn w:val="DefaultParagraphFont"/>
    <w:rsid w:val="004A5681"/>
    <w:rPr>
      <w:b/>
      <w:smallCaps/>
    </w:rPr>
  </w:style>
  <w:style w:type="paragraph" w:customStyle="1" w:styleId="TableListNumber">
    <w:name w:val="Table List Number"/>
    <w:basedOn w:val="ListNumber"/>
    <w:rsid w:val="004A5681"/>
    <w:pPr>
      <w:numPr>
        <w:numId w:val="0"/>
      </w:numPr>
    </w:pPr>
  </w:style>
  <w:style w:type="paragraph" w:styleId="TOC4">
    <w:name w:val="toc 4"/>
    <w:basedOn w:val="TOCBase"/>
    <w:next w:val="Normal"/>
    <w:semiHidden/>
    <w:rsid w:val="004A5681"/>
    <w:pPr>
      <w:tabs>
        <w:tab w:val="right" w:leader="dot" w:pos="9071"/>
      </w:tabs>
      <w:ind w:left="1701"/>
    </w:pPr>
  </w:style>
  <w:style w:type="paragraph" w:customStyle="1" w:styleId="ListAlpha">
    <w:name w:val="List Alpha"/>
    <w:basedOn w:val="List"/>
    <w:rsid w:val="004A5681"/>
    <w:pPr>
      <w:numPr>
        <w:numId w:val="10"/>
      </w:numPr>
    </w:pPr>
  </w:style>
  <w:style w:type="paragraph" w:customStyle="1" w:styleId="ListAlpha2">
    <w:name w:val="List Alpha 2"/>
    <w:basedOn w:val="List2"/>
    <w:rsid w:val="004A5681"/>
    <w:pPr>
      <w:numPr>
        <w:numId w:val="9"/>
      </w:numPr>
    </w:pPr>
  </w:style>
  <w:style w:type="paragraph" w:styleId="List2">
    <w:name w:val="List 2"/>
    <w:basedOn w:val="BodyText"/>
    <w:rsid w:val="004A5681"/>
    <w:pPr>
      <w:tabs>
        <w:tab w:val="left" w:pos="680"/>
      </w:tabs>
      <w:spacing w:before="60" w:after="60"/>
      <w:ind w:left="680" w:hanging="340"/>
    </w:pPr>
  </w:style>
  <w:style w:type="paragraph" w:styleId="List3">
    <w:name w:val="List 3"/>
    <w:basedOn w:val="BodyText"/>
    <w:rsid w:val="004A5681"/>
    <w:pPr>
      <w:tabs>
        <w:tab w:val="left" w:pos="1021"/>
      </w:tabs>
      <w:spacing w:before="60" w:after="60"/>
      <w:ind w:left="1020" w:hanging="340"/>
    </w:pPr>
  </w:style>
  <w:style w:type="paragraph" w:styleId="List4">
    <w:name w:val="List 4"/>
    <w:basedOn w:val="BodyText"/>
    <w:rsid w:val="004A5681"/>
    <w:pPr>
      <w:tabs>
        <w:tab w:val="left" w:pos="1361"/>
      </w:tabs>
      <w:spacing w:before="60" w:after="60"/>
      <w:ind w:left="1361" w:hanging="340"/>
    </w:pPr>
  </w:style>
  <w:style w:type="paragraph" w:styleId="List5">
    <w:name w:val="List 5"/>
    <w:basedOn w:val="BodyText"/>
    <w:rsid w:val="004A5681"/>
    <w:pPr>
      <w:tabs>
        <w:tab w:val="left" w:pos="1701"/>
      </w:tabs>
      <w:spacing w:before="60" w:after="60"/>
      <w:ind w:left="1701" w:hanging="340"/>
    </w:pPr>
  </w:style>
  <w:style w:type="paragraph" w:styleId="ListBullet4">
    <w:name w:val="List Bullet 4"/>
    <w:basedOn w:val="List4"/>
    <w:rsid w:val="004A5681"/>
    <w:pPr>
      <w:numPr>
        <w:numId w:val="4"/>
      </w:numPr>
      <w:tabs>
        <w:tab w:val="clear" w:pos="1361"/>
      </w:tabs>
    </w:pPr>
  </w:style>
  <w:style w:type="paragraph" w:styleId="ListBullet5">
    <w:name w:val="List Bullet 5"/>
    <w:basedOn w:val="List5"/>
    <w:rsid w:val="004A5681"/>
    <w:pPr>
      <w:numPr>
        <w:numId w:val="5"/>
      </w:numPr>
    </w:pPr>
  </w:style>
  <w:style w:type="paragraph" w:styleId="ListContinue2">
    <w:name w:val="List Continue 2"/>
    <w:basedOn w:val="List2"/>
    <w:rsid w:val="004A5681"/>
    <w:pPr>
      <w:ind w:firstLine="0"/>
    </w:pPr>
  </w:style>
  <w:style w:type="paragraph" w:styleId="ListContinue3">
    <w:name w:val="List Continue 3"/>
    <w:basedOn w:val="List3"/>
    <w:rsid w:val="004A5681"/>
    <w:pPr>
      <w:ind w:left="1021" w:firstLine="0"/>
    </w:pPr>
  </w:style>
  <w:style w:type="paragraph" w:styleId="ListContinue4">
    <w:name w:val="List Continue 4"/>
    <w:basedOn w:val="List4"/>
    <w:rsid w:val="004A5681"/>
    <w:pPr>
      <w:ind w:firstLine="0"/>
    </w:pPr>
  </w:style>
  <w:style w:type="paragraph" w:styleId="ListContinue5">
    <w:name w:val="List Continue 5"/>
    <w:basedOn w:val="List5"/>
    <w:rsid w:val="004A5681"/>
    <w:pPr>
      <w:ind w:firstLine="0"/>
    </w:pPr>
  </w:style>
  <w:style w:type="paragraph" w:styleId="ListNumber3">
    <w:name w:val="List Number 3"/>
    <w:basedOn w:val="List3"/>
    <w:rsid w:val="004A5681"/>
    <w:pPr>
      <w:numPr>
        <w:numId w:val="6"/>
      </w:numPr>
    </w:pPr>
  </w:style>
  <w:style w:type="paragraph" w:styleId="ListNumber4">
    <w:name w:val="List Number 4"/>
    <w:basedOn w:val="List4"/>
    <w:rsid w:val="004A5681"/>
    <w:pPr>
      <w:numPr>
        <w:numId w:val="7"/>
      </w:numPr>
    </w:pPr>
  </w:style>
  <w:style w:type="paragraph" w:styleId="ListNumber5">
    <w:name w:val="List Number 5"/>
    <w:basedOn w:val="List5"/>
    <w:rsid w:val="004A5681"/>
    <w:pPr>
      <w:numPr>
        <w:numId w:val="8"/>
      </w:numPr>
    </w:pPr>
  </w:style>
  <w:style w:type="paragraph" w:styleId="BlockText">
    <w:name w:val="Block Text"/>
    <w:basedOn w:val="Normal"/>
    <w:rsid w:val="004A5681"/>
    <w:pPr>
      <w:spacing w:after="120"/>
      <w:ind w:left="1440" w:right="1440"/>
    </w:pPr>
  </w:style>
  <w:style w:type="character" w:customStyle="1" w:styleId="Subscript">
    <w:name w:val="Subscript"/>
    <w:basedOn w:val="DefaultParagraphFont"/>
    <w:rsid w:val="004A5681"/>
    <w:rPr>
      <w:sz w:val="16"/>
      <w:vertAlign w:val="subscript"/>
    </w:rPr>
  </w:style>
  <w:style w:type="character" w:customStyle="1" w:styleId="Superscript">
    <w:name w:val="Superscript"/>
    <w:basedOn w:val="DefaultParagraphFont"/>
    <w:rsid w:val="004A5681"/>
    <w:rPr>
      <w:sz w:val="16"/>
      <w:vertAlign w:val="superscript"/>
    </w:rPr>
  </w:style>
  <w:style w:type="character" w:customStyle="1" w:styleId="Symbols">
    <w:name w:val="Symbols"/>
    <w:basedOn w:val="DefaultParagraphFont"/>
    <w:rsid w:val="004A5681"/>
    <w:rPr>
      <w:rFonts w:ascii="Symbol" w:hAnsi="Symbol"/>
    </w:rPr>
  </w:style>
  <w:style w:type="character" w:customStyle="1" w:styleId="MenuOptions">
    <w:name w:val="Menu Options"/>
    <w:basedOn w:val="DefaultParagraphFont"/>
    <w:rsid w:val="004A5681"/>
    <w:rPr>
      <w:rFonts w:ascii="Arial Narrow" w:hAnsi="Arial Narrow"/>
      <w:smallCaps/>
    </w:rPr>
  </w:style>
  <w:style w:type="character" w:customStyle="1" w:styleId="Buttons">
    <w:name w:val="Buttons"/>
    <w:basedOn w:val="DefaultParagraphFont"/>
    <w:rsid w:val="004A5681"/>
    <w:rPr>
      <w:b/>
    </w:rPr>
  </w:style>
  <w:style w:type="character" w:customStyle="1" w:styleId="Underlined">
    <w:name w:val="Underlined"/>
    <w:basedOn w:val="DefaultParagraphFont"/>
    <w:rsid w:val="004A5681"/>
    <w:rPr>
      <w:u w:val="single"/>
    </w:rPr>
  </w:style>
  <w:style w:type="paragraph" w:customStyle="1" w:styleId="TableBodyTextRight">
    <w:name w:val="Table Body Text Right"/>
    <w:basedOn w:val="TableBodyText"/>
    <w:rsid w:val="004A5681"/>
    <w:pPr>
      <w:widowControl w:val="0"/>
      <w:autoSpaceDE w:val="0"/>
      <w:autoSpaceDN w:val="0"/>
      <w:adjustRightInd w:val="0"/>
      <w:jc w:val="right"/>
    </w:pPr>
    <w:rPr>
      <w:rFonts w:cs="Arial"/>
      <w:szCs w:val="18"/>
    </w:rPr>
  </w:style>
  <w:style w:type="paragraph" w:customStyle="1" w:styleId="CopyrightText">
    <w:name w:val="Copyright Text"/>
    <w:basedOn w:val="BodyText"/>
    <w:rsid w:val="004A5681"/>
    <w:rPr>
      <w:sz w:val="18"/>
    </w:rPr>
  </w:style>
  <w:style w:type="paragraph" w:customStyle="1" w:styleId="BodySmallRight">
    <w:name w:val="Body Small Right"/>
    <w:basedOn w:val="BodyTextRight"/>
    <w:rsid w:val="004A5681"/>
    <w:rPr>
      <w:sz w:val="18"/>
      <w:szCs w:val="18"/>
    </w:rPr>
  </w:style>
  <w:style w:type="paragraph" w:customStyle="1" w:styleId="MarginEdition">
    <w:name w:val="Margin Edition"/>
    <w:basedOn w:val="MarginNote"/>
    <w:rsid w:val="004A5681"/>
    <w:pPr>
      <w:spacing w:before="0" w:after="0"/>
    </w:pPr>
    <w:rPr>
      <w:rFonts w:ascii="Times New Roman" w:hAnsi="Times New Roman"/>
      <w:color w:val="999999"/>
    </w:rPr>
  </w:style>
  <w:style w:type="paragraph" w:customStyle="1" w:styleId="Spacer">
    <w:name w:val="Spacer"/>
    <w:basedOn w:val="Normal"/>
    <w:rsid w:val="004A5681"/>
    <w:rPr>
      <w:sz w:val="2"/>
      <w:szCs w:val="2"/>
    </w:rPr>
  </w:style>
  <w:style w:type="character" w:customStyle="1" w:styleId="Small">
    <w:name w:val="Small"/>
    <w:basedOn w:val="DefaultParagraphFont"/>
    <w:rsid w:val="004A5681"/>
    <w:rPr>
      <w:sz w:val="16"/>
    </w:rPr>
  </w:style>
  <w:style w:type="paragraph" w:customStyle="1" w:styleId="WideTable">
    <w:name w:val="Wide Table"/>
    <w:basedOn w:val="Normal"/>
    <w:rsid w:val="004A5681"/>
    <w:pPr>
      <w:ind w:left="-1418"/>
    </w:pPr>
    <w:rPr>
      <w:sz w:val="2"/>
      <w:szCs w:val="2"/>
    </w:rPr>
  </w:style>
  <w:style w:type="character" w:styleId="PageNumber">
    <w:name w:val="page number"/>
    <w:basedOn w:val="DefaultParagraphFont"/>
    <w:rsid w:val="004A5681"/>
  </w:style>
  <w:style w:type="paragraph" w:styleId="Quote">
    <w:name w:val="Quote"/>
    <w:basedOn w:val="Heading1"/>
    <w:link w:val="QuoteChar"/>
    <w:qFormat/>
    <w:rsid w:val="004A5681"/>
    <w:rPr>
      <w:b w:val="0"/>
      <w:sz w:val="72"/>
      <w:szCs w:val="72"/>
      <w:lang w:val="en-NZ"/>
    </w:rPr>
  </w:style>
  <w:style w:type="character" w:customStyle="1" w:styleId="QuoteChar">
    <w:name w:val="Quote Char"/>
    <w:basedOn w:val="DefaultParagraphFont"/>
    <w:link w:val="Quote"/>
    <w:rsid w:val="004A5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681"/>
    <w:pPr>
      <w:pageBreakBefore/>
    </w:pPr>
  </w:style>
  <w:style w:type="paragraph" w:customStyle="1" w:styleId="Border">
    <w:name w:val="Border"/>
    <w:basedOn w:val="Normal"/>
    <w:qFormat/>
    <w:rsid w:val="004A5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681"/>
    <w:rPr>
      <w:b/>
      <w:bCs/>
      <w:i/>
      <w:iCs/>
      <w:color w:val="auto"/>
    </w:rPr>
  </w:style>
  <w:style w:type="paragraph" w:styleId="IntenseQuote">
    <w:name w:val="Intense Quote"/>
    <w:basedOn w:val="Normal"/>
    <w:next w:val="Normal"/>
    <w:link w:val="IntenseQuoteChar"/>
    <w:uiPriority w:val="30"/>
    <w:qFormat/>
    <w:rsid w:val="004A5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681"/>
    <w:rPr>
      <w:smallCaps/>
      <w:color w:val="auto"/>
      <w:u w:val="single"/>
    </w:rPr>
  </w:style>
  <w:style w:type="character" w:styleId="IntenseReference">
    <w:name w:val="Intense Reference"/>
    <w:basedOn w:val="DefaultParagraphFont"/>
    <w:uiPriority w:val="32"/>
    <w:qFormat/>
    <w:rsid w:val="004A5681"/>
    <w:rPr>
      <w:b/>
      <w:bCs/>
      <w:smallCaps/>
      <w:color w:val="auto"/>
      <w:spacing w:val="5"/>
      <w:u w:val="single"/>
    </w:rPr>
  </w:style>
  <w:style w:type="paragraph" w:customStyle="1" w:styleId="2ColumnHeading">
    <w:name w:val="2Column Heading"/>
    <w:basedOn w:val="BodyText"/>
    <w:qFormat/>
    <w:rsid w:val="004A5681"/>
    <w:pPr>
      <w:spacing w:after="60"/>
      <w:ind w:left="-2268"/>
    </w:pPr>
    <w:rPr>
      <w:b/>
    </w:rPr>
  </w:style>
  <w:style w:type="paragraph" w:customStyle="1" w:styleId="Heading1TOC">
    <w:name w:val="Heading1 TOC"/>
    <w:basedOn w:val="Normal"/>
    <w:qFormat/>
    <w:rsid w:val="004A5681"/>
    <w:pPr>
      <w:spacing w:before="240" w:after="120"/>
    </w:pPr>
    <w:rPr>
      <w:rFonts w:ascii="Times New Roman" w:hAnsi="Times New Roman"/>
      <w:b/>
      <w:sz w:val="32"/>
    </w:rPr>
  </w:style>
  <w:style w:type="paragraph" w:customStyle="1" w:styleId="Heading2TOC">
    <w:name w:val="Heading2 TOC"/>
    <w:basedOn w:val="Normal"/>
    <w:qFormat/>
    <w:rsid w:val="004A5681"/>
    <w:pPr>
      <w:spacing w:before="240" w:after="60"/>
    </w:pPr>
    <w:rPr>
      <w:rFonts w:ascii="Times New Roman" w:hAnsi="Times New Roman"/>
      <w:b/>
      <w:sz w:val="28"/>
    </w:rPr>
  </w:style>
  <w:style w:type="character" w:customStyle="1" w:styleId="Underline">
    <w:name w:val="Underline"/>
    <w:basedOn w:val="DefaultParagraphFont"/>
    <w:qFormat/>
    <w:rsid w:val="004A5681"/>
    <w:rPr>
      <w:u w:val="single"/>
    </w:rPr>
  </w:style>
  <w:style w:type="character" w:customStyle="1" w:styleId="BoldandItalics">
    <w:name w:val="Bold and Italics"/>
    <w:qFormat/>
    <w:rsid w:val="004A5681"/>
    <w:rPr>
      <w:b/>
      <w:i/>
      <w:u w:val="none"/>
    </w:rPr>
  </w:style>
  <w:style w:type="paragraph" w:styleId="BalloonText">
    <w:name w:val="Balloon Text"/>
    <w:basedOn w:val="Normal"/>
    <w:link w:val="BalloonTextChar"/>
    <w:rsid w:val="004A5681"/>
    <w:rPr>
      <w:rFonts w:ascii="Tahoma" w:hAnsi="Tahoma" w:cs="Tahoma"/>
      <w:sz w:val="16"/>
      <w:szCs w:val="16"/>
    </w:rPr>
  </w:style>
  <w:style w:type="character" w:customStyle="1" w:styleId="BalloonTextChar">
    <w:name w:val="Balloon Text Char"/>
    <w:basedOn w:val="DefaultParagraphFont"/>
    <w:link w:val="BalloonText"/>
    <w:rsid w:val="004A5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6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681"/>
    <w:rPr>
      <w:b/>
      <w:color w:val="660033"/>
      <w:spacing w:val="0"/>
    </w:rPr>
  </w:style>
  <w:style w:type="paragraph" w:customStyle="1" w:styleId="Nameditemlist">
    <w:name w:val="Named item list"/>
    <w:basedOn w:val="BodyText"/>
    <w:qFormat/>
    <w:rsid w:val="004A5681"/>
    <w:pPr>
      <w:tabs>
        <w:tab w:val="left" w:pos="2835"/>
      </w:tabs>
      <w:ind w:left="2835" w:hanging="2835"/>
    </w:pPr>
  </w:style>
  <w:style w:type="paragraph" w:customStyle="1" w:styleId="BodyTextnopadding">
    <w:name w:val="Body Text no padding"/>
    <w:basedOn w:val="BodyText"/>
    <w:qFormat/>
    <w:rsid w:val="004A5681"/>
    <w:pPr>
      <w:spacing w:before="0" w:after="0"/>
    </w:pPr>
  </w:style>
  <w:style w:type="paragraph" w:customStyle="1" w:styleId="BodyTextBold">
    <w:name w:val="Body Text Bold"/>
    <w:basedOn w:val="BodyText"/>
    <w:qFormat/>
    <w:rsid w:val="004A5681"/>
    <w:rPr>
      <w:b/>
    </w:rPr>
  </w:style>
  <w:style w:type="character" w:styleId="Hyperlink">
    <w:name w:val="Hyperlink"/>
    <w:basedOn w:val="DefaultParagraphFont"/>
    <w:uiPriority w:val="99"/>
    <w:unhideWhenUsed/>
    <w:rsid w:val="002141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5845</Characters>
  <Application>Microsoft Office Word</Application>
  <DocSecurity>0</DocSecurity>
  <Lines>132</Lines>
  <Paragraphs>89</Paragraphs>
  <ScaleCrop>false</ScaleCrop>
  <Company>Author-it Software Corporation Ltd.</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MEA224 Inspect aircraft instrument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